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0540F">
      <w:pPr>
        <w:ind w:firstLine="600"/>
        <w:rPr>
          <w:rFonts w:ascii="方正小标宋_GBK" w:hAnsi="方正小标宋_GBK" w:eastAsia="方正小标宋_GBK" w:cs="方正小标宋_GBK"/>
          <w:color w:val="000000" w:themeColor="text1"/>
          <w:sz w:val="30"/>
          <w:szCs w:val="30"/>
        </w:rPr>
      </w:pPr>
      <w:bookmarkStart w:id="11" w:name="_GoBack"/>
      <w:bookmarkEnd w:id="11"/>
    </w:p>
    <w:p w14:paraId="44F0DC3F">
      <w:pPr>
        <w:rPr>
          <w:rFonts w:ascii="方正仿宋_GB2312" w:hAnsi="方正仿宋_GB2312" w:eastAsia="方正仿宋_GB2312" w:cs="方正仿宋_GB2312"/>
          <w:color w:val="000000" w:themeColor="text1"/>
          <w:sz w:val="36"/>
          <w:szCs w:val="36"/>
        </w:rPr>
      </w:pPr>
    </w:p>
    <w:p w14:paraId="2D7E0EB6">
      <w:pPr>
        <w:rPr>
          <w:rFonts w:ascii="方正仿宋_GB2312" w:hAnsi="方正仿宋_GB2312" w:eastAsia="方正仿宋_GB2312" w:cs="方正仿宋_GB2312"/>
          <w:color w:val="000000" w:themeColor="text1"/>
          <w:sz w:val="36"/>
          <w:szCs w:val="36"/>
        </w:rPr>
      </w:pPr>
    </w:p>
    <w:p w14:paraId="08DA3AE9">
      <w:pPr>
        <w:rPr>
          <w:rFonts w:ascii="方正仿宋_GB2312" w:hAnsi="方正仿宋_GB2312" w:eastAsia="方正仿宋_GB2312" w:cs="方正仿宋_GB2312"/>
          <w:color w:val="000000" w:themeColor="text1"/>
          <w:sz w:val="36"/>
          <w:szCs w:val="36"/>
        </w:rPr>
      </w:pPr>
    </w:p>
    <w:p w14:paraId="5416C3F0">
      <w:pPr>
        <w:spacing w:line="240" w:lineRule="auto"/>
        <w:ind w:firstLine="0" w:firstLineChars="0"/>
        <w:jc w:val="center"/>
        <w:rPr>
          <w:b/>
          <w:bCs/>
          <w:color w:val="000000" w:themeColor="text1"/>
          <w:sz w:val="72"/>
          <w:szCs w:val="72"/>
        </w:rPr>
      </w:pPr>
      <w:r>
        <w:rPr>
          <w:rFonts w:hint="eastAsia"/>
          <w:b/>
          <w:bCs/>
          <w:color w:val="000000" w:themeColor="text1"/>
          <w:sz w:val="72"/>
          <w:szCs w:val="72"/>
        </w:rPr>
        <w:t>建设项目环境影响报告表</w:t>
      </w:r>
    </w:p>
    <w:p w14:paraId="3A787FBF">
      <w:pPr>
        <w:adjustRightInd w:val="0"/>
        <w:snapToGrid w:val="0"/>
        <w:spacing w:beforeLines="80"/>
        <w:ind w:firstLine="0" w:firstLineChars="0"/>
        <w:jc w:val="center"/>
        <w:rPr>
          <w:rFonts w:ascii="方正楷体_GB2312" w:eastAsia="方正楷体_GB2312"/>
          <w:bCs/>
          <w:color w:val="000000" w:themeColor="text1"/>
          <w:sz w:val="48"/>
          <w:szCs w:val="48"/>
        </w:rPr>
      </w:pPr>
      <w:r>
        <w:rPr>
          <w:rFonts w:hint="eastAsia" w:ascii="方正楷体_GB2312" w:eastAsia="方正楷体_GB2312"/>
          <w:bCs/>
          <w:color w:val="000000" w:themeColor="text1"/>
          <w:sz w:val="48"/>
          <w:szCs w:val="48"/>
        </w:rPr>
        <w:t>（污染影响类）</w:t>
      </w:r>
    </w:p>
    <w:p w14:paraId="6CB8E162">
      <w:pPr>
        <w:adjustRightInd w:val="0"/>
        <w:snapToGrid w:val="0"/>
        <w:spacing w:line="288" w:lineRule="auto"/>
        <w:ind w:firstLine="880"/>
        <w:jc w:val="center"/>
        <w:rPr>
          <w:rFonts w:ascii="华文仿宋" w:hAnsi="华文仿宋" w:eastAsia="华文仿宋" w:cs="华文仿宋"/>
          <w:color w:val="000000" w:themeColor="text1"/>
          <w:kern w:val="44"/>
          <w:sz w:val="44"/>
          <w:szCs w:val="44"/>
        </w:rPr>
      </w:pPr>
    </w:p>
    <w:p w14:paraId="79DB6EB1">
      <w:pPr>
        <w:ind w:firstLine="1040"/>
        <w:jc w:val="center"/>
        <w:rPr>
          <w:rFonts w:eastAsia="仿宋"/>
          <w:color w:val="000000" w:themeColor="text1"/>
          <w:sz w:val="52"/>
          <w:szCs w:val="52"/>
        </w:rPr>
      </w:pPr>
    </w:p>
    <w:p w14:paraId="22454552">
      <w:pPr>
        <w:ind w:firstLine="880"/>
        <w:rPr>
          <w:rFonts w:eastAsia="仿宋"/>
          <w:color w:val="000000" w:themeColor="text1"/>
          <w:sz w:val="44"/>
          <w:szCs w:val="44"/>
        </w:rPr>
      </w:pPr>
    </w:p>
    <w:p w14:paraId="6AF7CE5A">
      <w:pPr>
        <w:ind w:firstLine="880"/>
        <w:rPr>
          <w:rFonts w:eastAsia="仿宋"/>
          <w:color w:val="000000" w:themeColor="text1"/>
          <w:sz w:val="44"/>
          <w:szCs w:val="44"/>
        </w:rPr>
      </w:pPr>
    </w:p>
    <w:p w14:paraId="568D84AB">
      <w:pPr>
        <w:pStyle w:val="15"/>
        <w:ind w:left="1680" w:right="1680" w:firstLine="880"/>
        <w:rPr>
          <w:rFonts w:eastAsia="仿宋"/>
          <w:color w:val="000000" w:themeColor="text1"/>
          <w:sz w:val="44"/>
          <w:szCs w:val="44"/>
        </w:rPr>
      </w:pPr>
    </w:p>
    <w:p w14:paraId="249667B9">
      <w:pPr>
        <w:ind w:firstLine="480"/>
        <w:rPr>
          <w:color w:val="000000" w:themeColor="text1"/>
        </w:rPr>
      </w:pPr>
    </w:p>
    <w:p w14:paraId="75E4B46D">
      <w:pPr>
        <w:ind w:firstLine="880"/>
        <w:rPr>
          <w:rFonts w:eastAsia="仿宋"/>
          <w:color w:val="000000" w:themeColor="text1"/>
          <w:sz w:val="44"/>
          <w:szCs w:val="44"/>
        </w:rPr>
      </w:pPr>
    </w:p>
    <w:p w14:paraId="2AEC8657">
      <w:pPr>
        <w:ind w:firstLine="880"/>
        <w:rPr>
          <w:rFonts w:eastAsia="仿宋"/>
          <w:color w:val="000000" w:themeColor="text1"/>
          <w:sz w:val="44"/>
          <w:szCs w:val="44"/>
        </w:rPr>
      </w:pPr>
    </w:p>
    <w:p w14:paraId="7128CAA8">
      <w:pPr>
        <w:wordWrap w:val="0"/>
        <w:topLinePunct/>
        <w:adjustRightInd w:val="0"/>
        <w:snapToGrid w:val="0"/>
        <w:spacing w:line="288" w:lineRule="auto"/>
        <w:rPr>
          <w:rFonts w:ascii="方正仿宋_GB2312" w:eastAsia="方正仿宋_GB2312"/>
          <w:color w:val="000000" w:themeColor="text1"/>
          <w:sz w:val="36"/>
          <w:szCs w:val="36"/>
        </w:rPr>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2"/>
      </w:tblGrid>
      <w:tr w14:paraId="08BB7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719C1AD4">
            <w:pPr>
              <w:wordWrap w:val="0"/>
              <w:topLinePunct/>
              <w:adjustRightInd w:val="0"/>
              <w:snapToGrid w:val="0"/>
              <w:spacing w:line="288" w:lineRule="auto"/>
              <w:jc w:val="left"/>
              <w:rPr>
                <w:rFonts w:ascii="仿宋" w:hAnsi="仿宋" w:eastAsia="仿宋" w:cs="仿宋"/>
                <w:color w:val="000000" w:themeColor="text1"/>
                <w:sz w:val="36"/>
                <w:szCs w:val="36"/>
              </w:rPr>
            </w:pPr>
            <w:bookmarkStart w:id="0" w:name="_Hlk57884087"/>
            <w:r>
              <w:rPr>
                <w:rFonts w:hint="eastAsia" w:ascii="仿宋" w:hAnsi="仿宋" w:eastAsia="仿宋" w:cs="仿宋"/>
                <w:color w:val="000000" w:themeColor="text1"/>
                <w:sz w:val="36"/>
                <w:szCs w:val="36"/>
              </w:rPr>
              <w:t>项目名称：</w:t>
            </w:r>
            <w:r>
              <w:rPr>
                <w:rFonts w:hint="eastAsia" w:ascii="仿宋" w:hAnsi="仿宋" w:eastAsia="仿宋" w:cs="仿宋"/>
                <w:color w:val="000000" w:themeColor="text1"/>
                <w:sz w:val="36"/>
                <w:szCs w:val="36"/>
                <w:u w:val="single"/>
              </w:rPr>
              <w:t>木托盘料部件加工、生物质能源加工项目</w:t>
            </w:r>
          </w:p>
        </w:tc>
      </w:tr>
      <w:tr w14:paraId="7C3B7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3D5DFA96">
            <w:pPr>
              <w:wordWrap w:val="0"/>
              <w:topLinePunct/>
              <w:adjustRightInd w:val="0"/>
              <w:snapToGrid w:val="0"/>
              <w:spacing w:line="288" w:lineRule="auto"/>
              <w:jc w:val="left"/>
              <w:rPr>
                <w:rFonts w:ascii="仿宋" w:hAnsi="仿宋" w:eastAsia="仿宋" w:cs="仿宋"/>
                <w:color w:val="000000" w:themeColor="text1"/>
                <w:sz w:val="36"/>
                <w:szCs w:val="36"/>
              </w:rPr>
            </w:pPr>
            <w:r>
              <w:rPr>
                <w:rFonts w:hint="eastAsia" w:ascii="仿宋" w:hAnsi="仿宋" w:eastAsia="仿宋" w:cs="仿宋"/>
                <w:color w:val="000000" w:themeColor="text1"/>
                <w:sz w:val="36"/>
                <w:szCs w:val="36"/>
              </w:rPr>
              <w:t>建设单位（盖章）：</w:t>
            </w:r>
            <w:r>
              <w:rPr>
                <w:rFonts w:hint="eastAsia" w:ascii="仿宋" w:hAnsi="仿宋" w:eastAsia="仿宋" w:cs="仿宋"/>
                <w:color w:val="000000" w:themeColor="text1"/>
                <w:sz w:val="36"/>
                <w:szCs w:val="36"/>
                <w:u w:val="single"/>
              </w:rPr>
              <w:t xml:space="preserve">  唐山祥昇能源科技有限公司  </w:t>
            </w:r>
          </w:p>
        </w:tc>
      </w:tr>
      <w:tr w14:paraId="4E4D5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14:paraId="7840491E">
            <w:pPr>
              <w:wordWrap w:val="0"/>
              <w:topLinePunct/>
              <w:adjustRightInd w:val="0"/>
              <w:snapToGrid w:val="0"/>
              <w:spacing w:line="288" w:lineRule="auto"/>
              <w:jc w:val="left"/>
              <w:rPr>
                <w:rFonts w:ascii="仿宋" w:hAnsi="仿宋" w:eastAsia="仿宋" w:cs="仿宋"/>
                <w:color w:val="000000" w:themeColor="text1"/>
                <w:sz w:val="36"/>
                <w:szCs w:val="36"/>
              </w:rPr>
            </w:pPr>
            <w:r>
              <w:rPr>
                <w:rFonts w:hint="eastAsia" w:ascii="仿宋" w:hAnsi="仿宋" w:eastAsia="仿宋" w:cs="仿宋"/>
                <w:color w:val="000000" w:themeColor="text1"/>
                <w:sz w:val="36"/>
                <w:szCs w:val="36"/>
              </w:rPr>
              <w:t>编制日期：</w:t>
            </w:r>
            <w:r>
              <w:rPr>
                <w:rFonts w:hint="eastAsia" w:ascii="仿宋" w:hAnsi="仿宋" w:eastAsia="仿宋" w:cs="仿宋"/>
                <w:color w:val="000000" w:themeColor="text1"/>
                <w:sz w:val="36"/>
                <w:szCs w:val="36"/>
                <w:u w:val="single"/>
              </w:rPr>
              <w:t xml:space="preserve">       </w:t>
            </w:r>
            <w:r>
              <w:rPr>
                <w:rFonts w:eastAsia="仿宋"/>
                <w:color w:val="000000" w:themeColor="text1"/>
                <w:sz w:val="36"/>
                <w:szCs w:val="36"/>
                <w:u w:val="single"/>
              </w:rPr>
              <w:t xml:space="preserve">    202</w:t>
            </w:r>
            <w:r>
              <w:rPr>
                <w:rFonts w:hint="eastAsia" w:eastAsia="仿宋"/>
                <w:color w:val="000000" w:themeColor="text1"/>
                <w:sz w:val="36"/>
                <w:szCs w:val="36"/>
                <w:u w:val="single"/>
              </w:rPr>
              <w:t>5</w:t>
            </w:r>
            <w:r>
              <w:rPr>
                <w:rFonts w:eastAsia="仿宋"/>
                <w:color w:val="000000" w:themeColor="text1"/>
                <w:sz w:val="36"/>
                <w:szCs w:val="36"/>
                <w:u w:val="single"/>
              </w:rPr>
              <w:t>年</w:t>
            </w:r>
            <w:r>
              <w:rPr>
                <w:rFonts w:hint="eastAsia" w:eastAsia="仿宋"/>
                <w:color w:val="000000" w:themeColor="text1"/>
                <w:sz w:val="36"/>
                <w:szCs w:val="36"/>
                <w:u w:val="single"/>
              </w:rPr>
              <w:t>5</w:t>
            </w:r>
            <w:r>
              <w:rPr>
                <w:rFonts w:eastAsia="仿宋"/>
                <w:color w:val="000000" w:themeColor="text1"/>
                <w:sz w:val="36"/>
                <w:szCs w:val="36"/>
                <w:u w:val="single"/>
              </w:rPr>
              <w:t xml:space="preserve">月        </w:t>
            </w:r>
            <w:r>
              <w:rPr>
                <w:rFonts w:hint="eastAsia" w:ascii="仿宋" w:hAnsi="仿宋" w:eastAsia="仿宋" w:cs="仿宋"/>
                <w:color w:val="000000" w:themeColor="text1"/>
                <w:sz w:val="36"/>
                <w:szCs w:val="36"/>
                <w:u w:val="single"/>
              </w:rPr>
              <w:t xml:space="preserve">  </w:t>
            </w:r>
          </w:p>
        </w:tc>
      </w:tr>
    </w:tbl>
    <w:p w14:paraId="6D25786C">
      <w:pPr>
        <w:wordWrap w:val="0"/>
        <w:topLinePunct/>
        <w:adjustRightInd w:val="0"/>
        <w:snapToGrid w:val="0"/>
        <w:spacing w:line="288" w:lineRule="auto"/>
        <w:ind w:firstLine="1080" w:firstLineChars="300"/>
        <w:rPr>
          <w:rFonts w:ascii="方正仿宋_GB2312" w:eastAsia="方正仿宋_GB2312"/>
          <w:color w:val="000000" w:themeColor="text1"/>
          <w:sz w:val="36"/>
          <w:szCs w:val="36"/>
          <w:u w:val="single"/>
        </w:rPr>
      </w:pPr>
    </w:p>
    <w:p w14:paraId="7426BE19">
      <w:pPr>
        <w:adjustRightInd w:val="0"/>
        <w:snapToGrid w:val="0"/>
        <w:spacing w:line="288" w:lineRule="auto"/>
        <w:rPr>
          <w:rFonts w:ascii="方正仿宋_GB2312" w:eastAsia="方正仿宋_GB2312"/>
          <w:color w:val="000000" w:themeColor="text1"/>
          <w:sz w:val="36"/>
          <w:szCs w:val="36"/>
        </w:rPr>
      </w:pPr>
    </w:p>
    <w:p w14:paraId="2D084B78">
      <w:pPr>
        <w:adjustRightInd w:val="0"/>
        <w:snapToGrid w:val="0"/>
        <w:spacing w:line="288" w:lineRule="auto"/>
        <w:rPr>
          <w:rFonts w:ascii="方正仿宋_GB2312" w:eastAsia="方正仿宋_GB2312"/>
          <w:color w:val="000000" w:themeColor="text1"/>
          <w:sz w:val="36"/>
          <w:szCs w:val="36"/>
        </w:rPr>
      </w:pPr>
    </w:p>
    <w:bookmarkEnd w:id="0"/>
    <w:p w14:paraId="1D008ECD">
      <w:pPr>
        <w:ind w:firstLine="0" w:firstLineChars="0"/>
        <w:jc w:val="center"/>
        <w:rPr>
          <w:rFonts w:ascii="方正楷体_GB2312" w:hAnsi="方正楷体_GB2312" w:eastAsia="方正楷体_GB2312" w:cs="方正楷体_GB2312"/>
          <w:color w:val="000000" w:themeColor="text1"/>
          <w:sz w:val="36"/>
          <w:szCs w:val="36"/>
        </w:rPr>
      </w:pPr>
      <w:r>
        <w:rPr>
          <w:rFonts w:hint="eastAsia" w:ascii="方正楷体_GB2312" w:hAnsi="方正楷体_GB2312" w:eastAsia="方正楷体_GB2312" w:cs="方正楷体_GB2312"/>
          <w:color w:val="000000" w:themeColor="text1"/>
          <w:sz w:val="36"/>
          <w:szCs w:val="36"/>
        </w:rPr>
        <w:t>中华人民共和国生态环境部制</w:t>
      </w:r>
    </w:p>
    <w:p w14:paraId="746AB2AC">
      <w:pPr>
        <w:rPr>
          <w:rFonts w:ascii="方正楷体_GB2312" w:eastAsia="方正楷体_GB2312"/>
          <w:color w:val="000000" w:themeColor="text1"/>
          <w:sz w:val="36"/>
          <w:szCs w:val="36"/>
        </w:rPr>
      </w:pPr>
      <w:r>
        <w:rPr>
          <w:rFonts w:hint="eastAsia" w:ascii="方正楷体_GB2312" w:eastAsia="方正楷体_GB2312"/>
          <w:color w:val="000000" w:themeColor="text1"/>
          <w:sz w:val="36"/>
          <w:szCs w:val="36"/>
        </w:rPr>
        <w:br w:type="page"/>
      </w:r>
    </w:p>
    <w:p w14:paraId="389F26E9">
      <w:pPr>
        <w:adjustRightInd w:val="0"/>
        <w:snapToGrid w:val="0"/>
        <w:spacing w:line="288" w:lineRule="auto"/>
        <w:jc w:val="center"/>
        <w:rPr>
          <w:rFonts w:ascii="方正仿宋_GB2312" w:eastAsia="方正仿宋_GB2312"/>
          <w:color w:val="000000" w:themeColor="text1"/>
          <w:sz w:val="36"/>
          <w:szCs w:val="36"/>
        </w:rPr>
        <w:sectPr>
          <w:footerReference r:id="rId5" w:type="default"/>
          <w:footerReference r:id="rId6" w:type="even"/>
          <w:pgSz w:w="11906" w:h="16838"/>
          <w:pgMar w:top="1417" w:right="1247" w:bottom="1417" w:left="1531" w:header="851" w:footer="1077" w:gutter="0"/>
          <w:pgNumType w:start="3"/>
          <w:cols w:space="720" w:num="1"/>
          <w:docGrid w:linePitch="312" w:charSpace="0"/>
        </w:sectPr>
      </w:pPr>
      <w:r>
        <w:rPr>
          <w:rFonts w:ascii="方正仿宋_GB2312" w:eastAsia="方正仿宋_GB2312"/>
          <w:color w:val="000000" w:themeColor="text1"/>
          <w:sz w:val="36"/>
          <w:szCs w:val="36"/>
        </w:rPr>
        <w:br w:type="page"/>
      </w:r>
    </w:p>
    <w:sdt>
      <w:sdtPr>
        <w:rPr>
          <w:rFonts w:ascii="宋体" w:hAnsi="宋体"/>
          <w:color w:val="000000" w:themeColor="text1"/>
          <w:sz w:val="28"/>
          <w:szCs w:val="36"/>
        </w:rPr>
        <w:id w:val="147473289"/>
        <w:docPartObj>
          <w:docPartGallery w:val="Table of Contents"/>
          <w:docPartUnique/>
        </w:docPartObj>
      </w:sdtPr>
      <w:sdtEndPr>
        <w:rPr>
          <w:rFonts w:ascii="宋体" w:hAnsi="宋体"/>
          <w:color w:val="000000" w:themeColor="text1"/>
          <w:sz w:val="28"/>
          <w:szCs w:val="36"/>
        </w:rPr>
      </w:sdtEndPr>
      <w:sdtContent>
        <w:p w14:paraId="21D88688">
          <w:pPr>
            <w:spacing w:line="240" w:lineRule="auto"/>
            <w:ind w:firstLine="0" w:firstLineChars="0"/>
            <w:jc w:val="center"/>
            <w:rPr>
              <w:color w:val="000000" w:themeColor="text1"/>
              <w:sz w:val="36"/>
              <w:szCs w:val="36"/>
            </w:rPr>
          </w:pPr>
          <w:r>
            <w:rPr>
              <w:rFonts w:ascii="宋体" w:hAnsi="宋体"/>
              <w:color w:val="000000" w:themeColor="text1"/>
              <w:sz w:val="28"/>
              <w:szCs w:val="36"/>
            </w:rPr>
            <w:t>目录</w:t>
          </w:r>
        </w:p>
        <w:p w14:paraId="05E6D311">
          <w:pPr>
            <w:pStyle w:val="7"/>
            <w:tabs>
              <w:tab w:val="right" w:leader="dot" w:pos="9242"/>
            </w:tabs>
            <w:spacing w:line="520" w:lineRule="exact"/>
            <w:rPr>
              <w:caps w:val="0"/>
              <w:color w:val="000000" w:themeColor="text1"/>
            </w:rPr>
          </w:pPr>
          <w:r>
            <w:rPr>
              <w:rFonts w:hint="eastAsia"/>
              <w:caps w:val="0"/>
              <w:color w:val="000000" w:themeColor="text1"/>
            </w:rPr>
            <w:t>一、建设项目基本情况</w:t>
          </w:r>
          <w:r>
            <w:rPr>
              <w:caps w:val="0"/>
              <w:color w:val="000000" w:themeColor="text1"/>
            </w:rPr>
            <w:tab/>
          </w:r>
          <w:r>
            <w:rPr>
              <w:caps w:val="0"/>
              <w:color w:val="000000" w:themeColor="text1"/>
            </w:rPr>
            <w:t>1</w:t>
          </w:r>
        </w:p>
        <w:p w14:paraId="130C71CF">
          <w:pPr>
            <w:pStyle w:val="7"/>
            <w:tabs>
              <w:tab w:val="right" w:leader="dot" w:pos="9242"/>
            </w:tabs>
            <w:spacing w:line="520" w:lineRule="exact"/>
            <w:rPr>
              <w:caps w:val="0"/>
              <w:color w:val="000000" w:themeColor="text1"/>
            </w:rPr>
          </w:pPr>
          <w:r>
            <w:rPr>
              <w:rFonts w:hint="eastAsia"/>
              <w:caps w:val="0"/>
              <w:color w:val="000000" w:themeColor="text1"/>
            </w:rPr>
            <w:t>二、建设项目工程分析</w:t>
          </w:r>
          <w:r>
            <w:rPr>
              <w:caps w:val="0"/>
              <w:color w:val="000000" w:themeColor="text1"/>
            </w:rPr>
            <w:tab/>
          </w:r>
          <w:r>
            <w:rPr>
              <w:caps w:val="0"/>
              <w:color w:val="000000" w:themeColor="text1"/>
            </w:rPr>
            <w:t>27</w:t>
          </w:r>
        </w:p>
        <w:p w14:paraId="573ADE31">
          <w:pPr>
            <w:pStyle w:val="7"/>
            <w:tabs>
              <w:tab w:val="right" w:leader="dot" w:pos="9242"/>
            </w:tabs>
            <w:spacing w:line="520" w:lineRule="exact"/>
            <w:rPr>
              <w:caps w:val="0"/>
              <w:color w:val="000000" w:themeColor="text1"/>
            </w:rPr>
          </w:pPr>
          <w:r>
            <w:rPr>
              <w:rFonts w:hint="eastAsia"/>
              <w:caps w:val="0"/>
              <w:color w:val="000000" w:themeColor="text1"/>
            </w:rPr>
            <w:t>三、区域环境质量现状、环境保护目标及评价标准</w:t>
          </w:r>
          <w:r>
            <w:rPr>
              <w:caps w:val="0"/>
              <w:color w:val="000000" w:themeColor="text1"/>
            </w:rPr>
            <w:tab/>
          </w:r>
          <w:r>
            <w:rPr>
              <w:caps w:val="0"/>
              <w:color w:val="000000" w:themeColor="text1"/>
            </w:rPr>
            <w:t>50</w:t>
          </w:r>
        </w:p>
        <w:p w14:paraId="72469FEE">
          <w:pPr>
            <w:pStyle w:val="7"/>
            <w:tabs>
              <w:tab w:val="right" w:leader="dot" w:pos="9242"/>
            </w:tabs>
            <w:spacing w:line="520" w:lineRule="exact"/>
            <w:rPr>
              <w:caps w:val="0"/>
              <w:color w:val="000000" w:themeColor="text1"/>
            </w:rPr>
          </w:pPr>
          <w:r>
            <w:rPr>
              <w:rFonts w:hint="eastAsia"/>
              <w:caps w:val="0"/>
              <w:color w:val="000000" w:themeColor="text1"/>
            </w:rPr>
            <w:t>四、主要环境影响和保护措施</w:t>
          </w:r>
          <w:r>
            <w:rPr>
              <w:caps w:val="0"/>
              <w:color w:val="000000" w:themeColor="text1"/>
            </w:rPr>
            <w:tab/>
          </w:r>
          <w:r>
            <w:rPr>
              <w:caps w:val="0"/>
              <w:color w:val="000000" w:themeColor="text1"/>
            </w:rPr>
            <w:t>58</w:t>
          </w:r>
        </w:p>
        <w:p w14:paraId="5C9B673E">
          <w:pPr>
            <w:pStyle w:val="7"/>
            <w:tabs>
              <w:tab w:val="right" w:leader="dot" w:pos="9242"/>
            </w:tabs>
            <w:spacing w:line="520" w:lineRule="exact"/>
            <w:rPr>
              <w:caps w:val="0"/>
              <w:color w:val="000000" w:themeColor="text1"/>
            </w:rPr>
          </w:pPr>
          <w:r>
            <w:rPr>
              <w:rFonts w:hint="eastAsia"/>
              <w:caps w:val="0"/>
              <w:color w:val="000000" w:themeColor="text1"/>
            </w:rPr>
            <w:t>五、环境保护措施监督检查清单</w:t>
          </w:r>
          <w:r>
            <w:rPr>
              <w:caps w:val="0"/>
              <w:color w:val="000000" w:themeColor="text1"/>
            </w:rPr>
            <w:tab/>
          </w:r>
          <w:r>
            <w:rPr>
              <w:caps w:val="0"/>
              <w:color w:val="000000" w:themeColor="text1"/>
            </w:rPr>
            <w:t>107</w:t>
          </w:r>
        </w:p>
        <w:p w14:paraId="3A76FC3D">
          <w:pPr>
            <w:pStyle w:val="7"/>
            <w:tabs>
              <w:tab w:val="right" w:leader="dot" w:pos="9242"/>
            </w:tabs>
            <w:spacing w:line="520" w:lineRule="exact"/>
            <w:rPr>
              <w:caps w:val="0"/>
              <w:color w:val="000000" w:themeColor="text1"/>
            </w:rPr>
          </w:pPr>
          <w:r>
            <w:rPr>
              <w:rFonts w:hint="eastAsia"/>
              <w:caps w:val="0"/>
              <w:color w:val="000000" w:themeColor="text1"/>
            </w:rPr>
            <w:t>六、结论</w:t>
          </w:r>
          <w:r>
            <w:rPr>
              <w:caps w:val="0"/>
              <w:color w:val="000000" w:themeColor="text1"/>
            </w:rPr>
            <w:tab/>
          </w:r>
          <w:r>
            <w:rPr>
              <w:caps w:val="0"/>
              <w:color w:val="000000" w:themeColor="text1"/>
            </w:rPr>
            <w:t>116</w:t>
          </w:r>
        </w:p>
        <w:p w14:paraId="1DC7C404">
          <w:pPr>
            <w:pStyle w:val="7"/>
            <w:tabs>
              <w:tab w:val="right" w:leader="dot" w:pos="9242"/>
            </w:tabs>
            <w:spacing w:line="520" w:lineRule="exact"/>
            <w:rPr>
              <w:caps w:val="0"/>
              <w:color w:val="000000" w:themeColor="text1"/>
            </w:rPr>
          </w:pPr>
          <w:r>
            <w:rPr>
              <w:rFonts w:hint="eastAsia"/>
              <w:caps w:val="0"/>
              <w:color w:val="000000" w:themeColor="text1"/>
            </w:rPr>
            <w:t>附表</w:t>
          </w:r>
          <w:r>
            <w:rPr>
              <w:caps w:val="0"/>
              <w:color w:val="000000" w:themeColor="text1"/>
            </w:rPr>
            <w:tab/>
          </w:r>
          <w:r>
            <w:rPr>
              <w:caps w:val="0"/>
              <w:color w:val="000000" w:themeColor="text1"/>
            </w:rPr>
            <w:t>117</w:t>
          </w:r>
        </w:p>
        <w:p w14:paraId="1CE8D8DB">
          <w:pPr>
            <w:ind w:firstLine="560"/>
            <w:rPr>
              <w:color w:val="000000" w:themeColor="text1"/>
            </w:rPr>
          </w:pPr>
        </w:p>
      </w:sdtContent>
    </w:sdt>
    <w:p w14:paraId="5E450669">
      <w:pPr>
        <w:ind w:firstLine="0" w:firstLineChars="0"/>
        <w:rPr>
          <w:color w:val="000000" w:themeColor="text1"/>
        </w:rPr>
      </w:pPr>
      <w:r>
        <w:rPr>
          <w:color w:val="000000" w:themeColor="text1"/>
        </w:rPr>
        <w:t>附图</w:t>
      </w:r>
    </w:p>
    <w:p w14:paraId="7A0A2738">
      <w:pPr>
        <w:ind w:firstLine="0" w:firstLineChars="0"/>
        <w:rPr>
          <w:color w:val="000000" w:themeColor="text1"/>
        </w:rPr>
      </w:pPr>
      <w:r>
        <w:rPr>
          <w:color w:val="000000" w:themeColor="text1"/>
        </w:rPr>
        <w:t>附图1：项目地理位置图</w:t>
      </w:r>
    </w:p>
    <w:p w14:paraId="2ED33474">
      <w:pPr>
        <w:ind w:firstLine="0" w:firstLineChars="0"/>
        <w:rPr>
          <w:color w:val="000000" w:themeColor="text1"/>
        </w:rPr>
      </w:pPr>
      <w:r>
        <w:rPr>
          <w:color w:val="000000" w:themeColor="text1"/>
        </w:rPr>
        <w:t>附图2：</w:t>
      </w:r>
      <w:r>
        <w:rPr>
          <w:rFonts w:hint="eastAsia"/>
          <w:color w:val="000000" w:themeColor="text1"/>
        </w:rPr>
        <w:t>项目与园区位置关系</w:t>
      </w:r>
      <w:r>
        <w:rPr>
          <w:color w:val="000000" w:themeColor="text1"/>
        </w:rPr>
        <w:t>图</w:t>
      </w:r>
    </w:p>
    <w:p w14:paraId="012A454B">
      <w:pPr>
        <w:ind w:firstLine="0" w:firstLineChars="0"/>
        <w:rPr>
          <w:color w:val="000000" w:themeColor="text1"/>
        </w:rPr>
      </w:pPr>
      <w:r>
        <w:rPr>
          <w:color w:val="000000" w:themeColor="text1"/>
        </w:rPr>
        <w:t>附图3：</w:t>
      </w:r>
      <w:r>
        <w:rPr>
          <w:rFonts w:hint="eastAsia"/>
          <w:color w:val="000000" w:themeColor="text1"/>
        </w:rPr>
        <w:t>唐山市</w:t>
      </w:r>
      <w:r>
        <w:rPr>
          <w:color w:val="000000" w:themeColor="text1"/>
        </w:rPr>
        <w:t>生态保护红线</w:t>
      </w:r>
      <w:r>
        <w:rPr>
          <w:rFonts w:hint="eastAsia"/>
          <w:color w:val="000000" w:themeColor="text1"/>
        </w:rPr>
        <w:t>分布</w:t>
      </w:r>
      <w:r>
        <w:rPr>
          <w:color w:val="000000" w:themeColor="text1"/>
        </w:rPr>
        <w:t>图</w:t>
      </w:r>
    </w:p>
    <w:p w14:paraId="2EC2D751">
      <w:pPr>
        <w:ind w:firstLine="0" w:firstLineChars="0"/>
        <w:rPr>
          <w:color w:val="000000" w:themeColor="text1"/>
        </w:rPr>
      </w:pPr>
      <w:r>
        <w:rPr>
          <w:color w:val="000000" w:themeColor="text1"/>
        </w:rPr>
        <w:t>附图4：唐山市环境管控单元</w:t>
      </w:r>
      <w:r>
        <w:rPr>
          <w:rFonts w:hint="eastAsia"/>
          <w:color w:val="000000" w:themeColor="text1"/>
        </w:rPr>
        <w:t>分布</w:t>
      </w:r>
      <w:r>
        <w:rPr>
          <w:color w:val="000000" w:themeColor="text1"/>
        </w:rPr>
        <w:t>图</w:t>
      </w:r>
    </w:p>
    <w:p w14:paraId="2EF4C84F">
      <w:pPr>
        <w:ind w:firstLine="0" w:firstLineChars="0"/>
        <w:rPr>
          <w:color w:val="000000" w:themeColor="text1"/>
        </w:rPr>
      </w:pPr>
      <w:r>
        <w:rPr>
          <w:color w:val="000000" w:themeColor="text1"/>
        </w:rPr>
        <w:t>附图5：本项目平面布置图</w:t>
      </w:r>
    </w:p>
    <w:p w14:paraId="7276763D">
      <w:pPr>
        <w:ind w:firstLine="0" w:firstLineChars="0"/>
        <w:rPr>
          <w:color w:val="000000" w:themeColor="text1"/>
        </w:rPr>
      </w:pPr>
      <w:r>
        <w:rPr>
          <w:color w:val="000000" w:themeColor="text1"/>
        </w:rPr>
        <w:t>附图</w:t>
      </w:r>
      <w:r>
        <w:rPr>
          <w:rFonts w:hint="eastAsia"/>
          <w:color w:val="000000" w:themeColor="text1"/>
        </w:rPr>
        <w:t>6</w:t>
      </w:r>
      <w:r>
        <w:rPr>
          <w:color w:val="000000" w:themeColor="text1"/>
        </w:rPr>
        <w:t>：本项目周边关系图</w:t>
      </w:r>
    </w:p>
    <w:p w14:paraId="0879E720">
      <w:pPr>
        <w:ind w:firstLine="0" w:firstLineChars="0"/>
        <w:rPr>
          <w:color w:val="000000" w:themeColor="text1"/>
        </w:rPr>
      </w:pPr>
      <w:r>
        <w:rPr>
          <w:color w:val="000000" w:themeColor="text1"/>
        </w:rPr>
        <w:t>附图</w:t>
      </w:r>
      <w:r>
        <w:rPr>
          <w:rFonts w:hint="eastAsia"/>
          <w:color w:val="000000" w:themeColor="text1"/>
        </w:rPr>
        <w:t>7</w:t>
      </w:r>
      <w:r>
        <w:rPr>
          <w:color w:val="000000" w:themeColor="text1"/>
        </w:rPr>
        <w:t>：本项目防渗分区图</w:t>
      </w:r>
    </w:p>
    <w:p w14:paraId="681CD3AF">
      <w:pPr>
        <w:ind w:firstLine="0" w:firstLineChars="0"/>
        <w:rPr>
          <w:color w:val="000000" w:themeColor="text1"/>
        </w:rPr>
      </w:pPr>
      <w:r>
        <w:rPr>
          <w:color w:val="000000" w:themeColor="text1"/>
        </w:rPr>
        <w:t>附图</w:t>
      </w:r>
      <w:r>
        <w:rPr>
          <w:rFonts w:hint="eastAsia"/>
          <w:color w:val="000000" w:themeColor="text1"/>
        </w:rPr>
        <w:t>8</w:t>
      </w:r>
      <w:r>
        <w:rPr>
          <w:color w:val="000000" w:themeColor="text1"/>
        </w:rPr>
        <w:t>：厂界外500m范围及大气环境质量现状监测布点图（引用）</w:t>
      </w:r>
    </w:p>
    <w:p w14:paraId="4AD19335">
      <w:pPr>
        <w:ind w:firstLine="0" w:firstLineChars="0"/>
        <w:rPr>
          <w:color w:val="000000" w:themeColor="text1"/>
        </w:rPr>
      </w:pPr>
      <w:r>
        <w:rPr>
          <w:color w:val="000000" w:themeColor="text1"/>
        </w:rPr>
        <w:t>附件</w:t>
      </w:r>
    </w:p>
    <w:p w14:paraId="5ADDC67C">
      <w:pPr>
        <w:ind w:firstLine="0" w:firstLineChars="0"/>
        <w:rPr>
          <w:color w:val="000000" w:themeColor="text1"/>
        </w:rPr>
      </w:pPr>
      <w:r>
        <w:rPr>
          <w:color w:val="000000" w:themeColor="text1"/>
        </w:rPr>
        <w:t>附件1：</w:t>
      </w:r>
      <w:r>
        <w:rPr>
          <w:rFonts w:hint="eastAsia"/>
          <w:color w:val="000000" w:themeColor="text1"/>
        </w:rPr>
        <w:t>备案证</w:t>
      </w:r>
    </w:p>
    <w:p w14:paraId="37D71B2F">
      <w:pPr>
        <w:ind w:firstLine="0" w:firstLineChars="0"/>
        <w:rPr>
          <w:color w:val="000000" w:themeColor="text1"/>
        </w:rPr>
      </w:pPr>
      <w:r>
        <w:rPr>
          <w:rFonts w:hint="eastAsia"/>
          <w:color w:val="000000" w:themeColor="text1"/>
        </w:rPr>
        <w:t>附件2：</w:t>
      </w:r>
      <w:r>
        <w:rPr>
          <w:color w:val="000000" w:themeColor="text1"/>
        </w:rPr>
        <w:t>营业执照</w:t>
      </w:r>
    </w:p>
    <w:p w14:paraId="22F6D3C3">
      <w:pPr>
        <w:ind w:firstLine="0" w:firstLineChars="0"/>
        <w:rPr>
          <w:color w:val="000000" w:themeColor="text1"/>
        </w:rPr>
      </w:pPr>
      <w:r>
        <w:rPr>
          <w:rFonts w:hint="eastAsia"/>
          <w:color w:val="000000" w:themeColor="text1"/>
        </w:rPr>
        <w:t>附件3：租赁协议</w:t>
      </w:r>
    </w:p>
    <w:p w14:paraId="14E1D8EA">
      <w:pPr>
        <w:ind w:firstLine="0" w:firstLineChars="0"/>
        <w:rPr>
          <w:color w:val="000000" w:themeColor="text1"/>
        </w:rPr>
      </w:pPr>
      <w:r>
        <w:rPr>
          <w:rFonts w:hint="eastAsia"/>
          <w:color w:val="000000" w:themeColor="text1"/>
        </w:rPr>
        <w:t>附件4：唐山曹妃甸木业股份有限公司土地证</w:t>
      </w:r>
    </w:p>
    <w:p w14:paraId="7C451F73">
      <w:pPr>
        <w:ind w:firstLine="0" w:firstLineChars="0"/>
        <w:rPr>
          <w:color w:val="000000" w:themeColor="text1"/>
        </w:rPr>
      </w:pPr>
      <w:r>
        <w:rPr>
          <w:rFonts w:hint="eastAsia"/>
          <w:color w:val="000000" w:themeColor="text1"/>
        </w:rPr>
        <w:t>附件5：规划环评审查意见</w:t>
      </w:r>
    </w:p>
    <w:p w14:paraId="32EAAD30">
      <w:pPr>
        <w:ind w:firstLine="0" w:firstLineChars="0"/>
        <w:rPr>
          <w:color w:val="000000" w:themeColor="text1"/>
        </w:rPr>
      </w:pPr>
      <w:r>
        <w:rPr>
          <w:rFonts w:hint="eastAsia"/>
          <w:color w:val="000000" w:themeColor="text1"/>
        </w:rPr>
        <w:t>附件6：环境质量现状检测报告</w:t>
      </w:r>
    </w:p>
    <w:p w14:paraId="7535D6A2">
      <w:pPr>
        <w:ind w:firstLine="0" w:firstLineChars="0"/>
        <w:rPr>
          <w:color w:val="000000" w:themeColor="text1"/>
        </w:rPr>
      </w:pPr>
      <w:r>
        <w:rPr>
          <w:rFonts w:hint="eastAsia"/>
          <w:color w:val="000000" w:themeColor="text1"/>
        </w:rPr>
        <w:t>附件7：河北省主要污染物排放权交易鉴证书</w:t>
      </w:r>
    </w:p>
    <w:p w14:paraId="5F8ACDD0">
      <w:pPr>
        <w:ind w:firstLine="0" w:firstLineChars="0"/>
        <w:rPr>
          <w:color w:val="000000" w:themeColor="text1"/>
        </w:rPr>
      </w:pPr>
      <w:r>
        <w:rPr>
          <w:rFonts w:hint="eastAsia"/>
          <w:color w:val="000000" w:themeColor="text1"/>
        </w:rPr>
        <w:t>附件8：建设单位委托书、承诺函</w:t>
      </w:r>
      <w:bookmarkStart w:id="1" w:name="_Toc22439"/>
    </w:p>
    <w:p w14:paraId="594C8751">
      <w:pPr>
        <w:ind w:firstLine="0" w:firstLineChars="0"/>
        <w:rPr>
          <w:color w:val="000000" w:themeColor="text1"/>
        </w:rPr>
      </w:pPr>
      <w:r>
        <w:rPr>
          <w:rFonts w:hint="eastAsia"/>
          <w:color w:val="000000" w:themeColor="text1"/>
        </w:rPr>
        <w:t>附件9：评价单位承诺函</w:t>
      </w:r>
    </w:p>
    <w:p w14:paraId="3A3DA1E0">
      <w:pPr>
        <w:ind w:firstLine="0" w:firstLineChars="0"/>
        <w:rPr>
          <w:color w:val="000000" w:themeColor="text1"/>
        </w:rPr>
        <w:sectPr>
          <w:footerReference r:id="rId7" w:type="default"/>
          <w:pgSz w:w="11906" w:h="16838"/>
          <w:pgMar w:top="1440" w:right="1247" w:bottom="1440" w:left="1417" w:header="851" w:footer="992" w:gutter="0"/>
          <w:pgNumType w:start="1"/>
          <w:cols w:space="425" w:num="1"/>
          <w:docGrid w:type="lines" w:linePitch="312" w:charSpace="0"/>
        </w:sectPr>
      </w:pPr>
      <w:r>
        <w:rPr>
          <w:rFonts w:hint="eastAsia"/>
          <w:color w:val="000000" w:themeColor="text1"/>
        </w:rPr>
        <w:t>附件10：专家意见及修改说明</w:t>
      </w:r>
    </w:p>
    <w:p w14:paraId="4F4B7F2A">
      <w:pPr>
        <w:pStyle w:val="2"/>
        <w:rPr>
          <w:rFonts w:ascii="黑体" w:hAnsi="黑体"/>
          <w:snapToGrid w:val="0"/>
          <w:color w:val="000000" w:themeColor="text1"/>
        </w:rPr>
      </w:pPr>
      <w:r>
        <w:rPr>
          <w:rFonts w:hint="eastAsia"/>
          <w:color w:val="000000" w:themeColor="text1"/>
        </w:rPr>
        <w:t>一、建设项目基本情况</w:t>
      </w:r>
      <w:bookmarkEnd w:id="1"/>
    </w:p>
    <w:tbl>
      <w:tblPr>
        <w:tblStyle w:val="24"/>
        <w:tblW w:w="92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3"/>
        <w:gridCol w:w="1995"/>
        <w:gridCol w:w="2450"/>
        <w:gridCol w:w="3730"/>
      </w:tblGrid>
      <w:tr w14:paraId="1F0EC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093" w:type="dxa"/>
            <w:tcBorders>
              <w:tl2br w:val="nil"/>
              <w:tr2bl w:val="nil"/>
            </w:tcBorders>
            <w:tcMar>
              <w:top w:w="16" w:type="dxa"/>
              <w:left w:w="16" w:type="dxa"/>
              <w:right w:w="16" w:type="dxa"/>
            </w:tcMar>
            <w:vAlign w:val="center"/>
          </w:tcPr>
          <w:p w14:paraId="4ABD749B">
            <w:pPr>
              <w:pStyle w:val="35"/>
              <w:spacing w:line="264" w:lineRule="auto"/>
              <w:ind w:left="0" w:leftChars="0" w:right="0" w:rightChars="0"/>
              <w:rPr>
                <w:color w:val="000000" w:themeColor="text1"/>
                <w:sz w:val="24"/>
                <w:szCs w:val="24"/>
              </w:rPr>
            </w:pPr>
            <w:r>
              <w:rPr>
                <w:rFonts w:hint="eastAsia"/>
                <w:color w:val="000000" w:themeColor="text1"/>
                <w:sz w:val="24"/>
                <w:szCs w:val="24"/>
              </w:rPr>
              <w:t>建设项目名称</w:t>
            </w:r>
          </w:p>
        </w:tc>
        <w:tc>
          <w:tcPr>
            <w:tcW w:w="8175" w:type="dxa"/>
            <w:gridSpan w:val="3"/>
            <w:tcBorders>
              <w:tl2br w:val="nil"/>
              <w:tr2bl w:val="nil"/>
            </w:tcBorders>
            <w:vAlign w:val="center"/>
          </w:tcPr>
          <w:p w14:paraId="106F2BB2">
            <w:pPr>
              <w:pStyle w:val="35"/>
              <w:spacing w:line="264" w:lineRule="auto"/>
              <w:ind w:left="0" w:leftChars="0" w:right="0" w:rightChars="0"/>
              <w:rPr>
                <w:color w:val="000000" w:themeColor="text1"/>
                <w:sz w:val="24"/>
                <w:szCs w:val="24"/>
              </w:rPr>
            </w:pPr>
            <w:r>
              <w:rPr>
                <w:rFonts w:hint="eastAsia"/>
                <w:color w:val="000000" w:themeColor="text1"/>
                <w:sz w:val="24"/>
                <w:szCs w:val="24"/>
              </w:rPr>
              <w:t>木托盘料部件加工、生物质能源加工项目</w:t>
            </w:r>
          </w:p>
        </w:tc>
      </w:tr>
      <w:tr w14:paraId="1F9B8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093" w:type="dxa"/>
            <w:tcBorders>
              <w:tl2br w:val="nil"/>
              <w:tr2bl w:val="nil"/>
            </w:tcBorders>
            <w:tcMar>
              <w:top w:w="16" w:type="dxa"/>
              <w:left w:w="16" w:type="dxa"/>
              <w:right w:w="16" w:type="dxa"/>
            </w:tcMar>
            <w:vAlign w:val="center"/>
          </w:tcPr>
          <w:p w14:paraId="030B2066">
            <w:pPr>
              <w:pStyle w:val="35"/>
              <w:spacing w:line="264" w:lineRule="auto"/>
              <w:ind w:left="0" w:leftChars="0" w:right="0" w:rightChars="0"/>
              <w:rPr>
                <w:color w:val="000000" w:themeColor="text1"/>
                <w:sz w:val="24"/>
                <w:szCs w:val="24"/>
              </w:rPr>
            </w:pPr>
            <w:r>
              <w:rPr>
                <w:rFonts w:hint="eastAsia"/>
                <w:color w:val="000000" w:themeColor="text1"/>
                <w:sz w:val="24"/>
                <w:szCs w:val="24"/>
              </w:rPr>
              <w:t>项目代码</w:t>
            </w:r>
          </w:p>
        </w:tc>
        <w:tc>
          <w:tcPr>
            <w:tcW w:w="8175" w:type="dxa"/>
            <w:gridSpan w:val="3"/>
            <w:tcBorders>
              <w:tl2br w:val="nil"/>
              <w:tr2bl w:val="nil"/>
            </w:tcBorders>
            <w:vAlign w:val="center"/>
          </w:tcPr>
          <w:p w14:paraId="2926800A">
            <w:pPr>
              <w:pStyle w:val="35"/>
              <w:spacing w:line="264" w:lineRule="auto"/>
              <w:ind w:left="0" w:leftChars="0" w:right="0" w:rightChars="0"/>
              <w:rPr>
                <w:color w:val="000000" w:themeColor="text1"/>
                <w:sz w:val="24"/>
                <w:szCs w:val="24"/>
              </w:rPr>
            </w:pPr>
            <w:r>
              <w:rPr>
                <w:rFonts w:hint="eastAsia"/>
                <w:color w:val="000000" w:themeColor="text1"/>
                <w:sz w:val="24"/>
                <w:szCs w:val="24"/>
              </w:rPr>
              <w:t>2501-130209-89-05-619788</w:t>
            </w:r>
          </w:p>
        </w:tc>
      </w:tr>
      <w:tr w14:paraId="1312A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93" w:type="dxa"/>
            <w:tcBorders>
              <w:tl2br w:val="nil"/>
              <w:tr2bl w:val="nil"/>
            </w:tcBorders>
            <w:tcMar>
              <w:top w:w="16" w:type="dxa"/>
              <w:left w:w="16" w:type="dxa"/>
              <w:right w:w="16" w:type="dxa"/>
            </w:tcMar>
            <w:vAlign w:val="center"/>
          </w:tcPr>
          <w:p w14:paraId="6DC6DD12">
            <w:pPr>
              <w:pStyle w:val="35"/>
              <w:spacing w:line="264" w:lineRule="auto"/>
              <w:ind w:left="0" w:leftChars="0" w:right="0" w:rightChars="0"/>
              <w:rPr>
                <w:color w:val="000000" w:themeColor="text1"/>
                <w:sz w:val="24"/>
                <w:szCs w:val="24"/>
              </w:rPr>
            </w:pPr>
            <w:r>
              <w:rPr>
                <w:rFonts w:hint="eastAsia"/>
                <w:color w:val="000000" w:themeColor="text1"/>
                <w:sz w:val="24"/>
                <w:szCs w:val="24"/>
              </w:rPr>
              <w:t>建设单位联系人</w:t>
            </w:r>
          </w:p>
        </w:tc>
        <w:tc>
          <w:tcPr>
            <w:tcW w:w="1995" w:type="dxa"/>
            <w:tcBorders>
              <w:tl2br w:val="nil"/>
              <w:tr2bl w:val="nil"/>
            </w:tcBorders>
            <w:vAlign w:val="center"/>
          </w:tcPr>
          <w:p w14:paraId="2CE0C217">
            <w:pPr>
              <w:pStyle w:val="35"/>
              <w:spacing w:line="264" w:lineRule="auto"/>
              <w:ind w:left="0" w:leftChars="0" w:right="0" w:rightChars="0"/>
              <w:rPr>
                <w:color w:val="000000" w:themeColor="text1"/>
                <w:sz w:val="24"/>
                <w:szCs w:val="24"/>
              </w:rPr>
            </w:pPr>
            <w:r>
              <w:rPr>
                <w:color w:val="000000" w:themeColor="text1"/>
                <w:sz w:val="24"/>
                <w:szCs w:val="24"/>
              </w:rPr>
              <w:t>梁楠</w:t>
            </w:r>
          </w:p>
        </w:tc>
        <w:tc>
          <w:tcPr>
            <w:tcW w:w="2450" w:type="dxa"/>
            <w:tcBorders>
              <w:tl2br w:val="nil"/>
              <w:tr2bl w:val="nil"/>
            </w:tcBorders>
            <w:vAlign w:val="center"/>
          </w:tcPr>
          <w:p w14:paraId="41AA6BCA">
            <w:pPr>
              <w:pStyle w:val="35"/>
              <w:spacing w:line="264" w:lineRule="auto"/>
              <w:ind w:left="0" w:leftChars="0" w:right="0" w:rightChars="0"/>
              <w:rPr>
                <w:color w:val="000000" w:themeColor="text1"/>
                <w:sz w:val="24"/>
                <w:szCs w:val="24"/>
              </w:rPr>
            </w:pPr>
            <w:r>
              <w:rPr>
                <w:rFonts w:hint="eastAsia"/>
                <w:color w:val="000000" w:themeColor="text1"/>
                <w:sz w:val="24"/>
                <w:szCs w:val="24"/>
              </w:rPr>
              <w:t>联系方式</w:t>
            </w:r>
          </w:p>
        </w:tc>
        <w:tc>
          <w:tcPr>
            <w:tcW w:w="3730" w:type="dxa"/>
            <w:tcBorders>
              <w:tl2br w:val="nil"/>
              <w:tr2bl w:val="nil"/>
            </w:tcBorders>
            <w:vAlign w:val="center"/>
          </w:tcPr>
          <w:p w14:paraId="6943F1EE">
            <w:pPr>
              <w:pStyle w:val="35"/>
              <w:spacing w:line="264" w:lineRule="auto"/>
              <w:ind w:left="0" w:leftChars="0" w:right="0" w:rightChars="0"/>
              <w:rPr>
                <w:color w:val="000000" w:themeColor="text1"/>
                <w:sz w:val="24"/>
                <w:szCs w:val="24"/>
              </w:rPr>
            </w:pPr>
            <w:r>
              <w:rPr>
                <w:color w:val="000000" w:themeColor="text1"/>
                <w:sz w:val="24"/>
                <w:szCs w:val="24"/>
              </w:rPr>
              <w:t>15333285855</w:t>
            </w:r>
          </w:p>
        </w:tc>
      </w:tr>
      <w:tr w14:paraId="3F0D5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1093" w:type="dxa"/>
            <w:tcBorders>
              <w:tl2br w:val="nil"/>
              <w:tr2bl w:val="nil"/>
            </w:tcBorders>
            <w:tcMar>
              <w:top w:w="16" w:type="dxa"/>
              <w:left w:w="16" w:type="dxa"/>
              <w:right w:w="16" w:type="dxa"/>
            </w:tcMar>
            <w:vAlign w:val="center"/>
          </w:tcPr>
          <w:p w14:paraId="68C531D5">
            <w:pPr>
              <w:pStyle w:val="35"/>
              <w:spacing w:line="264" w:lineRule="auto"/>
              <w:ind w:left="0" w:leftChars="0" w:right="0" w:rightChars="0"/>
              <w:rPr>
                <w:color w:val="000000" w:themeColor="text1"/>
                <w:sz w:val="24"/>
                <w:szCs w:val="24"/>
              </w:rPr>
            </w:pPr>
            <w:r>
              <w:rPr>
                <w:rFonts w:hint="eastAsia"/>
                <w:color w:val="000000" w:themeColor="text1"/>
                <w:sz w:val="24"/>
                <w:szCs w:val="24"/>
              </w:rPr>
              <w:t>建设地点</w:t>
            </w:r>
          </w:p>
        </w:tc>
        <w:tc>
          <w:tcPr>
            <w:tcW w:w="8175" w:type="dxa"/>
            <w:gridSpan w:val="3"/>
            <w:tcBorders>
              <w:tl2br w:val="nil"/>
              <w:tr2bl w:val="nil"/>
            </w:tcBorders>
            <w:vAlign w:val="center"/>
          </w:tcPr>
          <w:p w14:paraId="4004068C">
            <w:pPr>
              <w:pStyle w:val="35"/>
              <w:spacing w:line="264" w:lineRule="auto"/>
              <w:ind w:left="0" w:leftChars="0" w:right="0" w:rightChars="0"/>
              <w:rPr>
                <w:color w:val="000000" w:themeColor="text1"/>
                <w:sz w:val="24"/>
                <w:szCs w:val="24"/>
              </w:rPr>
            </w:pPr>
            <w:r>
              <w:rPr>
                <w:rFonts w:hint="eastAsia"/>
                <w:color w:val="000000" w:themeColor="text1"/>
                <w:sz w:val="24"/>
                <w:szCs w:val="24"/>
                <w:u w:val="single"/>
              </w:rPr>
              <w:t>河北</w:t>
            </w:r>
            <w:r>
              <w:rPr>
                <w:rFonts w:hint="eastAsia"/>
                <w:color w:val="000000" w:themeColor="text1"/>
                <w:sz w:val="24"/>
                <w:szCs w:val="24"/>
              </w:rPr>
              <w:t>省</w:t>
            </w:r>
            <w:r>
              <w:rPr>
                <w:rFonts w:hint="eastAsia"/>
                <w:color w:val="000000" w:themeColor="text1"/>
                <w:sz w:val="24"/>
                <w:szCs w:val="24"/>
                <w:u w:val="single"/>
              </w:rPr>
              <w:t>唐山</w:t>
            </w:r>
            <w:r>
              <w:rPr>
                <w:rFonts w:hint="eastAsia"/>
                <w:color w:val="000000" w:themeColor="text1"/>
                <w:sz w:val="24"/>
                <w:szCs w:val="24"/>
              </w:rPr>
              <w:t>市</w:t>
            </w:r>
            <w:r>
              <w:rPr>
                <w:rFonts w:hint="eastAsia"/>
                <w:color w:val="000000" w:themeColor="text1"/>
                <w:sz w:val="24"/>
                <w:szCs w:val="24"/>
                <w:u w:val="single"/>
              </w:rPr>
              <w:t>曹妃甸</w:t>
            </w:r>
            <w:r>
              <w:rPr>
                <w:rFonts w:hint="eastAsia"/>
                <w:color w:val="000000" w:themeColor="text1"/>
                <w:sz w:val="24"/>
                <w:szCs w:val="24"/>
              </w:rPr>
              <w:t>区</w:t>
            </w:r>
            <w:r>
              <w:rPr>
                <w:rFonts w:hint="eastAsia"/>
                <w:color w:val="000000" w:themeColor="text1"/>
                <w:sz w:val="24"/>
                <w:szCs w:val="24"/>
                <w:u w:val="single"/>
              </w:rPr>
              <w:t>装备制造产业园区唐山曹妃甸木业股份有限公司厂区内</w:t>
            </w:r>
          </w:p>
        </w:tc>
      </w:tr>
      <w:tr w14:paraId="23A2D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093" w:type="dxa"/>
            <w:tcBorders>
              <w:tl2br w:val="nil"/>
              <w:tr2bl w:val="nil"/>
            </w:tcBorders>
            <w:tcMar>
              <w:top w:w="16" w:type="dxa"/>
              <w:left w:w="16" w:type="dxa"/>
              <w:right w:w="16" w:type="dxa"/>
            </w:tcMar>
            <w:vAlign w:val="center"/>
          </w:tcPr>
          <w:p w14:paraId="5A4B70D4">
            <w:pPr>
              <w:pStyle w:val="35"/>
              <w:spacing w:line="264" w:lineRule="auto"/>
              <w:ind w:left="0" w:leftChars="0" w:right="0" w:rightChars="0"/>
              <w:rPr>
                <w:color w:val="000000" w:themeColor="text1"/>
                <w:sz w:val="24"/>
                <w:szCs w:val="24"/>
              </w:rPr>
            </w:pPr>
            <w:r>
              <w:rPr>
                <w:rFonts w:hint="eastAsia"/>
                <w:color w:val="000000" w:themeColor="text1"/>
                <w:sz w:val="24"/>
                <w:szCs w:val="24"/>
              </w:rPr>
              <w:t>地理坐标</w:t>
            </w:r>
          </w:p>
        </w:tc>
        <w:tc>
          <w:tcPr>
            <w:tcW w:w="8175" w:type="dxa"/>
            <w:gridSpan w:val="3"/>
            <w:tcBorders>
              <w:tl2br w:val="nil"/>
              <w:tr2bl w:val="nil"/>
            </w:tcBorders>
            <w:vAlign w:val="center"/>
          </w:tcPr>
          <w:p w14:paraId="0FE16286">
            <w:pPr>
              <w:pStyle w:val="35"/>
              <w:spacing w:line="264" w:lineRule="auto"/>
              <w:ind w:left="0" w:leftChars="0" w:right="0" w:rightChars="0"/>
              <w:rPr>
                <w:color w:val="000000" w:themeColor="text1"/>
                <w:sz w:val="24"/>
                <w:szCs w:val="24"/>
              </w:rPr>
            </w:pPr>
            <w:r>
              <w:rPr>
                <w:color w:val="000000" w:themeColor="text1"/>
                <w:sz w:val="24"/>
                <w:szCs w:val="24"/>
              </w:rPr>
              <w:t>（</w:t>
            </w:r>
            <w:r>
              <w:rPr>
                <w:color w:val="000000" w:themeColor="text1"/>
                <w:sz w:val="24"/>
                <w:szCs w:val="24"/>
                <w:u w:val="single"/>
              </w:rPr>
              <w:t xml:space="preserve"> 11</w:t>
            </w:r>
            <w:r>
              <w:rPr>
                <w:rFonts w:hint="eastAsia"/>
                <w:color w:val="000000" w:themeColor="text1"/>
                <w:sz w:val="24"/>
                <w:szCs w:val="24"/>
                <w:u w:val="single"/>
              </w:rPr>
              <w:t>8</w:t>
            </w:r>
            <w:r>
              <w:rPr>
                <w:color w:val="000000" w:themeColor="text1"/>
                <w:sz w:val="24"/>
                <w:szCs w:val="24"/>
                <w:u w:val="single"/>
              </w:rPr>
              <w:t xml:space="preserve"> </w:t>
            </w:r>
            <w:r>
              <w:rPr>
                <w:color w:val="000000" w:themeColor="text1"/>
                <w:sz w:val="24"/>
                <w:szCs w:val="24"/>
              </w:rPr>
              <w:t>度</w:t>
            </w:r>
            <w:r>
              <w:rPr>
                <w:color w:val="000000" w:themeColor="text1"/>
                <w:sz w:val="24"/>
                <w:szCs w:val="24"/>
                <w:u w:val="single"/>
              </w:rPr>
              <w:t xml:space="preserve"> </w:t>
            </w:r>
            <w:r>
              <w:rPr>
                <w:rFonts w:hint="eastAsia"/>
                <w:color w:val="000000" w:themeColor="text1"/>
                <w:sz w:val="24"/>
                <w:szCs w:val="24"/>
                <w:u w:val="single"/>
              </w:rPr>
              <w:t>29</w:t>
            </w:r>
            <w:r>
              <w:rPr>
                <w:color w:val="000000" w:themeColor="text1"/>
                <w:sz w:val="24"/>
                <w:szCs w:val="24"/>
                <w:u w:val="single"/>
              </w:rPr>
              <w:t xml:space="preserve"> </w:t>
            </w:r>
            <w:r>
              <w:rPr>
                <w:color w:val="000000" w:themeColor="text1"/>
                <w:sz w:val="24"/>
                <w:szCs w:val="24"/>
              </w:rPr>
              <w:t>分</w:t>
            </w:r>
            <w:r>
              <w:rPr>
                <w:color w:val="000000" w:themeColor="text1"/>
                <w:sz w:val="24"/>
                <w:szCs w:val="24"/>
                <w:u w:val="single"/>
              </w:rPr>
              <w:t xml:space="preserve"> </w:t>
            </w:r>
            <w:r>
              <w:rPr>
                <w:rFonts w:hint="eastAsia"/>
                <w:color w:val="000000" w:themeColor="text1"/>
                <w:sz w:val="24"/>
                <w:szCs w:val="24"/>
                <w:u w:val="single"/>
              </w:rPr>
              <w:t>43.958</w:t>
            </w:r>
            <w:r>
              <w:rPr>
                <w:color w:val="000000" w:themeColor="text1"/>
                <w:sz w:val="24"/>
                <w:szCs w:val="24"/>
                <w:u w:val="single"/>
              </w:rPr>
              <w:t xml:space="preserve"> </w:t>
            </w:r>
            <w:r>
              <w:rPr>
                <w:color w:val="000000" w:themeColor="text1"/>
                <w:sz w:val="24"/>
                <w:szCs w:val="24"/>
              </w:rPr>
              <w:t>秒，</w:t>
            </w:r>
            <w:r>
              <w:rPr>
                <w:color w:val="000000" w:themeColor="text1"/>
                <w:sz w:val="24"/>
                <w:szCs w:val="24"/>
                <w:u w:val="single"/>
              </w:rPr>
              <w:t xml:space="preserve"> 39 </w:t>
            </w:r>
            <w:r>
              <w:rPr>
                <w:color w:val="000000" w:themeColor="text1"/>
                <w:sz w:val="24"/>
                <w:szCs w:val="24"/>
              </w:rPr>
              <w:t>度</w:t>
            </w:r>
            <w:r>
              <w:rPr>
                <w:color w:val="000000" w:themeColor="text1"/>
                <w:sz w:val="24"/>
                <w:szCs w:val="24"/>
                <w:u w:val="single"/>
              </w:rPr>
              <w:t xml:space="preserve"> </w:t>
            </w:r>
            <w:r>
              <w:rPr>
                <w:rFonts w:hint="eastAsia"/>
                <w:color w:val="000000" w:themeColor="text1"/>
                <w:sz w:val="24"/>
                <w:szCs w:val="24"/>
                <w:u w:val="single"/>
              </w:rPr>
              <w:t>6</w:t>
            </w:r>
            <w:r>
              <w:rPr>
                <w:color w:val="000000" w:themeColor="text1"/>
                <w:sz w:val="24"/>
                <w:szCs w:val="24"/>
                <w:u w:val="single"/>
              </w:rPr>
              <w:t xml:space="preserve"> </w:t>
            </w:r>
            <w:r>
              <w:rPr>
                <w:color w:val="000000" w:themeColor="text1"/>
                <w:sz w:val="24"/>
                <w:szCs w:val="24"/>
              </w:rPr>
              <w:t>分</w:t>
            </w:r>
            <w:r>
              <w:rPr>
                <w:color w:val="000000" w:themeColor="text1"/>
                <w:sz w:val="24"/>
                <w:szCs w:val="24"/>
                <w:u w:val="single"/>
              </w:rPr>
              <w:t xml:space="preserve"> </w:t>
            </w:r>
            <w:r>
              <w:rPr>
                <w:rFonts w:hint="eastAsia"/>
                <w:color w:val="000000" w:themeColor="text1"/>
                <w:sz w:val="24"/>
                <w:szCs w:val="24"/>
                <w:u w:val="single"/>
              </w:rPr>
              <w:t>33.583</w:t>
            </w:r>
            <w:r>
              <w:rPr>
                <w:color w:val="000000" w:themeColor="text1"/>
                <w:sz w:val="24"/>
                <w:szCs w:val="24"/>
                <w:u w:val="single"/>
              </w:rPr>
              <w:t xml:space="preserve"> </w:t>
            </w:r>
            <w:r>
              <w:rPr>
                <w:color w:val="000000" w:themeColor="text1"/>
                <w:sz w:val="24"/>
                <w:szCs w:val="24"/>
              </w:rPr>
              <w:t>秒）</w:t>
            </w:r>
          </w:p>
        </w:tc>
      </w:tr>
      <w:tr w14:paraId="5B044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093" w:type="dxa"/>
            <w:tcBorders>
              <w:tl2br w:val="nil"/>
              <w:tr2bl w:val="nil"/>
            </w:tcBorders>
            <w:tcMar>
              <w:top w:w="16" w:type="dxa"/>
              <w:left w:w="16" w:type="dxa"/>
              <w:right w:w="16" w:type="dxa"/>
            </w:tcMar>
            <w:vAlign w:val="center"/>
          </w:tcPr>
          <w:p w14:paraId="1DDEDE22">
            <w:pPr>
              <w:pStyle w:val="35"/>
              <w:spacing w:line="264" w:lineRule="auto"/>
              <w:ind w:left="0" w:leftChars="0" w:right="0" w:rightChars="0"/>
              <w:rPr>
                <w:color w:val="000000" w:themeColor="text1"/>
                <w:sz w:val="24"/>
                <w:szCs w:val="24"/>
              </w:rPr>
            </w:pPr>
            <w:r>
              <w:rPr>
                <w:rFonts w:hint="eastAsia"/>
                <w:color w:val="000000" w:themeColor="text1"/>
                <w:sz w:val="24"/>
                <w:szCs w:val="24"/>
              </w:rPr>
              <w:t>国民经济</w:t>
            </w:r>
          </w:p>
          <w:p w14:paraId="5D5EF079">
            <w:pPr>
              <w:pStyle w:val="35"/>
              <w:spacing w:line="264" w:lineRule="auto"/>
              <w:ind w:left="0" w:leftChars="0" w:right="0" w:rightChars="0"/>
              <w:rPr>
                <w:color w:val="000000" w:themeColor="text1"/>
                <w:sz w:val="24"/>
                <w:szCs w:val="24"/>
              </w:rPr>
            </w:pPr>
            <w:r>
              <w:rPr>
                <w:rFonts w:hint="eastAsia"/>
                <w:color w:val="000000" w:themeColor="text1"/>
                <w:sz w:val="24"/>
                <w:szCs w:val="24"/>
              </w:rPr>
              <w:t>行业类别</w:t>
            </w:r>
          </w:p>
        </w:tc>
        <w:tc>
          <w:tcPr>
            <w:tcW w:w="1995" w:type="dxa"/>
            <w:tcBorders>
              <w:tl2br w:val="nil"/>
              <w:tr2bl w:val="nil"/>
            </w:tcBorders>
            <w:vAlign w:val="center"/>
          </w:tcPr>
          <w:p w14:paraId="4E1F9C7A">
            <w:pPr>
              <w:spacing w:line="264" w:lineRule="auto"/>
              <w:ind w:firstLine="0" w:firstLineChars="0"/>
              <w:jc w:val="center"/>
              <w:rPr>
                <w:color w:val="000000" w:themeColor="text1"/>
              </w:rPr>
            </w:pPr>
            <w:r>
              <w:rPr>
                <w:rFonts w:hint="eastAsia"/>
                <w:color w:val="000000" w:themeColor="text1"/>
              </w:rPr>
              <w:t>C2542生物质致密成型燃料加工</w:t>
            </w:r>
          </w:p>
        </w:tc>
        <w:tc>
          <w:tcPr>
            <w:tcW w:w="2450" w:type="dxa"/>
            <w:tcBorders>
              <w:tl2br w:val="nil"/>
              <w:tr2bl w:val="nil"/>
            </w:tcBorders>
            <w:vAlign w:val="center"/>
          </w:tcPr>
          <w:p w14:paraId="038675BB">
            <w:pPr>
              <w:pStyle w:val="35"/>
              <w:spacing w:line="264" w:lineRule="auto"/>
              <w:ind w:left="0" w:leftChars="0" w:right="0" w:rightChars="0"/>
              <w:rPr>
                <w:color w:val="000000" w:themeColor="text1"/>
                <w:sz w:val="24"/>
                <w:szCs w:val="24"/>
              </w:rPr>
            </w:pPr>
            <w:bookmarkStart w:id="2" w:name="_Hlk49843745"/>
            <w:r>
              <w:rPr>
                <w:color w:val="000000" w:themeColor="text1"/>
                <w:sz w:val="24"/>
                <w:szCs w:val="24"/>
              </w:rPr>
              <w:t>建设项目</w:t>
            </w:r>
          </w:p>
          <w:p w14:paraId="3B5068C1">
            <w:pPr>
              <w:pStyle w:val="35"/>
              <w:spacing w:line="264" w:lineRule="auto"/>
              <w:ind w:left="0" w:leftChars="0" w:right="0" w:rightChars="0"/>
              <w:rPr>
                <w:color w:val="000000" w:themeColor="text1"/>
                <w:sz w:val="24"/>
                <w:szCs w:val="24"/>
              </w:rPr>
            </w:pPr>
            <w:r>
              <w:rPr>
                <w:color w:val="000000" w:themeColor="text1"/>
                <w:sz w:val="24"/>
                <w:szCs w:val="24"/>
              </w:rPr>
              <w:t>行业类别</w:t>
            </w:r>
            <w:bookmarkEnd w:id="2"/>
          </w:p>
        </w:tc>
        <w:tc>
          <w:tcPr>
            <w:tcW w:w="3730" w:type="dxa"/>
            <w:tcBorders>
              <w:tl2br w:val="nil"/>
              <w:tr2bl w:val="nil"/>
            </w:tcBorders>
            <w:vAlign w:val="center"/>
          </w:tcPr>
          <w:p w14:paraId="7583F071">
            <w:pPr>
              <w:spacing w:line="264" w:lineRule="auto"/>
              <w:ind w:firstLine="0" w:firstLineChars="0"/>
              <w:jc w:val="left"/>
              <w:rPr>
                <w:color w:val="000000" w:themeColor="text1"/>
              </w:rPr>
            </w:pPr>
            <w:r>
              <w:rPr>
                <w:rFonts w:hint="eastAsia"/>
                <w:color w:val="000000" w:themeColor="text1"/>
              </w:rPr>
              <w:t>二十二、石油、煤炭及其他燃料加工业25—43、生物质燃料加工254—生物质致密成型燃料加工</w:t>
            </w:r>
          </w:p>
        </w:tc>
      </w:tr>
      <w:tr w14:paraId="18D74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80" w:hRule="atLeast"/>
          <w:jc w:val="center"/>
        </w:trPr>
        <w:tc>
          <w:tcPr>
            <w:tcW w:w="1093" w:type="dxa"/>
            <w:tcBorders>
              <w:tl2br w:val="nil"/>
              <w:tr2bl w:val="nil"/>
            </w:tcBorders>
            <w:tcMar>
              <w:top w:w="16" w:type="dxa"/>
              <w:left w:w="16" w:type="dxa"/>
              <w:right w:w="16" w:type="dxa"/>
            </w:tcMar>
            <w:vAlign w:val="center"/>
          </w:tcPr>
          <w:p w14:paraId="5FE4C542">
            <w:pPr>
              <w:pStyle w:val="35"/>
              <w:spacing w:line="264" w:lineRule="auto"/>
              <w:ind w:left="0" w:leftChars="0" w:right="0" w:rightChars="0"/>
              <w:rPr>
                <w:color w:val="000000" w:themeColor="text1"/>
                <w:sz w:val="24"/>
                <w:szCs w:val="24"/>
              </w:rPr>
            </w:pPr>
            <w:r>
              <w:rPr>
                <w:rFonts w:hint="eastAsia"/>
                <w:color w:val="000000" w:themeColor="text1"/>
                <w:sz w:val="24"/>
                <w:szCs w:val="24"/>
              </w:rPr>
              <w:t>建设性质</w:t>
            </w:r>
          </w:p>
        </w:tc>
        <w:tc>
          <w:tcPr>
            <w:tcW w:w="1995" w:type="dxa"/>
            <w:tcBorders>
              <w:tl2br w:val="nil"/>
              <w:tr2bl w:val="nil"/>
            </w:tcBorders>
            <w:vAlign w:val="center"/>
          </w:tcPr>
          <w:p w14:paraId="6810BEE4">
            <w:pPr>
              <w:pStyle w:val="35"/>
              <w:spacing w:line="264" w:lineRule="auto"/>
              <w:ind w:left="0" w:leftChars="0" w:right="0" w:rightChars="0"/>
              <w:jc w:val="left"/>
              <w:rPr>
                <w:color w:val="000000" w:themeColor="text1"/>
                <w:sz w:val="24"/>
                <w:szCs w:val="24"/>
              </w:rPr>
            </w:pPr>
            <w:r>
              <w:rPr>
                <w:color w:val="000000" w:themeColor="text1"/>
                <w:sz w:val="24"/>
                <w:szCs w:val="24"/>
              </w:rPr>
              <w:sym w:font="Wingdings" w:char="00FE"/>
            </w:r>
            <w:r>
              <w:rPr>
                <w:rFonts w:hint="eastAsia"/>
                <w:color w:val="000000" w:themeColor="text1"/>
                <w:sz w:val="24"/>
                <w:szCs w:val="24"/>
              </w:rPr>
              <w:t>新建（迁建）</w:t>
            </w:r>
          </w:p>
          <w:p w14:paraId="36AB97C4">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改建</w:t>
            </w:r>
          </w:p>
          <w:p w14:paraId="3E668595">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扩建</w:t>
            </w:r>
          </w:p>
          <w:p w14:paraId="139891CF">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技术改造</w:t>
            </w:r>
          </w:p>
        </w:tc>
        <w:tc>
          <w:tcPr>
            <w:tcW w:w="2450" w:type="dxa"/>
            <w:tcBorders>
              <w:tl2br w:val="nil"/>
              <w:tr2bl w:val="nil"/>
            </w:tcBorders>
            <w:vAlign w:val="center"/>
          </w:tcPr>
          <w:p w14:paraId="526863FA">
            <w:pPr>
              <w:pStyle w:val="35"/>
              <w:spacing w:line="264" w:lineRule="auto"/>
              <w:ind w:left="0" w:leftChars="0" w:right="0" w:rightChars="0"/>
              <w:rPr>
                <w:color w:val="000000" w:themeColor="text1"/>
                <w:sz w:val="24"/>
                <w:szCs w:val="24"/>
              </w:rPr>
            </w:pPr>
            <w:r>
              <w:rPr>
                <w:rFonts w:hint="eastAsia"/>
                <w:color w:val="000000" w:themeColor="text1"/>
                <w:sz w:val="24"/>
                <w:szCs w:val="24"/>
              </w:rPr>
              <w:t>建设项目</w:t>
            </w:r>
          </w:p>
          <w:p w14:paraId="3DB2B414">
            <w:pPr>
              <w:pStyle w:val="35"/>
              <w:spacing w:line="264" w:lineRule="auto"/>
              <w:ind w:left="0" w:leftChars="0" w:right="0" w:rightChars="0"/>
              <w:rPr>
                <w:color w:val="000000" w:themeColor="text1"/>
                <w:sz w:val="24"/>
                <w:szCs w:val="24"/>
              </w:rPr>
            </w:pPr>
            <w:r>
              <w:rPr>
                <w:rFonts w:hint="eastAsia"/>
                <w:color w:val="000000" w:themeColor="text1"/>
                <w:sz w:val="24"/>
                <w:szCs w:val="24"/>
              </w:rPr>
              <w:t>申报情形</w:t>
            </w:r>
          </w:p>
        </w:tc>
        <w:tc>
          <w:tcPr>
            <w:tcW w:w="3730" w:type="dxa"/>
            <w:tcBorders>
              <w:tl2br w:val="nil"/>
              <w:tr2bl w:val="nil"/>
            </w:tcBorders>
            <w:vAlign w:val="center"/>
          </w:tcPr>
          <w:p w14:paraId="4671CAB9">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FE"/>
            </w:r>
            <w:r>
              <w:rPr>
                <w:rFonts w:hint="eastAsia"/>
                <w:color w:val="000000" w:themeColor="text1"/>
                <w:sz w:val="24"/>
                <w:szCs w:val="24"/>
              </w:rPr>
              <w:t>首次申报项目</w:t>
            </w:r>
            <w:r>
              <w:rPr>
                <w:color w:val="000000" w:themeColor="text1"/>
                <w:sz w:val="24"/>
                <w:szCs w:val="24"/>
              </w:rPr>
              <w:t xml:space="preserve">             </w:t>
            </w:r>
          </w:p>
          <w:p w14:paraId="65A46202">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不予批准后再次申报项目</w:t>
            </w:r>
          </w:p>
          <w:p w14:paraId="6A166553">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超五年重新审核项目</w:t>
            </w:r>
            <w:r>
              <w:rPr>
                <w:color w:val="000000" w:themeColor="text1"/>
                <w:sz w:val="24"/>
                <w:szCs w:val="24"/>
              </w:rPr>
              <w:t xml:space="preserve">     </w:t>
            </w:r>
          </w:p>
          <w:p w14:paraId="2347CCE4">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重大变动重新报批项目</w:t>
            </w:r>
          </w:p>
        </w:tc>
      </w:tr>
      <w:tr w14:paraId="785A6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7" w:hRule="atLeast"/>
          <w:jc w:val="center"/>
        </w:trPr>
        <w:tc>
          <w:tcPr>
            <w:tcW w:w="1093" w:type="dxa"/>
            <w:tcBorders>
              <w:tl2br w:val="nil"/>
              <w:tr2bl w:val="nil"/>
            </w:tcBorders>
            <w:tcMar>
              <w:top w:w="16" w:type="dxa"/>
              <w:left w:w="16" w:type="dxa"/>
              <w:right w:w="16" w:type="dxa"/>
            </w:tcMar>
            <w:vAlign w:val="center"/>
          </w:tcPr>
          <w:p w14:paraId="34DEC372">
            <w:pPr>
              <w:pStyle w:val="35"/>
              <w:spacing w:line="264" w:lineRule="auto"/>
              <w:ind w:left="0" w:leftChars="0" w:right="0" w:rightChars="0"/>
              <w:rPr>
                <w:color w:val="000000" w:themeColor="text1"/>
                <w:sz w:val="24"/>
                <w:szCs w:val="24"/>
              </w:rPr>
            </w:pPr>
            <w:r>
              <w:rPr>
                <w:rFonts w:hint="eastAsia"/>
                <w:color w:val="000000" w:themeColor="text1"/>
                <w:sz w:val="24"/>
                <w:szCs w:val="24"/>
              </w:rPr>
              <w:t>项目审批（核准</w:t>
            </w:r>
            <w:r>
              <w:rPr>
                <w:color w:val="000000" w:themeColor="text1"/>
                <w:sz w:val="24"/>
                <w:szCs w:val="24"/>
              </w:rPr>
              <w:t>/</w:t>
            </w:r>
            <w:r>
              <w:rPr>
                <w:rFonts w:hint="eastAsia"/>
                <w:color w:val="000000" w:themeColor="text1"/>
                <w:sz w:val="24"/>
                <w:szCs w:val="24"/>
              </w:rPr>
              <w:t>备案）部门（选填）</w:t>
            </w:r>
          </w:p>
        </w:tc>
        <w:tc>
          <w:tcPr>
            <w:tcW w:w="1995" w:type="dxa"/>
            <w:tcBorders>
              <w:tl2br w:val="nil"/>
              <w:tr2bl w:val="nil"/>
            </w:tcBorders>
            <w:vAlign w:val="center"/>
          </w:tcPr>
          <w:p w14:paraId="022B5170">
            <w:pPr>
              <w:pStyle w:val="35"/>
              <w:spacing w:line="264" w:lineRule="auto"/>
              <w:ind w:left="0" w:leftChars="0" w:right="0" w:rightChars="0"/>
              <w:rPr>
                <w:color w:val="000000" w:themeColor="text1"/>
                <w:sz w:val="24"/>
                <w:szCs w:val="24"/>
              </w:rPr>
            </w:pPr>
            <w:r>
              <w:rPr>
                <w:rFonts w:hint="eastAsia"/>
                <w:color w:val="000000" w:themeColor="text1"/>
                <w:sz w:val="24"/>
                <w:szCs w:val="24"/>
              </w:rPr>
              <w:t>唐山市曹妃甸区行政审批局</w:t>
            </w:r>
          </w:p>
        </w:tc>
        <w:tc>
          <w:tcPr>
            <w:tcW w:w="2450" w:type="dxa"/>
            <w:tcBorders>
              <w:tl2br w:val="nil"/>
              <w:tr2bl w:val="nil"/>
            </w:tcBorders>
            <w:vAlign w:val="center"/>
          </w:tcPr>
          <w:p w14:paraId="35C36509">
            <w:pPr>
              <w:pStyle w:val="35"/>
              <w:spacing w:line="264" w:lineRule="auto"/>
              <w:ind w:left="0" w:leftChars="0" w:right="0" w:rightChars="0"/>
              <w:rPr>
                <w:color w:val="000000" w:themeColor="text1"/>
                <w:sz w:val="24"/>
                <w:szCs w:val="24"/>
              </w:rPr>
            </w:pPr>
            <w:r>
              <w:rPr>
                <w:rFonts w:hint="eastAsia"/>
                <w:color w:val="000000" w:themeColor="text1"/>
                <w:sz w:val="24"/>
                <w:szCs w:val="24"/>
              </w:rPr>
              <w:t>项目审批（核准</w:t>
            </w:r>
            <w:r>
              <w:rPr>
                <w:color w:val="000000" w:themeColor="text1"/>
                <w:sz w:val="24"/>
                <w:szCs w:val="24"/>
              </w:rPr>
              <w:t>/</w:t>
            </w:r>
          </w:p>
          <w:p w14:paraId="20B7B050">
            <w:pPr>
              <w:pStyle w:val="35"/>
              <w:spacing w:line="264" w:lineRule="auto"/>
              <w:ind w:left="0" w:leftChars="0" w:right="0" w:rightChars="0"/>
              <w:rPr>
                <w:color w:val="000000" w:themeColor="text1"/>
                <w:sz w:val="24"/>
                <w:szCs w:val="24"/>
              </w:rPr>
            </w:pPr>
            <w:r>
              <w:rPr>
                <w:rFonts w:hint="eastAsia"/>
                <w:color w:val="000000" w:themeColor="text1"/>
                <w:sz w:val="24"/>
                <w:szCs w:val="24"/>
              </w:rPr>
              <w:t>备案）文号（选填）</w:t>
            </w:r>
          </w:p>
        </w:tc>
        <w:tc>
          <w:tcPr>
            <w:tcW w:w="3730" w:type="dxa"/>
            <w:tcBorders>
              <w:tl2br w:val="nil"/>
              <w:tr2bl w:val="nil"/>
            </w:tcBorders>
            <w:vAlign w:val="center"/>
          </w:tcPr>
          <w:p w14:paraId="4B0FCE0F">
            <w:pPr>
              <w:pStyle w:val="35"/>
              <w:spacing w:line="264" w:lineRule="auto"/>
              <w:ind w:left="0" w:leftChars="0" w:right="0" w:rightChars="0"/>
              <w:rPr>
                <w:color w:val="000000" w:themeColor="text1"/>
                <w:sz w:val="24"/>
                <w:szCs w:val="24"/>
              </w:rPr>
            </w:pPr>
            <w:r>
              <w:rPr>
                <w:rFonts w:hint="eastAsia"/>
                <w:color w:val="000000" w:themeColor="text1"/>
                <w:sz w:val="24"/>
                <w:szCs w:val="24"/>
              </w:rPr>
              <w:t>唐曹审批投资备[2025]16号 </w:t>
            </w:r>
          </w:p>
        </w:tc>
      </w:tr>
      <w:tr w14:paraId="42B4E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093" w:type="dxa"/>
            <w:tcBorders>
              <w:tl2br w:val="nil"/>
              <w:tr2bl w:val="nil"/>
            </w:tcBorders>
            <w:tcMar>
              <w:top w:w="16" w:type="dxa"/>
              <w:left w:w="16" w:type="dxa"/>
              <w:right w:w="16" w:type="dxa"/>
            </w:tcMar>
            <w:vAlign w:val="center"/>
          </w:tcPr>
          <w:p w14:paraId="40CD255F">
            <w:pPr>
              <w:pStyle w:val="35"/>
              <w:spacing w:line="264" w:lineRule="auto"/>
              <w:ind w:left="0" w:leftChars="0" w:right="0" w:rightChars="0"/>
              <w:rPr>
                <w:color w:val="000000" w:themeColor="text1"/>
                <w:sz w:val="24"/>
                <w:szCs w:val="24"/>
              </w:rPr>
            </w:pPr>
            <w:r>
              <w:rPr>
                <w:rFonts w:hint="eastAsia"/>
                <w:color w:val="000000" w:themeColor="text1"/>
                <w:sz w:val="24"/>
                <w:szCs w:val="24"/>
              </w:rPr>
              <w:t>总投资（万元）</w:t>
            </w:r>
          </w:p>
        </w:tc>
        <w:tc>
          <w:tcPr>
            <w:tcW w:w="1995" w:type="dxa"/>
            <w:tcBorders>
              <w:tl2br w:val="nil"/>
              <w:tr2bl w:val="nil"/>
            </w:tcBorders>
            <w:vAlign w:val="center"/>
          </w:tcPr>
          <w:p w14:paraId="1115C8ED">
            <w:pPr>
              <w:pStyle w:val="35"/>
              <w:spacing w:line="264" w:lineRule="auto"/>
              <w:ind w:left="0" w:leftChars="0" w:right="0" w:rightChars="0"/>
              <w:rPr>
                <w:color w:val="000000" w:themeColor="text1"/>
                <w:sz w:val="24"/>
                <w:szCs w:val="24"/>
              </w:rPr>
            </w:pPr>
            <w:r>
              <w:rPr>
                <w:rFonts w:hint="eastAsia"/>
                <w:color w:val="000000" w:themeColor="text1"/>
                <w:sz w:val="24"/>
                <w:szCs w:val="24"/>
              </w:rPr>
              <w:t>13000</w:t>
            </w:r>
          </w:p>
        </w:tc>
        <w:tc>
          <w:tcPr>
            <w:tcW w:w="2450" w:type="dxa"/>
            <w:tcBorders>
              <w:tl2br w:val="nil"/>
              <w:tr2bl w:val="nil"/>
            </w:tcBorders>
            <w:tcMar>
              <w:top w:w="16" w:type="dxa"/>
              <w:left w:w="16" w:type="dxa"/>
              <w:right w:w="16" w:type="dxa"/>
            </w:tcMar>
            <w:vAlign w:val="center"/>
          </w:tcPr>
          <w:p w14:paraId="1F260DCD">
            <w:pPr>
              <w:pStyle w:val="35"/>
              <w:spacing w:line="264" w:lineRule="auto"/>
              <w:ind w:left="0" w:leftChars="0" w:right="0" w:rightChars="0"/>
              <w:rPr>
                <w:color w:val="000000" w:themeColor="text1"/>
                <w:sz w:val="24"/>
                <w:szCs w:val="24"/>
              </w:rPr>
            </w:pPr>
            <w:r>
              <w:rPr>
                <w:rFonts w:hint="eastAsia"/>
                <w:color w:val="000000" w:themeColor="text1"/>
                <w:sz w:val="24"/>
                <w:szCs w:val="24"/>
              </w:rPr>
              <w:t>环保投资（万元）</w:t>
            </w:r>
          </w:p>
        </w:tc>
        <w:tc>
          <w:tcPr>
            <w:tcW w:w="3730" w:type="dxa"/>
            <w:tcBorders>
              <w:tl2br w:val="nil"/>
              <w:tr2bl w:val="nil"/>
            </w:tcBorders>
            <w:vAlign w:val="center"/>
          </w:tcPr>
          <w:p w14:paraId="3B7DC1C7">
            <w:pPr>
              <w:pStyle w:val="35"/>
              <w:spacing w:line="264" w:lineRule="auto"/>
              <w:ind w:left="0" w:leftChars="0" w:right="0" w:rightChars="0"/>
              <w:rPr>
                <w:color w:val="000000" w:themeColor="text1"/>
                <w:sz w:val="24"/>
                <w:szCs w:val="24"/>
              </w:rPr>
            </w:pPr>
            <w:r>
              <w:rPr>
                <w:rFonts w:hint="eastAsia"/>
                <w:color w:val="000000" w:themeColor="text1"/>
                <w:sz w:val="24"/>
                <w:szCs w:val="24"/>
              </w:rPr>
              <w:t>100</w:t>
            </w:r>
          </w:p>
        </w:tc>
      </w:tr>
      <w:tr w14:paraId="220B2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093" w:type="dxa"/>
            <w:tcBorders>
              <w:tl2br w:val="nil"/>
              <w:tr2bl w:val="nil"/>
            </w:tcBorders>
            <w:tcMar>
              <w:top w:w="16" w:type="dxa"/>
              <w:left w:w="16" w:type="dxa"/>
              <w:right w:w="16" w:type="dxa"/>
            </w:tcMar>
            <w:vAlign w:val="center"/>
          </w:tcPr>
          <w:p w14:paraId="47E5B0B8">
            <w:pPr>
              <w:pStyle w:val="35"/>
              <w:spacing w:line="264" w:lineRule="auto"/>
              <w:ind w:left="0" w:leftChars="0" w:right="0" w:rightChars="0"/>
              <w:rPr>
                <w:color w:val="000000" w:themeColor="text1"/>
                <w:sz w:val="24"/>
                <w:szCs w:val="24"/>
              </w:rPr>
            </w:pPr>
            <w:r>
              <w:rPr>
                <w:rFonts w:hint="eastAsia"/>
                <w:color w:val="000000" w:themeColor="text1"/>
                <w:sz w:val="24"/>
                <w:szCs w:val="24"/>
              </w:rPr>
              <w:t>环保投资占比（</w:t>
            </w:r>
            <w:r>
              <w:rPr>
                <w:color w:val="000000" w:themeColor="text1"/>
                <w:sz w:val="24"/>
                <w:szCs w:val="24"/>
              </w:rPr>
              <w:t>%</w:t>
            </w:r>
            <w:r>
              <w:rPr>
                <w:rFonts w:hint="eastAsia"/>
                <w:color w:val="000000" w:themeColor="text1"/>
                <w:sz w:val="24"/>
                <w:szCs w:val="24"/>
              </w:rPr>
              <w:t>）</w:t>
            </w:r>
          </w:p>
        </w:tc>
        <w:tc>
          <w:tcPr>
            <w:tcW w:w="1995" w:type="dxa"/>
            <w:tcBorders>
              <w:tl2br w:val="nil"/>
              <w:tr2bl w:val="nil"/>
            </w:tcBorders>
            <w:vAlign w:val="center"/>
          </w:tcPr>
          <w:p w14:paraId="63FBC031">
            <w:pPr>
              <w:pStyle w:val="35"/>
              <w:spacing w:line="264" w:lineRule="auto"/>
              <w:ind w:left="0" w:leftChars="0" w:right="0" w:rightChars="0"/>
              <w:rPr>
                <w:color w:val="000000" w:themeColor="text1"/>
                <w:sz w:val="24"/>
                <w:szCs w:val="24"/>
              </w:rPr>
            </w:pPr>
            <w:r>
              <w:rPr>
                <w:rFonts w:hint="eastAsia"/>
                <w:color w:val="000000" w:themeColor="text1"/>
                <w:sz w:val="24"/>
                <w:szCs w:val="24"/>
              </w:rPr>
              <w:t>0.77</w:t>
            </w:r>
          </w:p>
        </w:tc>
        <w:tc>
          <w:tcPr>
            <w:tcW w:w="2450" w:type="dxa"/>
            <w:tcBorders>
              <w:tl2br w:val="nil"/>
              <w:tr2bl w:val="nil"/>
            </w:tcBorders>
            <w:tcMar>
              <w:top w:w="16" w:type="dxa"/>
              <w:left w:w="16" w:type="dxa"/>
              <w:right w:w="16" w:type="dxa"/>
            </w:tcMar>
            <w:vAlign w:val="center"/>
          </w:tcPr>
          <w:p w14:paraId="092BA0CC">
            <w:pPr>
              <w:pStyle w:val="35"/>
              <w:spacing w:line="264" w:lineRule="auto"/>
              <w:ind w:left="0" w:leftChars="0" w:right="0" w:rightChars="0"/>
              <w:rPr>
                <w:color w:val="000000" w:themeColor="text1"/>
                <w:sz w:val="24"/>
                <w:szCs w:val="24"/>
              </w:rPr>
            </w:pPr>
            <w:r>
              <w:rPr>
                <w:rFonts w:hint="eastAsia"/>
                <w:color w:val="000000" w:themeColor="text1"/>
                <w:sz w:val="24"/>
                <w:szCs w:val="24"/>
              </w:rPr>
              <w:t>施工工期</w:t>
            </w:r>
          </w:p>
        </w:tc>
        <w:tc>
          <w:tcPr>
            <w:tcW w:w="3730" w:type="dxa"/>
            <w:tcBorders>
              <w:tl2br w:val="nil"/>
              <w:tr2bl w:val="nil"/>
            </w:tcBorders>
            <w:vAlign w:val="center"/>
          </w:tcPr>
          <w:p w14:paraId="18A9441F">
            <w:pPr>
              <w:pStyle w:val="35"/>
              <w:spacing w:line="264" w:lineRule="auto"/>
              <w:ind w:left="0" w:leftChars="0" w:right="0" w:rightChars="0"/>
              <w:rPr>
                <w:color w:val="000000" w:themeColor="text1"/>
                <w:sz w:val="24"/>
                <w:szCs w:val="24"/>
              </w:rPr>
            </w:pPr>
            <w:r>
              <w:rPr>
                <w:rFonts w:hint="eastAsia"/>
                <w:color w:val="000000" w:themeColor="text1"/>
                <w:sz w:val="24"/>
                <w:szCs w:val="24"/>
              </w:rPr>
              <w:t>2</w:t>
            </w:r>
            <w:r>
              <w:rPr>
                <w:color w:val="000000" w:themeColor="text1"/>
                <w:sz w:val="24"/>
                <w:szCs w:val="24"/>
              </w:rPr>
              <w:t>个月</w:t>
            </w:r>
          </w:p>
        </w:tc>
      </w:tr>
      <w:tr w14:paraId="4B51A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1093" w:type="dxa"/>
            <w:tcBorders>
              <w:tl2br w:val="nil"/>
              <w:tr2bl w:val="nil"/>
            </w:tcBorders>
            <w:tcMar>
              <w:top w:w="16" w:type="dxa"/>
              <w:left w:w="16" w:type="dxa"/>
              <w:right w:w="16" w:type="dxa"/>
            </w:tcMar>
            <w:vAlign w:val="center"/>
          </w:tcPr>
          <w:p w14:paraId="6460DD81">
            <w:pPr>
              <w:pStyle w:val="35"/>
              <w:spacing w:line="264" w:lineRule="auto"/>
              <w:ind w:left="0" w:leftChars="0" w:right="0" w:rightChars="0"/>
              <w:rPr>
                <w:color w:val="000000" w:themeColor="text1"/>
                <w:sz w:val="24"/>
                <w:szCs w:val="24"/>
              </w:rPr>
            </w:pPr>
            <w:r>
              <w:rPr>
                <w:rFonts w:hint="eastAsia"/>
                <w:color w:val="000000" w:themeColor="text1"/>
                <w:sz w:val="24"/>
                <w:szCs w:val="24"/>
              </w:rPr>
              <w:t>是否开工建设</w:t>
            </w:r>
          </w:p>
        </w:tc>
        <w:tc>
          <w:tcPr>
            <w:tcW w:w="1995" w:type="dxa"/>
            <w:tcBorders>
              <w:tl2br w:val="nil"/>
              <w:tr2bl w:val="nil"/>
            </w:tcBorders>
            <w:vAlign w:val="center"/>
          </w:tcPr>
          <w:p w14:paraId="4DEA17CB">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FE"/>
            </w:r>
            <w:r>
              <w:rPr>
                <w:rFonts w:hint="eastAsia"/>
                <w:color w:val="000000" w:themeColor="text1"/>
                <w:sz w:val="24"/>
                <w:szCs w:val="24"/>
              </w:rPr>
              <w:t>否</w:t>
            </w:r>
          </w:p>
          <w:p w14:paraId="2B636367">
            <w:pPr>
              <w:pStyle w:val="35"/>
              <w:spacing w:line="264" w:lineRule="auto"/>
              <w:ind w:left="0" w:leftChars="0" w:right="0" w:rightChars="0"/>
              <w:jc w:val="left"/>
              <w:rPr>
                <w:color w:val="000000" w:themeColor="text1"/>
                <w:sz w:val="24"/>
                <w:szCs w:val="24"/>
              </w:rPr>
            </w:pPr>
            <w:r>
              <w:rPr>
                <w:rFonts w:hint="eastAsia"/>
                <w:color w:val="000000" w:themeColor="text1"/>
                <w:sz w:val="24"/>
                <w:szCs w:val="24"/>
              </w:rPr>
              <w:sym w:font="Wingdings" w:char="00A8"/>
            </w:r>
            <w:r>
              <w:rPr>
                <w:rFonts w:hint="eastAsia"/>
                <w:color w:val="000000" w:themeColor="text1"/>
                <w:sz w:val="24"/>
                <w:szCs w:val="24"/>
              </w:rPr>
              <w:t>是：</w:t>
            </w:r>
            <w:r>
              <w:rPr>
                <w:rFonts w:hint="eastAsia"/>
                <w:color w:val="000000" w:themeColor="text1"/>
                <w:sz w:val="24"/>
                <w:szCs w:val="24"/>
                <w:u w:val="single"/>
              </w:rPr>
              <w:t xml:space="preserve">              </w:t>
            </w:r>
            <w:r>
              <w:rPr>
                <w:rFonts w:hint="eastAsia"/>
                <w:color w:val="000000" w:themeColor="text1"/>
                <w:sz w:val="24"/>
                <w:szCs w:val="24"/>
              </w:rPr>
              <w:t xml:space="preserve">             </w:t>
            </w:r>
          </w:p>
        </w:tc>
        <w:tc>
          <w:tcPr>
            <w:tcW w:w="2450" w:type="dxa"/>
            <w:tcBorders>
              <w:tl2br w:val="nil"/>
              <w:tr2bl w:val="nil"/>
            </w:tcBorders>
            <w:tcMar>
              <w:top w:w="16" w:type="dxa"/>
              <w:left w:w="16" w:type="dxa"/>
              <w:right w:w="16" w:type="dxa"/>
            </w:tcMar>
            <w:vAlign w:val="center"/>
          </w:tcPr>
          <w:p w14:paraId="460B722F">
            <w:pPr>
              <w:pStyle w:val="35"/>
              <w:spacing w:line="264" w:lineRule="auto"/>
              <w:ind w:left="0" w:leftChars="0" w:right="0" w:rightChars="0"/>
              <w:rPr>
                <w:color w:val="000000" w:themeColor="text1"/>
                <w:sz w:val="24"/>
                <w:szCs w:val="24"/>
              </w:rPr>
            </w:pPr>
            <w:r>
              <w:rPr>
                <w:rFonts w:hint="eastAsia"/>
                <w:color w:val="000000" w:themeColor="text1"/>
                <w:sz w:val="24"/>
                <w:szCs w:val="24"/>
              </w:rPr>
              <w:t>用地（用海）</w:t>
            </w:r>
          </w:p>
          <w:p w14:paraId="4708D783">
            <w:pPr>
              <w:pStyle w:val="35"/>
              <w:spacing w:line="264" w:lineRule="auto"/>
              <w:ind w:left="0" w:leftChars="0" w:right="0" w:rightChars="0"/>
              <w:rPr>
                <w:color w:val="000000" w:themeColor="text1"/>
                <w:sz w:val="24"/>
                <w:szCs w:val="24"/>
              </w:rPr>
            </w:pPr>
            <w:r>
              <w:rPr>
                <w:rFonts w:hint="eastAsia"/>
                <w:color w:val="000000" w:themeColor="text1"/>
                <w:sz w:val="24"/>
                <w:szCs w:val="24"/>
              </w:rPr>
              <w:t>面积</w:t>
            </w:r>
            <w:r>
              <w:rPr>
                <w:color w:val="000000" w:themeColor="text1"/>
                <w:sz w:val="24"/>
                <w:szCs w:val="24"/>
              </w:rPr>
              <w:t>（m</w:t>
            </w:r>
            <w:r>
              <w:rPr>
                <w:color w:val="000000" w:themeColor="text1"/>
                <w:sz w:val="24"/>
                <w:szCs w:val="24"/>
                <w:vertAlign w:val="superscript"/>
              </w:rPr>
              <w:t>2</w:t>
            </w:r>
            <w:r>
              <w:rPr>
                <w:color w:val="000000" w:themeColor="text1"/>
                <w:sz w:val="24"/>
                <w:szCs w:val="24"/>
              </w:rPr>
              <w:t>）</w:t>
            </w:r>
          </w:p>
        </w:tc>
        <w:tc>
          <w:tcPr>
            <w:tcW w:w="3730" w:type="dxa"/>
            <w:tcBorders>
              <w:tl2br w:val="nil"/>
              <w:tr2bl w:val="nil"/>
            </w:tcBorders>
            <w:vAlign w:val="center"/>
          </w:tcPr>
          <w:p w14:paraId="6F59D3D7">
            <w:pPr>
              <w:pStyle w:val="35"/>
              <w:spacing w:line="264" w:lineRule="auto"/>
              <w:ind w:left="0" w:leftChars="0" w:right="0" w:rightChars="0"/>
              <w:rPr>
                <w:color w:val="000000" w:themeColor="text1"/>
                <w:sz w:val="24"/>
                <w:szCs w:val="24"/>
              </w:rPr>
            </w:pPr>
            <w:r>
              <w:rPr>
                <w:rFonts w:hint="eastAsia"/>
                <w:color w:val="000000" w:themeColor="text1"/>
                <w:sz w:val="24"/>
                <w:szCs w:val="24"/>
              </w:rPr>
              <w:t>11042.88</w:t>
            </w:r>
          </w:p>
        </w:tc>
      </w:tr>
      <w:tr w14:paraId="21CCB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093" w:type="dxa"/>
            <w:tcBorders>
              <w:tl2br w:val="nil"/>
              <w:tr2bl w:val="nil"/>
            </w:tcBorders>
            <w:vAlign w:val="center"/>
          </w:tcPr>
          <w:p w14:paraId="2840E7AE">
            <w:pPr>
              <w:pStyle w:val="35"/>
              <w:spacing w:line="264" w:lineRule="auto"/>
              <w:rPr>
                <w:color w:val="000000" w:themeColor="text1"/>
                <w:sz w:val="24"/>
                <w:szCs w:val="24"/>
              </w:rPr>
            </w:pPr>
            <w:r>
              <w:rPr>
                <w:rFonts w:hint="eastAsia"/>
                <w:color w:val="000000" w:themeColor="text1"/>
                <w:sz w:val="24"/>
                <w:szCs w:val="24"/>
              </w:rPr>
              <w:t>专项评价设置情况</w:t>
            </w:r>
          </w:p>
        </w:tc>
        <w:tc>
          <w:tcPr>
            <w:tcW w:w="8175" w:type="dxa"/>
            <w:gridSpan w:val="3"/>
            <w:tcBorders>
              <w:tl2br w:val="nil"/>
              <w:tr2bl w:val="nil"/>
            </w:tcBorders>
            <w:vAlign w:val="center"/>
          </w:tcPr>
          <w:p w14:paraId="4D2879E1">
            <w:pPr>
              <w:pStyle w:val="35"/>
              <w:spacing w:line="360" w:lineRule="auto"/>
              <w:ind w:left="0" w:leftChars="0" w:right="0" w:rightChars="0" w:firstLine="480" w:firstLineChars="200"/>
              <w:jc w:val="left"/>
              <w:rPr>
                <w:color w:val="000000" w:themeColor="text1"/>
                <w:sz w:val="24"/>
                <w:szCs w:val="24"/>
              </w:rPr>
            </w:pPr>
            <w:r>
              <w:rPr>
                <w:rFonts w:hint="eastAsia"/>
                <w:color w:val="000000" w:themeColor="text1"/>
                <w:sz w:val="24"/>
                <w:szCs w:val="24"/>
              </w:rPr>
              <w:t>根据《建设项目环境影响报告表编制技术指南（污染影响类）（试行）》，结合本项目周边环境特征和污染物排放情况可知，本项目排放废气含有毒有害污染物汞，但不含二噁英、苯并[a]芘、氰化物、氯气且厂界外500m范围内无环境空气保护目标，因此，不设大气专项评价；本项目无废水直接排放至外环境，不属于新增工业废水直排建设项目，也不属于新增废水直排的污水集中处理厂项目，因此，不设地表水专项评价；本项目有毒有害和易燃易爆危险物质存储量未超过临界量，因此，不设环境风险专项评价；本项目不属于取水口下游500米范围内有重要水生生物的自然产卵场、索饵场、越冬场和洄游通道的新增河道取水的污染类建设项目，因此，不设生态专项评价；本项目不属于直接向海排放污染物的海洋工程建设项目，因此，不设海洋专项评价；本项目厂界外500m范围内无集中式饮用水水源和热水、矿泉水、温泉等特殊地下水资源保护区，不设地下水专项评价。</w:t>
            </w:r>
          </w:p>
        </w:tc>
      </w:tr>
      <w:tr w14:paraId="7D4C8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93" w:type="dxa"/>
            <w:tcBorders>
              <w:tl2br w:val="nil"/>
              <w:tr2bl w:val="nil"/>
            </w:tcBorders>
            <w:vAlign w:val="center"/>
          </w:tcPr>
          <w:p w14:paraId="244CBAA4">
            <w:pPr>
              <w:pStyle w:val="35"/>
              <w:spacing w:line="264" w:lineRule="auto"/>
              <w:rPr>
                <w:color w:val="000000" w:themeColor="text1"/>
                <w:sz w:val="24"/>
                <w:szCs w:val="24"/>
              </w:rPr>
            </w:pPr>
            <w:r>
              <w:rPr>
                <w:rFonts w:hint="eastAsia"/>
                <w:color w:val="000000" w:themeColor="text1"/>
                <w:sz w:val="24"/>
                <w:szCs w:val="24"/>
              </w:rPr>
              <w:t>规划情况</w:t>
            </w:r>
          </w:p>
        </w:tc>
        <w:tc>
          <w:tcPr>
            <w:tcW w:w="8175" w:type="dxa"/>
            <w:gridSpan w:val="3"/>
            <w:tcBorders>
              <w:tl2br w:val="nil"/>
              <w:tr2bl w:val="nil"/>
            </w:tcBorders>
            <w:vAlign w:val="center"/>
          </w:tcPr>
          <w:p w14:paraId="17E1C1DD">
            <w:pPr>
              <w:ind w:firstLine="480"/>
              <w:rPr>
                <w:color w:val="000000" w:themeColor="text1"/>
              </w:rPr>
            </w:pPr>
            <w:r>
              <w:rPr>
                <w:rFonts w:hint="eastAsia"/>
                <w:color w:val="000000" w:themeColor="text1"/>
              </w:rPr>
              <w:t>规划名称：</w:t>
            </w:r>
            <w:r>
              <w:rPr>
                <w:color w:val="000000" w:themeColor="text1"/>
              </w:rPr>
              <w:t>《曹妃甸循环经济示范区产业发展总体规划》</w:t>
            </w:r>
            <w:r>
              <w:rPr>
                <w:rFonts w:hint="eastAsia"/>
                <w:color w:val="000000" w:themeColor="text1"/>
              </w:rPr>
              <w:t>（2005-2030）》；</w:t>
            </w:r>
          </w:p>
          <w:p w14:paraId="18F9EBBC">
            <w:pPr>
              <w:ind w:firstLine="480"/>
              <w:rPr>
                <w:color w:val="000000" w:themeColor="text1"/>
              </w:rPr>
            </w:pPr>
            <w:r>
              <w:rPr>
                <w:color w:val="000000" w:themeColor="text1"/>
              </w:rPr>
              <w:t>召集审查机关：中华人民共和国国家发展和改革委员会；</w:t>
            </w:r>
          </w:p>
          <w:p w14:paraId="267C626E">
            <w:pPr>
              <w:ind w:firstLine="480"/>
              <w:rPr>
                <w:color w:val="000000" w:themeColor="text1"/>
              </w:rPr>
            </w:pPr>
            <w:r>
              <w:rPr>
                <w:color w:val="000000" w:themeColor="text1"/>
              </w:rPr>
              <w:t>审查文件名称及文号：《印发国家发展改革委关于审批曹妃甸循环经济示范区产业发展总体规划的请示的通知》（发改工业</w:t>
            </w:r>
            <w:r>
              <w:rPr>
                <w:rFonts w:hint="eastAsia"/>
                <w:color w:val="000000" w:themeColor="text1"/>
              </w:rPr>
              <w:t>[</w:t>
            </w:r>
            <w:r>
              <w:rPr>
                <w:color w:val="000000" w:themeColor="text1"/>
              </w:rPr>
              <w:t>2008</w:t>
            </w:r>
            <w:r>
              <w:rPr>
                <w:rFonts w:hint="eastAsia"/>
                <w:color w:val="000000" w:themeColor="text1"/>
              </w:rPr>
              <w:t>]</w:t>
            </w:r>
            <w:r>
              <w:rPr>
                <w:color w:val="000000" w:themeColor="text1"/>
              </w:rPr>
              <w:t>282号）</w:t>
            </w:r>
            <w:r>
              <w:rPr>
                <w:rFonts w:hint="eastAsia"/>
                <w:color w:val="000000" w:themeColor="text1"/>
              </w:rPr>
              <w:t>。</w:t>
            </w:r>
          </w:p>
        </w:tc>
      </w:tr>
      <w:tr w14:paraId="1C24F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93" w:type="dxa"/>
            <w:tcBorders>
              <w:tl2br w:val="nil"/>
              <w:tr2bl w:val="nil"/>
            </w:tcBorders>
            <w:vAlign w:val="center"/>
          </w:tcPr>
          <w:p w14:paraId="051E83EA">
            <w:pPr>
              <w:pStyle w:val="35"/>
              <w:spacing w:line="264" w:lineRule="auto"/>
              <w:rPr>
                <w:color w:val="000000" w:themeColor="text1"/>
                <w:sz w:val="24"/>
                <w:szCs w:val="24"/>
              </w:rPr>
            </w:pPr>
            <w:r>
              <w:rPr>
                <w:rFonts w:hint="eastAsia"/>
                <w:color w:val="000000" w:themeColor="text1"/>
                <w:sz w:val="24"/>
                <w:szCs w:val="24"/>
              </w:rPr>
              <w:t>规划环境影响评价情况</w:t>
            </w:r>
          </w:p>
        </w:tc>
        <w:tc>
          <w:tcPr>
            <w:tcW w:w="8175" w:type="dxa"/>
            <w:gridSpan w:val="3"/>
            <w:tcBorders>
              <w:tl2br w:val="nil"/>
              <w:tr2bl w:val="nil"/>
            </w:tcBorders>
            <w:vAlign w:val="center"/>
          </w:tcPr>
          <w:p w14:paraId="55A8E499">
            <w:pPr>
              <w:ind w:firstLine="480"/>
              <w:rPr>
                <w:color w:val="000000" w:themeColor="text1"/>
              </w:rPr>
            </w:pPr>
            <w:r>
              <w:rPr>
                <w:rFonts w:hint="eastAsia"/>
                <w:color w:val="000000" w:themeColor="text1"/>
              </w:rPr>
              <w:t>1、</w:t>
            </w:r>
            <w:r>
              <w:rPr>
                <w:color w:val="000000" w:themeColor="text1"/>
              </w:rPr>
              <w:t>规划环评文件名称：</w:t>
            </w:r>
            <w:r>
              <w:rPr>
                <w:rFonts w:hint="eastAsia"/>
                <w:color w:val="000000" w:themeColor="text1"/>
              </w:rPr>
              <w:t>《</w:t>
            </w:r>
            <w:r>
              <w:rPr>
                <w:color w:val="000000" w:themeColor="text1"/>
              </w:rPr>
              <w:t>曹妃甸循环经济示范区产业发展总体规划环境影响报告书</w:t>
            </w:r>
            <w:r>
              <w:rPr>
                <w:rFonts w:hint="eastAsia"/>
                <w:color w:val="000000" w:themeColor="text1"/>
              </w:rPr>
              <w:t>》；</w:t>
            </w:r>
          </w:p>
          <w:p w14:paraId="0CF96925">
            <w:pPr>
              <w:ind w:firstLine="480"/>
              <w:rPr>
                <w:color w:val="000000" w:themeColor="text1"/>
              </w:rPr>
            </w:pPr>
            <w:r>
              <w:rPr>
                <w:color w:val="000000" w:themeColor="text1"/>
              </w:rPr>
              <w:t>规划环评审查机关：</w:t>
            </w:r>
            <w:r>
              <w:rPr>
                <w:rFonts w:hint="eastAsia"/>
                <w:color w:val="000000" w:themeColor="text1"/>
              </w:rPr>
              <w:t>原</w:t>
            </w:r>
            <w:r>
              <w:rPr>
                <w:color w:val="000000" w:themeColor="text1"/>
              </w:rPr>
              <w:t>中华人民共和国环境保护部</w:t>
            </w:r>
            <w:r>
              <w:rPr>
                <w:rFonts w:hint="eastAsia"/>
                <w:color w:val="000000" w:themeColor="text1"/>
              </w:rPr>
              <w:t>；</w:t>
            </w:r>
          </w:p>
          <w:p w14:paraId="6320FDFA">
            <w:pPr>
              <w:ind w:firstLine="480"/>
              <w:rPr>
                <w:color w:val="000000" w:themeColor="text1"/>
              </w:rPr>
            </w:pPr>
            <w:r>
              <w:rPr>
                <w:color w:val="000000" w:themeColor="text1"/>
              </w:rPr>
              <w:t>审查文件名称及文号：</w:t>
            </w:r>
            <w:r>
              <w:rPr>
                <w:rFonts w:hint="eastAsia"/>
                <w:color w:val="000000" w:themeColor="text1"/>
              </w:rPr>
              <w:t>《</w:t>
            </w:r>
            <w:r>
              <w:rPr>
                <w:color w:val="000000" w:themeColor="text1"/>
              </w:rPr>
              <w:t>关于曹妃甸循环经济示范区产业发展总体规划环境影响报告书的审查意见</w:t>
            </w:r>
            <w:r>
              <w:rPr>
                <w:rFonts w:hint="eastAsia"/>
                <w:color w:val="000000" w:themeColor="text1"/>
              </w:rPr>
              <w:t>》</w:t>
            </w:r>
            <w:r>
              <w:rPr>
                <w:color w:val="000000" w:themeColor="text1"/>
              </w:rPr>
              <w:t>（环审[2009]445号）</w:t>
            </w:r>
            <w:r>
              <w:rPr>
                <w:rFonts w:hint="eastAsia"/>
                <w:color w:val="000000" w:themeColor="text1"/>
              </w:rPr>
              <w:t>。</w:t>
            </w:r>
          </w:p>
          <w:p w14:paraId="40D1EB75">
            <w:pPr>
              <w:ind w:firstLine="480"/>
              <w:rPr>
                <w:color w:val="000000" w:themeColor="text1"/>
              </w:rPr>
            </w:pPr>
            <w:r>
              <w:rPr>
                <w:rFonts w:hint="eastAsia"/>
                <w:color w:val="000000" w:themeColor="text1"/>
              </w:rPr>
              <w:t>2、</w:t>
            </w:r>
            <w:r>
              <w:rPr>
                <w:color w:val="000000" w:themeColor="text1"/>
              </w:rPr>
              <w:t>规划环评文件名称：</w:t>
            </w:r>
            <w:r>
              <w:rPr>
                <w:rFonts w:hint="eastAsia"/>
                <w:color w:val="000000" w:themeColor="text1"/>
              </w:rPr>
              <w:t>《</w:t>
            </w:r>
            <w:r>
              <w:rPr>
                <w:color w:val="000000" w:themeColor="text1"/>
              </w:rPr>
              <w:t>曹妃甸循环经济示范区规划环境影响跟踪评价报告</w:t>
            </w:r>
            <w:r>
              <w:rPr>
                <w:rFonts w:hint="eastAsia"/>
                <w:color w:val="000000" w:themeColor="text1"/>
              </w:rPr>
              <w:t>》；</w:t>
            </w:r>
          </w:p>
          <w:p w14:paraId="2E2EF659">
            <w:pPr>
              <w:ind w:firstLine="480"/>
              <w:rPr>
                <w:color w:val="000000" w:themeColor="text1"/>
              </w:rPr>
            </w:pPr>
            <w:r>
              <w:rPr>
                <w:color w:val="000000" w:themeColor="text1"/>
              </w:rPr>
              <w:t>规划环评审查机关：中华人民共和国生态环境部</w:t>
            </w:r>
            <w:r>
              <w:rPr>
                <w:rFonts w:hint="eastAsia"/>
                <w:color w:val="000000" w:themeColor="text1"/>
              </w:rPr>
              <w:t>；</w:t>
            </w:r>
          </w:p>
          <w:p w14:paraId="066B2AB2">
            <w:pPr>
              <w:ind w:firstLine="480"/>
              <w:rPr>
                <w:color w:val="000000" w:themeColor="text1"/>
              </w:rPr>
            </w:pPr>
            <w:r>
              <w:rPr>
                <w:color w:val="000000" w:themeColor="text1"/>
              </w:rPr>
              <w:t>审查文件名称及文号：</w:t>
            </w:r>
            <w:r>
              <w:rPr>
                <w:rFonts w:hint="eastAsia"/>
                <w:color w:val="000000" w:themeColor="text1"/>
              </w:rPr>
              <w:t>《</w:t>
            </w:r>
            <w:r>
              <w:rPr>
                <w:color w:val="000000" w:themeColor="text1"/>
              </w:rPr>
              <w:t>关于曹妃甸循环经济示范区规划环境影响跟踪评价工作有关意见的函</w:t>
            </w:r>
            <w:r>
              <w:rPr>
                <w:rFonts w:hint="eastAsia"/>
                <w:color w:val="000000" w:themeColor="text1"/>
              </w:rPr>
              <w:t>》</w:t>
            </w:r>
            <w:r>
              <w:rPr>
                <w:color w:val="000000" w:themeColor="text1"/>
              </w:rPr>
              <w:t>（环办环评函[2019]334号）</w:t>
            </w:r>
            <w:r>
              <w:rPr>
                <w:rFonts w:hint="eastAsia"/>
                <w:color w:val="000000" w:themeColor="text1"/>
              </w:rPr>
              <w:t>。</w:t>
            </w:r>
          </w:p>
        </w:tc>
      </w:tr>
      <w:tr w14:paraId="52477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93" w:type="dxa"/>
            <w:tcBorders>
              <w:tl2br w:val="nil"/>
              <w:tr2bl w:val="nil"/>
            </w:tcBorders>
            <w:vAlign w:val="center"/>
          </w:tcPr>
          <w:p w14:paraId="5872B502">
            <w:pPr>
              <w:pStyle w:val="35"/>
              <w:spacing w:line="264" w:lineRule="auto"/>
              <w:rPr>
                <w:color w:val="000000" w:themeColor="text1"/>
                <w:sz w:val="24"/>
                <w:szCs w:val="24"/>
              </w:rPr>
            </w:pPr>
            <w:r>
              <w:rPr>
                <w:rFonts w:hint="eastAsia"/>
                <w:color w:val="000000" w:themeColor="text1"/>
                <w:sz w:val="24"/>
                <w:szCs w:val="24"/>
              </w:rPr>
              <w:t>规划及规划环境影响评价符合性分析</w:t>
            </w:r>
          </w:p>
        </w:tc>
        <w:tc>
          <w:tcPr>
            <w:tcW w:w="8175" w:type="dxa"/>
            <w:gridSpan w:val="3"/>
            <w:tcBorders>
              <w:tl2br w:val="nil"/>
              <w:tr2bl w:val="nil"/>
            </w:tcBorders>
            <w:vAlign w:val="center"/>
          </w:tcPr>
          <w:p w14:paraId="597C3BA5">
            <w:pPr>
              <w:spacing w:line="360" w:lineRule="auto"/>
              <w:ind w:firstLine="482"/>
              <w:jc w:val="left"/>
              <w:rPr>
                <w:b/>
                <w:bCs/>
                <w:color w:val="000000" w:themeColor="text1"/>
              </w:rPr>
            </w:pPr>
            <w:r>
              <w:rPr>
                <w:rFonts w:hint="eastAsia"/>
                <w:b/>
                <w:bCs/>
                <w:color w:val="000000" w:themeColor="text1"/>
              </w:rPr>
              <w:t>1、本项目与规划符合性分析</w:t>
            </w:r>
          </w:p>
          <w:p w14:paraId="3E951F6D">
            <w:pPr>
              <w:ind w:firstLine="482"/>
              <w:rPr>
                <w:b/>
                <w:bCs/>
                <w:color w:val="000000" w:themeColor="text1"/>
              </w:rPr>
            </w:pPr>
            <w:r>
              <w:rPr>
                <w:b/>
                <w:bCs/>
                <w:color w:val="000000" w:themeColor="text1"/>
              </w:rPr>
              <w:t>1.1 曹妃甸循环经济示范区规划概况</w:t>
            </w:r>
          </w:p>
          <w:p w14:paraId="2014173E">
            <w:pPr>
              <w:ind w:firstLine="480"/>
              <w:rPr>
                <w:color w:val="000000" w:themeColor="text1"/>
              </w:rPr>
            </w:pPr>
            <w:r>
              <w:rPr>
                <w:color w:val="000000" w:themeColor="text1"/>
              </w:rPr>
              <w:t>曹妃甸循环经济示范区规划总面积380km</w:t>
            </w:r>
            <w:r>
              <w:rPr>
                <w:color w:val="000000" w:themeColor="text1"/>
                <w:vertAlign w:val="superscript"/>
              </w:rPr>
              <w:t>2</w:t>
            </w:r>
            <w:r>
              <w:rPr>
                <w:color w:val="000000" w:themeColor="text1"/>
              </w:rPr>
              <w:t>，其中陆域面积约310km</w:t>
            </w:r>
            <w:r>
              <w:rPr>
                <w:color w:val="000000" w:themeColor="text1"/>
                <w:vertAlign w:val="superscript"/>
              </w:rPr>
              <w:t>2</w:t>
            </w:r>
            <w:r>
              <w:rPr>
                <w:color w:val="000000" w:themeColor="text1"/>
              </w:rPr>
              <w:t>，水域面积70km</w:t>
            </w:r>
            <w:r>
              <w:rPr>
                <w:color w:val="000000" w:themeColor="text1"/>
                <w:vertAlign w:val="superscript"/>
              </w:rPr>
              <w:t>2</w:t>
            </w:r>
            <w:r>
              <w:rPr>
                <w:color w:val="000000" w:themeColor="text1"/>
              </w:rPr>
              <w:t>，以精品钢铁项目、大型炼化一体化装置和港口物流作为核心主导产业，以现代港口物流、钢铁、石化、装备制造等四大产业为主导，电力、海水淡化、建材、环保等关联产业循环配套，信息、金融、商贸、旅游等现代服务业协调发展的产业体系，工业区现状已形成1区（临港商务区）8园（石化基地、钢电园区、装备园区、新兴产业园区、中日生态园区、中日韩循环经济区（即再生园区）、港口物流园区、综合保税区）产业布局。</w:t>
            </w:r>
          </w:p>
          <w:p w14:paraId="3844EA3E">
            <w:pPr>
              <w:spacing w:line="360" w:lineRule="auto"/>
              <w:ind w:firstLine="480"/>
              <w:jc w:val="left"/>
              <w:rPr>
                <w:color w:val="000000" w:themeColor="text1"/>
              </w:rPr>
            </w:pPr>
            <w:r>
              <w:rPr>
                <w:rFonts w:hint="eastAsia"/>
                <w:color w:val="000000" w:themeColor="text1"/>
              </w:rPr>
              <w:t>根据《</w:t>
            </w:r>
            <w:r>
              <w:rPr>
                <w:color w:val="000000" w:themeColor="text1"/>
              </w:rPr>
              <w:t>曹妃甸循环经济示范区规划环境影响跟踪评价报告</w:t>
            </w:r>
            <w:r>
              <w:rPr>
                <w:rFonts w:hint="eastAsia"/>
                <w:color w:val="000000" w:themeColor="text1"/>
              </w:rPr>
              <w:t>》，各园区产业定位见下表。</w:t>
            </w:r>
          </w:p>
          <w:p w14:paraId="745E6F8C">
            <w:pPr>
              <w:spacing w:line="360" w:lineRule="auto"/>
              <w:ind w:firstLine="0" w:firstLineChars="0"/>
              <w:jc w:val="center"/>
              <w:rPr>
                <w:b/>
                <w:bCs/>
                <w:color w:val="000000" w:themeColor="text1"/>
                <w:sz w:val="21"/>
                <w:szCs w:val="21"/>
              </w:rPr>
            </w:pPr>
            <w:r>
              <w:rPr>
                <w:rFonts w:hint="eastAsia"/>
                <w:b/>
                <w:bCs/>
                <w:color w:val="000000" w:themeColor="text1"/>
                <w:sz w:val="21"/>
                <w:szCs w:val="21"/>
              </w:rPr>
              <w:t>表1   各园区定位一览表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6419"/>
            </w:tblGrid>
            <w:tr w14:paraId="5FD29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0BFD7FD8">
                  <w:pPr>
                    <w:pStyle w:val="35"/>
                    <w:rPr>
                      <w:b/>
                      <w:bCs/>
                      <w:color w:val="000000" w:themeColor="text1"/>
                    </w:rPr>
                  </w:pPr>
                  <w:r>
                    <w:rPr>
                      <w:b/>
                      <w:bCs/>
                      <w:color w:val="000000" w:themeColor="text1"/>
                    </w:rPr>
                    <w:t>园区</w:t>
                  </w:r>
                </w:p>
              </w:tc>
              <w:tc>
                <w:tcPr>
                  <w:tcW w:w="4048" w:type="pct"/>
                  <w:tcBorders>
                    <w:tl2br w:val="nil"/>
                    <w:tr2bl w:val="nil"/>
                  </w:tcBorders>
                  <w:vAlign w:val="center"/>
                </w:tcPr>
                <w:p w14:paraId="1F2B1F0D">
                  <w:pPr>
                    <w:pStyle w:val="35"/>
                    <w:rPr>
                      <w:b/>
                      <w:bCs/>
                      <w:color w:val="000000" w:themeColor="text1"/>
                    </w:rPr>
                  </w:pPr>
                  <w:r>
                    <w:rPr>
                      <w:b/>
                      <w:bCs/>
                      <w:color w:val="000000" w:themeColor="text1"/>
                    </w:rPr>
                    <w:t>定位</w:t>
                  </w:r>
                </w:p>
              </w:tc>
            </w:tr>
            <w:tr w14:paraId="6ADBC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232C00F5">
                  <w:pPr>
                    <w:pStyle w:val="35"/>
                    <w:rPr>
                      <w:color w:val="000000" w:themeColor="text1"/>
                    </w:rPr>
                  </w:pPr>
                  <w:r>
                    <w:rPr>
                      <w:rFonts w:hint="eastAsia"/>
                      <w:color w:val="000000" w:themeColor="text1"/>
                    </w:rPr>
                    <w:t>钢电园区</w:t>
                  </w:r>
                </w:p>
              </w:tc>
              <w:tc>
                <w:tcPr>
                  <w:tcW w:w="4048" w:type="pct"/>
                  <w:tcBorders>
                    <w:tl2br w:val="nil"/>
                    <w:tr2bl w:val="nil"/>
                  </w:tcBorders>
                  <w:vAlign w:val="center"/>
                </w:tcPr>
                <w:p w14:paraId="211814BA">
                  <w:pPr>
                    <w:pStyle w:val="35"/>
                    <w:rPr>
                      <w:color w:val="000000" w:themeColor="text1"/>
                    </w:rPr>
                  </w:pPr>
                  <w:r>
                    <w:rPr>
                      <w:color w:val="000000" w:themeColor="text1"/>
                    </w:rPr>
                    <w:t>以钢铁、电力行业为主导，海水淡化、粉煤灰等新型建材等行业</w:t>
                  </w:r>
                </w:p>
              </w:tc>
            </w:tr>
            <w:tr w14:paraId="3DF6D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656AC382">
                  <w:pPr>
                    <w:pStyle w:val="35"/>
                    <w:rPr>
                      <w:color w:val="000000" w:themeColor="text1"/>
                    </w:rPr>
                  </w:pPr>
                  <w:r>
                    <w:rPr>
                      <w:color w:val="000000" w:themeColor="text1"/>
                    </w:rPr>
                    <w:t>石化</w:t>
                  </w:r>
                  <w:r>
                    <w:rPr>
                      <w:rFonts w:hint="eastAsia"/>
                      <w:color w:val="000000" w:themeColor="text1"/>
                    </w:rPr>
                    <w:t>园区</w:t>
                  </w:r>
                </w:p>
              </w:tc>
              <w:tc>
                <w:tcPr>
                  <w:tcW w:w="4048" w:type="pct"/>
                  <w:tcBorders>
                    <w:tl2br w:val="nil"/>
                    <w:tr2bl w:val="nil"/>
                  </w:tcBorders>
                  <w:vAlign w:val="center"/>
                </w:tcPr>
                <w:p w14:paraId="2469CF08">
                  <w:pPr>
                    <w:pStyle w:val="35"/>
                    <w:rPr>
                      <w:color w:val="000000" w:themeColor="text1"/>
                    </w:rPr>
                  </w:pPr>
                  <w:r>
                    <w:rPr>
                      <w:color w:val="000000" w:themeColor="text1"/>
                    </w:rPr>
                    <w:t>以石油化工与配套产业为主导职能，包括石油化工、炼化一体化、原油储备、石化物流、公用工程岛、石化产业配套、综合发展等产业</w:t>
                  </w:r>
                </w:p>
              </w:tc>
            </w:tr>
            <w:tr w14:paraId="292CE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65E95D3B">
                  <w:pPr>
                    <w:pStyle w:val="35"/>
                    <w:rPr>
                      <w:color w:val="000000" w:themeColor="text1"/>
                    </w:rPr>
                  </w:pPr>
                  <w:r>
                    <w:rPr>
                      <w:color w:val="000000" w:themeColor="text1"/>
                    </w:rPr>
                    <w:t>装备</w:t>
                  </w:r>
                  <w:r>
                    <w:rPr>
                      <w:rFonts w:hint="eastAsia"/>
                      <w:color w:val="000000" w:themeColor="text1"/>
                    </w:rPr>
                    <w:t>园区</w:t>
                  </w:r>
                </w:p>
              </w:tc>
              <w:tc>
                <w:tcPr>
                  <w:tcW w:w="4048" w:type="pct"/>
                  <w:tcBorders>
                    <w:tl2br w:val="nil"/>
                    <w:tr2bl w:val="nil"/>
                  </w:tcBorders>
                  <w:vAlign w:val="center"/>
                </w:tcPr>
                <w:p w14:paraId="511CAA80">
                  <w:pPr>
                    <w:pStyle w:val="35"/>
                    <w:rPr>
                      <w:color w:val="000000" w:themeColor="text1"/>
                    </w:rPr>
                  </w:pPr>
                  <w:r>
                    <w:rPr>
                      <w:color w:val="000000" w:themeColor="text1"/>
                    </w:rPr>
                    <w:t>发展以海洋工程船舶、港口机械、发电设备、冶金设备、工程机械、矿山机械及大型矿石等大型重型装备制造业和保税港等主导职能</w:t>
                  </w:r>
                </w:p>
              </w:tc>
            </w:tr>
            <w:tr w14:paraId="693F8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1CCB01DD">
                  <w:pPr>
                    <w:pStyle w:val="35"/>
                    <w:rPr>
                      <w:color w:val="000000" w:themeColor="text1"/>
                    </w:rPr>
                  </w:pPr>
                  <w:r>
                    <w:rPr>
                      <w:color w:val="000000" w:themeColor="text1"/>
                    </w:rPr>
                    <w:t>新兴</w:t>
                  </w:r>
                  <w:r>
                    <w:rPr>
                      <w:rFonts w:hint="eastAsia"/>
                      <w:color w:val="000000" w:themeColor="text1"/>
                    </w:rPr>
                    <w:t>园区</w:t>
                  </w:r>
                </w:p>
              </w:tc>
              <w:tc>
                <w:tcPr>
                  <w:tcW w:w="4048" w:type="pct"/>
                  <w:tcBorders>
                    <w:tl2br w:val="nil"/>
                    <w:tr2bl w:val="nil"/>
                  </w:tcBorders>
                  <w:vAlign w:val="center"/>
                </w:tcPr>
                <w:p w14:paraId="3A7AA809">
                  <w:pPr>
                    <w:pStyle w:val="35"/>
                    <w:rPr>
                      <w:color w:val="000000" w:themeColor="text1"/>
                    </w:rPr>
                  </w:pPr>
                  <w:r>
                    <w:rPr>
                      <w:color w:val="000000" w:themeColor="text1"/>
                    </w:rPr>
                    <w:t>重点发展新能源、高端装备制造、新材料、新一代信息技术、光电子、机电一体化、信息、生物、航空航天等产业</w:t>
                  </w:r>
                </w:p>
              </w:tc>
            </w:tr>
            <w:tr w14:paraId="2CB2B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6B47C23F">
                  <w:pPr>
                    <w:pStyle w:val="35"/>
                    <w:rPr>
                      <w:color w:val="000000" w:themeColor="text1"/>
                    </w:rPr>
                  </w:pPr>
                  <w:r>
                    <w:rPr>
                      <w:color w:val="000000" w:themeColor="text1"/>
                    </w:rPr>
                    <w:t>中日</w:t>
                  </w:r>
                  <w:r>
                    <w:rPr>
                      <w:rFonts w:hint="eastAsia"/>
                      <w:color w:val="000000" w:themeColor="text1"/>
                    </w:rPr>
                    <w:t>园区</w:t>
                  </w:r>
                </w:p>
              </w:tc>
              <w:tc>
                <w:tcPr>
                  <w:tcW w:w="4048" w:type="pct"/>
                  <w:tcBorders>
                    <w:tl2br w:val="nil"/>
                    <w:tr2bl w:val="nil"/>
                  </w:tcBorders>
                  <w:vAlign w:val="center"/>
                </w:tcPr>
                <w:p w14:paraId="37799993">
                  <w:pPr>
                    <w:pStyle w:val="35"/>
                    <w:rPr>
                      <w:color w:val="000000" w:themeColor="text1"/>
                    </w:rPr>
                  </w:pPr>
                  <w:r>
                    <w:rPr>
                      <w:color w:val="000000" w:themeColor="text1"/>
                    </w:rPr>
                    <w:t>发展节能环保、高新技术和高端制造等产业</w:t>
                  </w:r>
                </w:p>
              </w:tc>
            </w:tr>
            <w:tr w14:paraId="4444E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0CFEC6BA">
                  <w:pPr>
                    <w:pStyle w:val="35"/>
                    <w:rPr>
                      <w:color w:val="000000" w:themeColor="text1"/>
                    </w:rPr>
                  </w:pPr>
                  <w:r>
                    <w:rPr>
                      <w:color w:val="000000" w:themeColor="text1"/>
                    </w:rPr>
                    <w:t>港口物流</w:t>
                  </w:r>
                  <w:r>
                    <w:rPr>
                      <w:rFonts w:hint="eastAsia"/>
                      <w:color w:val="000000" w:themeColor="text1"/>
                    </w:rPr>
                    <w:t>园区</w:t>
                  </w:r>
                </w:p>
              </w:tc>
              <w:tc>
                <w:tcPr>
                  <w:tcW w:w="4048" w:type="pct"/>
                  <w:tcBorders>
                    <w:tl2br w:val="nil"/>
                    <w:tr2bl w:val="nil"/>
                  </w:tcBorders>
                  <w:vAlign w:val="center"/>
                </w:tcPr>
                <w:p w14:paraId="643090F5">
                  <w:pPr>
                    <w:pStyle w:val="35"/>
                    <w:rPr>
                      <w:color w:val="000000" w:themeColor="text1"/>
                    </w:rPr>
                  </w:pPr>
                  <w:r>
                    <w:rPr>
                      <w:color w:val="000000" w:themeColor="text1"/>
                    </w:rPr>
                    <w:t>重点建设能源、矿石等大宗货物的集疏港、贸易港，商业性能源储备基地，煤炭、木材、钢材、矿石、燃气等货种的交易中心</w:t>
                  </w:r>
                </w:p>
              </w:tc>
            </w:tr>
            <w:tr w14:paraId="4F828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vAlign w:val="center"/>
                </w:tcPr>
                <w:p w14:paraId="21391CB0">
                  <w:pPr>
                    <w:pStyle w:val="35"/>
                    <w:rPr>
                      <w:color w:val="000000" w:themeColor="text1"/>
                    </w:rPr>
                  </w:pPr>
                  <w:r>
                    <w:rPr>
                      <w:color w:val="000000" w:themeColor="text1"/>
                    </w:rPr>
                    <w:t>中日韩循环经济区</w:t>
                  </w:r>
                </w:p>
              </w:tc>
              <w:tc>
                <w:tcPr>
                  <w:tcW w:w="4048" w:type="pct"/>
                  <w:tcBorders>
                    <w:tl2br w:val="nil"/>
                    <w:tr2bl w:val="nil"/>
                  </w:tcBorders>
                  <w:vAlign w:val="center"/>
                </w:tcPr>
                <w:p w14:paraId="04897934">
                  <w:pPr>
                    <w:pStyle w:val="35"/>
                    <w:rPr>
                      <w:color w:val="000000" w:themeColor="text1"/>
                    </w:rPr>
                  </w:pPr>
                  <w:r>
                    <w:rPr>
                      <w:color w:val="000000" w:themeColor="text1"/>
                    </w:rPr>
                    <w:t>重点发展新能源、高端装备制造、新材料、新一代信息技术等高新技术产业、废弃物综合利用产业等产业</w:t>
                  </w:r>
                </w:p>
              </w:tc>
            </w:tr>
          </w:tbl>
          <w:p w14:paraId="003891A0">
            <w:pPr>
              <w:spacing w:line="360" w:lineRule="auto"/>
              <w:ind w:firstLine="480"/>
              <w:jc w:val="left"/>
              <w:rPr>
                <w:color w:val="000000" w:themeColor="text1"/>
              </w:rPr>
            </w:pPr>
            <w:r>
              <w:rPr>
                <w:rFonts w:hint="eastAsia"/>
                <w:color w:val="000000" w:themeColor="text1"/>
              </w:rPr>
              <w:t>本项目位于唐山市曹妃甸装备制造产业园区唐山曹妃甸木业股份有限公司厂区内，根据《</w:t>
            </w:r>
            <w:r>
              <w:rPr>
                <w:color w:val="000000" w:themeColor="text1"/>
              </w:rPr>
              <w:t>曹妃甸循环经济示范区规划环境影响跟踪评价报告</w:t>
            </w:r>
            <w:r>
              <w:rPr>
                <w:rFonts w:hint="eastAsia"/>
                <w:color w:val="000000" w:themeColor="text1"/>
              </w:rPr>
              <w:t>》，装备制造产业园区定位为发展以海洋工程船舶、港口机械、发电设备、冶金设备、工程机械、矿山机械及大型矿石等大型重型装备制造业和保税港等主导职能，园区现有食品加工、木材加工、粉煤灰制钾肥、金属架构、风机、通用设备等行业；装备园区北起评价范围北边界，南至三号港池南边界，西至通岛路，东至国安路，依托曹妃甸精品钢铁基地、深水大港及唐山市深厚的工业基础，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企业。</w:t>
            </w:r>
          </w:p>
          <w:p w14:paraId="2AC4E040">
            <w:pPr>
              <w:spacing w:line="360" w:lineRule="auto"/>
              <w:ind w:firstLine="480"/>
              <w:jc w:val="left"/>
              <w:rPr>
                <w:color w:val="000000" w:themeColor="text1"/>
              </w:rPr>
            </w:pPr>
            <w:r>
              <w:rPr>
                <w:rFonts w:hint="eastAsia"/>
                <w:color w:val="000000" w:themeColor="text1"/>
              </w:rPr>
              <w:t>本项目以原木加工厂的原木锯末为原料，生产生物质能源颗粒，属于木材深加工的下游产业及关联产业，不属于装备制造园区禁止类和限制类项目。</w:t>
            </w:r>
          </w:p>
          <w:p w14:paraId="31B25B4A">
            <w:pPr>
              <w:pStyle w:val="37"/>
              <w:ind w:firstLine="482"/>
              <w:textAlignment w:val="auto"/>
              <w:rPr>
                <w:rFonts w:ascii="Times New Roman" w:eastAsia="宋体"/>
                <w:b/>
                <w:bCs/>
                <w:color w:val="000000" w:themeColor="text1"/>
                <w:szCs w:val="24"/>
              </w:rPr>
            </w:pPr>
            <w:r>
              <w:rPr>
                <w:rFonts w:hint="eastAsia" w:ascii="Times New Roman" w:eastAsia="宋体"/>
                <w:b/>
                <w:bCs/>
                <w:color w:val="000000" w:themeColor="text1"/>
                <w:szCs w:val="24"/>
              </w:rPr>
              <w:t>1</w:t>
            </w:r>
            <w:r>
              <w:rPr>
                <w:rFonts w:ascii="Times New Roman" w:eastAsia="宋体"/>
                <w:b/>
                <w:bCs/>
                <w:color w:val="000000" w:themeColor="text1"/>
                <w:szCs w:val="24"/>
              </w:rPr>
              <w:t xml:space="preserve">.2 </w:t>
            </w:r>
            <w:r>
              <w:rPr>
                <w:rFonts w:hint="eastAsia" w:ascii="Times New Roman" w:eastAsia="宋体"/>
                <w:b/>
                <w:bCs/>
                <w:color w:val="000000" w:themeColor="text1"/>
                <w:szCs w:val="24"/>
              </w:rPr>
              <w:t>曹妃甸循环经济示范区</w:t>
            </w:r>
            <w:r>
              <w:rPr>
                <w:rFonts w:ascii="Times New Roman" w:eastAsia="宋体"/>
                <w:b/>
                <w:bCs/>
                <w:color w:val="000000" w:themeColor="text1"/>
                <w:szCs w:val="24"/>
              </w:rPr>
              <w:t>公用工程规划</w:t>
            </w:r>
          </w:p>
          <w:p w14:paraId="4D289227">
            <w:pPr>
              <w:ind w:firstLine="480"/>
              <w:rPr>
                <w:color w:val="000000" w:themeColor="text1"/>
              </w:rPr>
            </w:pPr>
            <w:r>
              <w:rPr>
                <w:color w:val="000000" w:themeColor="text1"/>
              </w:rPr>
              <w:t>（1）</w:t>
            </w:r>
            <w:r>
              <w:rPr>
                <w:rFonts w:hint="eastAsia"/>
                <w:color w:val="000000" w:themeColor="text1"/>
              </w:rPr>
              <w:t>给</w:t>
            </w:r>
            <w:r>
              <w:rPr>
                <w:color w:val="000000" w:themeColor="text1"/>
              </w:rPr>
              <w:t>水规划</w:t>
            </w:r>
          </w:p>
          <w:p w14:paraId="69734FE2">
            <w:pPr>
              <w:ind w:firstLine="480"/>
              <w:rPr>
                <w:color w:val="000000" w:themeColor="text1"/>
              </w:rPr>
            </w:pPr>
            <w:r>
              <w:rPr>
                <w:color w:val="000000" w:themeColor="text1"/>
              </w:rPr>
              <w:t>目前曹妃甸工业区水资源的主要来源为地表水和海水淡化。2017年5月，工业区实现双水源地表水供水，主水源为引滦入唐供水系统，陡河水库为水源地；地表水辅助水源为桃林口水库。</w:t>
            </w:r>
          </w:p>
          <w:p w14:paraId="394A195E">
            <w:pPr>
              <w:ind w:firstLine="480"/>
              <w:rPr>
                <w:color w:val="000000" w:themeColor="text1"/>
              </w:rPr>
            </w:pPr>
            <w:r>
              <w:rPr>
                <w:color w:val="000000" w:themeColor="text1"/>
              </w:rPr>
              <w:t>曹妃甸工业区以发展港口物流、钢铁、化工和高端装备制造等高耗水产业为主，为解决自身无淡水资源的矛盾，自建设起步阶段就将海水淡化纳入了区内循环经济产业中重要的一环。</w:t>
            </w:r>
          </w:p>
          <w:p w14:paraId="76D62CAD">
            <w:pPr>
              <w:ind w:firstLine="480"/>
              <w:rPr>
                <w:color w:val="000000" w:themeColor="text1"/>
              </w:rPr>
            </w:pPr>
            <w:r>
              <w:rPr>
                <w:color w:val="000000" w:themeColor="text1"/>
              </w:rPr>
              <w:t>工业区内由唐山市曹妃甸供水公司修建的自唐山陡河水库引水管线供应地表淡水。该管线沿上海路西侧管廊带敷设，管径1200毫米，管材为钢管，水压0.2MPa左右，管顶平均标高3.3米（覆土1.2米）输水量可达8200万立方米；沈阳道装备区段的给水干管管径600~1200毫米。2017年5月，完成滦下提水泵站工程，于桃林口水库取水，取水量可达5000万吨每年，实现双水源供水。</w:t>
            </w:r>
          </w:p>
          <w:p w14:paraId="4E823806">
            <w:pPr>
              <w:ind w:firstLine="480"/>
              <w:rPr>
                <w:color w:val="000000" w:themeColor="text1"/>
              </w:rPr>
            </w:pPr>
            <w:r>
              <w:rPr>
                <w:color w:val="000000" w:themeColor="text1"/>
              </w:rPr>
              <w:t>工业区内净水厂净水产能8.5万吨/天，钢电园区水厂北侧修建了总占地约20公顷的蓄水池，总容积近95万立方米。</w:t>
            </w:r>
          </w:p>
          <w:p w14:paraId="4F376464">
            <w:pPr>
              <w:ind w:firstLine="480"/>
              <w:rPr>
                <w:color w:val="000000" w:themeColor="text1"/>
              </w:rPr>
            </w:pPr>
            <w:r>
              <w:rPr>
                <w:color w:val="000000" w:themeColor="text1"/>
              </w:rPr>
              <w:t>工业区内先后建设了首钢京唐5万吨/日低温多效海水淡化项目和北控水务5万吨/日反渗透海水淡化项目并投产使用。目前曹妃甸海水淡化产能10万吨/日，年可供淡水0.33亿立方米。</w:t>
            </w:r>
          </w:p>
          <w:p w14:paraId="51E1082E">
            <w:pPr>
              <w:ind w:firstLine="480"/>
              <w:rPr>
                <w:color w:val="000000" w:themeColor="text1"/>
              </w:rPr>
            </w:pPr>
            <w:r>
              <w:rPr>
                <w:color w:val="000000" w:themeColor="text1"/>
              </w:rPr>
              <w:t>目前园区集中供水管网已覆盖至项目厂区区域，本项目用水由园区供水管网供给。</w:t>
            </w:r>
          </w:p>
          <w:p w14:paraId="0B0B2F5E">
            <w:pPr>
              <w:ind w:firstLine="480"/>
              <w:rPr>
                <w:color w:val="000000" w:themeColor="text1"/>
              </w:rPr>
            </w:pPr>
            <w:r>
              <w:rPr>
                <w:color w:val="000000" w:themeColor="text1"/>
              </w:rPr>
              <w:t>（2）排水规划</w:t>
            </w:r>
          </w:p>
          <w:p w14:paraId="583CE5A2">
            <w:pPr>
              <w:ind w:firstLine="480"/>
              <w:rPr>
                <w:color w:val="000000" w:themeColor="text1"/>
              </w:rPr>
            </w:pPr>
            <w:r>
              <w:rPr>
                <w:color w:val="000000" w:themeColor="text1"/>
              </w:rPr>
              <w:t>目前曹妃甸工</w:t>
            </w:r>
            <w:r>
              <w:rPr>
                <w:rFonts w:hint="eastAsia"/>
                <w:color w:val="000000" w:themeColor="text1"/>
              </w:rPr>
              <w:t>业</w:t>
            </w:r>
            <w:r>
              <w:rPr>
                <w:color w:val="000000" w:themeColor="text1"/>
              </w:rPr>
              <w:t>区内有2座污水处理厂和1座污水处理站，即曹妃甸工业区起步区（北区）污水处理厂、曹妃甸工业区污水处理厂（南区）和曹妃甸工业区装备制造区污水处理站，在建1座污水处理厂，即石化基地污水处理厂。除园区污水处理厂外，重点涉水排污单位及各码头公司也配套建设了污水处理设施。</w:t>
            </w:r>
          </w:p>
          <w:p w14:paraId="6B433551">
            <w:pPr>
              <w:ind w:firstLine="480"/>
              <w:rPr>
                <w:color w:val="000000" w:themeColor="text1"/>
              </w:rPr>
            </w:pPr>
            <w:r>
              <w:rPr>
                <w:color w:val="000000" w:themeColor="text1"/>
              </w:rPr>
              <w:t>曹妃甸</w:t>
            </w:r>
            <w:r>
              <w:rPr>
                <w:rFonts w:hint="eastAsia"/>
                <w:color w:val="000000" w:themeColor="text1"/>
              </w:rPr>
              <w:t>工业</w:t>
            </w:r>
            <w:r>
              <w:rPr>
                <w:color w:val="000000" w:themeColor="text1"/>
              </w:rPr>
              <w:t>区装备制造区污水处理站位于曹妃甸</w:t>
            </w:r>
            <w:r>
              <w:rPr>
                <w:rFonts w:hint="eastAsia"/>
                <w:color w:val="000000" w:themeColor="text1"/>
              </w:rPr>
              <w:t>装备园区A6路以东，装备道以北</w:t>
            </w:r>
            <w:r>
              <w:rPr>
                <w:color w:val="000000" w:themeColor="text1"/>
              </w:rPr>
              <w:t>，占地面积</w:t>
            </w:r>
            <w:r>
              <w:rPr>
                <w:rFonts w:hint="eastAsia"/>
                <w:color w:val="000000" w:themeColor="text1"/>
              </w:rPr>
              <w:t>20</w:t>
            </w:r>
            <w:r>
              <w:rPr>
                <w:color w:val="000000" w:themeColor="text1"/>
              </w:rPr>
              <w:t>00平方米，污水处理规模为</w:t>
            </w:r>
            <w:r>
              <w:rPr>
                <w:rFonts w:hint="eastAsia"/>
                <w:color w:val="000000" w:themeColor="text1"/>
              </w:rPr>
              <w:t>1</w:t>
            </w:r>
            <w:r>
              <w:rPr>
                <w:color w:val="000000" w:themeColor="text1"/>
              </w:rPr>
              <w:t>500m</w:t>
            </w:r>
            <w:r>
              <w:rPr>
                <w:color w:val="000000" w:themeColor="text1"/>
                <w:vertAlign w:val="superscript"/>
              </w:rPr>
              <w:t>3</w:t>
            </w:r>
            <w:r>
              <w:rPr>
                <w:color w:val="000000" w:themeColor="text1"/>
              </w:rPr>
              <w:t>/d，</w:t>
            </w:r>
            <w:r>
              <w:rPr>
                <w:rFonts w:hint="eastAsia"/>
                <w:color w:val="000000" w:themeColor="text1"/>
              </w:rPr>
              <w:t>目前的处理量约500</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服务范围为</w:t>
            </w:r>
            <w:r>
              <w:rPr>
                <w:rFonts w:hint="eastAsia"/>
                <w:color w:val="000000" w:themeColor="text1"/>
              </w:rPr>
              <w:t>曹妃甸工业区装备区（含综合保税区）</w:t>
            </w:r>
            <w:r>
              <w:rPr>
                <w:color w:val="000000" w:themeColor="text1"/>
              </w:rPr>
              <w:t>。污水处理站总体工艺流程包括：一级</w:t>
            </w:r>
            <w:r>
              <w:rPr>
                <w:rFonts w:hint="eastAsia"/>
                <w:color w:val="000000" w:themeColor="text1"/>
              </w:rPr>
              <w:t>预</w:t>
            </w:r>
            <w:r>
              <w:rPr>
                <w:color w:val="000000" w:themeColor="text1"/>
              </w:rPr>
              <w:t>处理段</w:t>
            </w:r>
            <w:r>
              <w:rPr>
                <w:rFonts w:hint="eastAsia"/>
                <w:color w:val="000000" w:themeColor="text1"/>
              </w:rPr>
              <w:t>（格栅+细格栅+调节池）</w:t>
            </w:r>
            <w:r>
              <w:rPr>
                <w:color w:val="000000" w:themeColor="text1"/>
              </w:rPr>
              <w:t>、二级生物处理段（</w:t>
            </w:r>
            <w:r>
              <w:rPr>
                <w:rFonts w:hint="eastAsia"/>
                <w:color w:val="000000" w:themeColor="text1"/>
              </w:rPr>
              <w:t>生物流化床技术（M</w:t>
            </w:r>
            <w:r>
              <w:rPr>
                <w:color w:val="000000" w:themeColor="text1"/>
              </w:rPr>
              <w:t>BBR</w:t>
            </w:r>
            <w:r>
              <w:rPr>
                <w:rFonts w:hint="eastAsia"/>
                <w:color w:val="000000" w:themeColor="text1"/>
              </w:rPr>
              <w:t>），包含厌氧+缺氧+好氧</w:t>
            </w:r>
            <w:r>
              <w:rPr>
                <w:color w:val="000000" w:themeColor="text1"/>
              </w:rPr>
              <w:t>）、三级深度处理段（</w:t>
            </w:r>
            <w:r>
              <w:rPr>
                <w:rFonts w:hint="eastAsia"/>
                <w:color w:val="000000" w:themeColor="text1"/>
              </w:rPr>
              <w:t>斜管沉淀池+砂滤池</w:t>
            </w:r>
            <w:r>
              <w:rPr>
                <w:color w:val="000000" w:themeColor="text1"/>
              </w:rPr>
              <w:t>）、</w:t>
            </w:r>
            <w:r>
              <w:rPr>
                <w:rFonts w:hint="eastAsia"/>
                <w:color w:val="000000" w:themeColor="text1"/>
              </w:rPr>
              <w:t>消毒处理（次氯酸钠消毒工艺）、</w:t>
            </w:r>
            <w:r>
              <w:rPr>
                <w:color w:val="000000" w:themeColor="text1"/>
              </w:rPr>
              <w:t>污泥处理段，出水达到《城镇污水处理厂污染物排放标准》（GB18918-2002）中一级A标准</w:t>
            </w:r>
            <w:r>
              <w:rPr>
                <w:rFonts w:hint="eastAsia"/>
                <w:color w:val="000000" w:themeColor="text1"/>
              </w:rPr>
              <w:t>要求，同时达到《城镇污水再生利用城市杂用水水质》（G</w:t>
            </w:r>
            <w:r>
              <w:rPr>
                <w:color w:val="000000" w:themeColor="text1"/>
              </w:rPr>
              <w:t>B/T18920-2002</w:t>
            </w:r>
            <w:r>
              <w:rPr>
                <w:rFonts w:hint="eastAsia"/>
                <w:color w:val="000000" w:themeColor="text1"/>
              </w:rPr>
              <w:t>）表1标准</w:t>
            </w:r>
            <w:r>
              <w:rPr>
                <w:color w:val="000000" w:themeColor="text1"/>
              </w:rPr>
              <w:t>。</w:t>
            </w:r>
            <w:r>
              <w:rPr>
                <w:rFonts w:hint="eastAsia"/>
                <w:color w:val="000000" w:themeColor="text1"/>
              </w:rPr>
              <w:t>污水处理站的出水排入A</w:t>
            </w:r>
            <w:r>
              <w:rPr>
                <w:color w:val="000000" w:themeColor="text1"/>
              </w:rPr>
              <w:t>6</w:t>
            </w:r>
            <w:r>
              <w:rPr>
                <w:rFonts w:hint="eastAsia"/>
                <w:color w:val="000000" w:themeColor="text1"/>
              </w:rPr>
              <w:t>河，再由</w:t>
            </w:r>
            <w:r>
              <w:rPr>
                <w:color w:val="000000" w:themeColor="text1"/>
              </w:rPr>
              <w:t>A6</w:t>
            </w:r>
            <w:r>
              <w:rPr>
                <w:rFonts w:hint="eastAsia"/>
                <w:color w:val="000000" w:themeColor="text1"/>
              </w:rPr>
              <w:t>河汇入北环河，A</w:t>
            </w:r>
            <w:r>
              <w:rPr>
                <w:color w:val="000000" w:themeColor="text1"/>
              </w:rPr>
              <w:t>6</w:t>
            </w:r>
            <w:r>
              <w:rPr>
                <w:rFonts w:hint="eastAsia"/>
                <w:color w:val="000000" w:themeColor="text1"/>
              </w:rPr>
              <w:t>河、北环河均为景观河。待周边的中水回用设施完善后，污水处理站出水可回用于城市绿化、道路清扫、冲厕等</w:t>
            </w:r>
            <w:r>
              <w:rPr>
                <w:rFonts w:hint="eastAsia" w:ascii="宋体" w:hAnsi="宋体" w:cs="宋体"/>
                <w:color w:val="000000" w:themeColor="text1"/>
                <w:kern w:val="0"/>
              </w:rPr>
              <w:t xml:space="preserve">。 </w:t>
            </w:r>
          </w:p>
          <w:p w14:paraId="205AFFED">
            <w:pPr>
              <w:ind w:firstLine="422"/>
              <w:jc w:val="center"/>
              <w:rPr>
                <w:b/>
                <w:bCs/>
                <w:color w:val="000000" w:themeColor="text1"/>
                <w:kern w:val="44"/>
                <w:sz w:val="21"/>
                <w:szCs w:val="21"/>
              </w:rPr>
            </w:pPr>
            <w:r>
              <w:rPr>
                <w:b/>
                <w:bCs/>
                <w:color w:val="000000" w:themeColor="text1"/>
                <w:sz w:val="21"/>
                <w:szCs w:val="21"/>
              </w:rPr>
              <w:t>表</w:t>
            </w:r>
            <w:r>
              <w:rPr>
                <w:rFonts w:hint="eastAsia"/>
                <w:b/>
                <w:bCs/>
                <w:color w:val="000000" w:themeColor="text1"/>
                <w:sz w:val="21"/>
                <w:szCs w:val="21"/>
              </w:rPr>
              <w:t>2</w:t>
            </w:r>
            <w:r>
              <w:rPr>
                <w:b/>
                <w:bCs/>
                <w:color w:val="000000" w:themeColor="text1"/>
                <w:sz w:val="21"/>
                <w:szCs w:val="21"/>
              </w:rPr>
              <w:t xml:space="preserve">  </w:t>
            </w:r>
            <w:r>
              <w:rPr>
                <w:b/>
                <w:bCs/>
                <w:color w:val="000000" w:themeColor="text1"/>
                <w:kern w:val="44"/>
                <w:sz w:val="21"/>
                <w:szCs w:val="21"/>
              </w:rPr>
              <w:t>污水处理厂污水设计出水水质</w:t>
            </w:r>
            <w:r>
              <w:rPr>
                <w:rFonts w:hint="eastAsia"/>
                <w:b/>
                <w:bCs/>
                <w:color w:val="000000" w:themeColor="text1"/>
                <w:kern w:val="44"/>
                <w:sz w:val="21"/>
                <w:szCs w:val="21"/>
              </w:rPr>
              <w:t xml:space="preserve"> </w:t>
            </w:r>
            <w:r>
              <w:rPr>
                <w:b/>
                <w:bCs/>
                <w:color w:val="000000" w:themeColor="text1"/>
                <w:kern w:val="44"/>
                <w:sz w:val="21"/>
                <w:szCs w:val="21"/>
              </w:rPr>
              <w:t xml:space="preserve">  </w:t>
            </w:r>
            <w:r>
              <w:rPr>
                <w:rFonts w:hint="eastAsia"/>
                <w:b/>
                <w:bCs/>
                <w:color w:val="000000" w:themeColor="text1"/>
                <w:kern w:val="44"/>
                <w:sz w:val="21"/>
                <w:szCs w:val="21"/>
              </w:rPr>
              <w:t>单位：mg/L</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8"/>
              <w:gridCol w:w="829"/>
              <w:gridCol w:w="708"/>
              <w:gridCol w:w="943"/>
              <w:gridCol w:w="830"/>
              <w:gridCol w:w="1043"/>
              <w:gridCol w:w="2873"/>
            </w:tblGrid>
            <w:tr w14:paraId="4432F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40" w:type="pct"/>
                  <w:tcBorders>
                    <w:tl2br w:val="nil"/>
                    <w:tr2bl w:val="nil"/>
                  </w:tcBorders>
                  <w:vAlign w:val="center"/>
                </w:tcPr>
                <w:p w14:paraId="619CED1C">
                  <w:pPr>
                    <w:spacing w:line="240" w:lineRule="auto"/>
                    <w:ind w:firstLine="0" w:firstLineChars="0"/>
                    <w:jc w:val="center"/>
                    <w:rPr>
                      <w:b/>
                      <w:bCs/>
                      <w:color w:val="000000" w:themeColor="text1"/>
                      <w:kern w:val="44"/>
                      <w:sz w:val="21"/>
                      <w:szCs w:val="21"/>
                    </w:rPr>
                  </w:pPr>
                  <w:r>
                    <w:rPr>
                      <w:b/>
                      <w:bCs/>
                      <w:color w:val="000000" w:themeColor="text1"/>
                      <w:kern w:val="44"/>
                      <w:sz w:val="21"/>
                      <w:szCs w:val="21"/>
                    </w:rPr>
                    <w:t>COD</w:t>
                  </w:r>
                </w:p>
              </w:tc>
              <w:tc>
                <w:tcPr>
                  <w:tcW w:w="523" w:type="pct"/>
                  <w:tcBorders>
                    <w:tl2br w:val="nil"/>
                    <w:tr2bl w:val="nil"/>
                  </w:tcBorders>
                  <w:vAlign w:val="center"/>
                </w:tcPr>
                <w:p w14:paraId="188DAD0E">
                  <w:pPr>
                    <w:spacing w:line="240" w:lineRule="auto"/>
                    <w:ind w:firstLine="0" w:firstLineChars="0"/>
                    <w:jc w:val="center"/>
                    <w:rPr>
                      <w:b/>
                      <w:bCs/>
                      <w:color w:val="000000" w:themeColor="text1"/>
                      <w:kern w:val="44"/>
                      <w:sz w:val="21"/>
                      <w:szCs w:val="21"/>
                    </w:rPr>
                  </w:pPr>
                  <w:r>
                    <w:rPr>
                      <w:b/>
                      <w:bCs/>
                      <w:color w:val="000000" w:themeColor="text1"/>
                      <w:kern w:val="44"/>
                      <w:sz w:val="21"/>
                      <w:szCs w:val="21"/>
                    </w:rPr>
                    <w:t>BOD</w:t>
                  </w:r>
                  <w:r>
                    <w:rPr>
                      <w:b/>
                      <w:bCs/>
                      <w:color w:val="000000" w:themeColor="text1"/>
                      <w:kern w:val="44"/>
                      <w:sz w:val="21"/>
                      <w:szCs w:val="21"/>
                      <w:vertAlign w:val="subscript"/>
                    </w:rPr>
                    <w:t>5</w:t>
                  </w:r>
                </w:p>
              </w:tc>
              <w:tc>
                <w:tcPr>
                  <w:tcW w:w="447" w:type="pct"/>
                  <w:tcBorders>
                    <w:tl2br w:val="nil"/>
                    <w:tr2bl w:val="nil"/>
                  </w:tcBorders>
                  <w:vAlign w:val="center"/>
                </w:tcPr>
                <w:p w14:paraId="6D8C2068">
                  <w:pPr>
                    <w:spacing w:line="240" w:lineRule="auto"/>
                    <w:ind w:firstLine="0" w:firstLineChars="0"/>
                    <w:jc w:val="center"/>
                    <w:rPr>
                      <w:b/>
                      <w:bCs/>
                      <w:color w:val="000000" w:themeColor="text1"/>
                      <w:kern w:val="44"/>
                      <w:sz w:val="21"/>
                      <w:szCs w:val="21"/>
                    </w:rPr>
                  </w:pPr>
                  <w:r>
                    <w:rPr>
                      <w:b/>
                      <w:bCs/>
                      <w:color w:val="000000" w:themeColor="text1"/>
                      <w:kern w:val="44"/>
                      <w:sz w:val="21"/>
                      <w:szCs w:val="21"/>
                    </w:rPr>
                    <w:t>SS</w:t>
                  </w:r>
                </w:p>
              </w:tc>
              <w:tc>
                <w:tcPr>
                  <w:tcW w:w="595" w:type="pct"/>
                  <w:tcBorders>
                    <w:tl2br w:val="nil"/>
                    <w:tr2bl w:val="nil"/>
                  </w:tcBorders>
                  <w:vAlign w:val="center"/>
                </w:tcPr>
                <w:p w14:paraId="1821982D">
                  <w:pPr>
                    <w:spacing w:line="240" w:lineRule="auto"/>
                    <w:ind w:firstLine="0" w:firstLineChars="0"/>
                    <w:jc w:val="center"/>
                    <w:rPr>
                      <w:b/>
                      <w:bCs/>
                      <w:color w:val="000000" w:themeColor="text1"/>
                      <w:kern w:val="44"/>
                      <w:sz w:val="21"/>
                      <w:szCs w:val="21"/>
                    </w:rPr>
                  </w:pPr>
                  <w:r>
                    <w:rPr>
                      <w:b/>
                      <w:bCs/>
                      <w:color w:val="000000" w:themeColor="text1"/>
                      <w:kern w:val="44"/>
                      <w:sz w:val="21"/>
                      <w:szCs w:val="21"/>
                    </w:rPr>
                    <w:t>NH</w:t>
                  </w:r>
                  <w:r>
                    <w:rPr>
                      <w:b/>
                      <w:bCs/>
                      <w:color w:val="000000" w:themeColor="text1"/>
                      <w:kern w:val="44"/>
                      <w:sz w:val="21"/>
                      <w:szCs w:val="21"/>
                      <w:vertAlign w:val="subscript"/>
                    </w:rPr>
                    <w:t>3</w:t>
                  </w:r>
                  <w:r>
                    <w:rPr>
                      <w:b/>
                      <w:bCs/>
                      <w:color w:val="000000" w:themeColor="text1"/>
                      <w:kern w:val="44"/>
                      <w:sz w:val="21"/>
                      <w:szCs w:val="21"/>
                    </w:rPr>
                    <w:t>-N</w:t>
                  </w:r>
                </w:p>
              </w:tc>
              <w:tc>
                <w:tcPr>
                  <w:tcW w:w="524" w:type="pct"/>
                  <w:tcBorders>
                    <w:tl2br w:val="nil"/>
                    <w:tr2bl w:val="nil"/>
                  </w:tcBorders>
                  <w:vAlign w:val="center"/>
                </w:tcPr>
                <w:p w14:paraId="325EEA33">
                  <w:pPr>
                    <w:spacing w:line="240" w:lineRule="auto"/>
                    <w:ind w:firstLine="0" w:firstLineChars="0"/>
                    <w:jc w:val="center"/>
                    <w:rPr>
                      <w:b/>
                      <w:bCs/>
                      <w:color w:val="000000" w:themeColor="text1"/>
                      <w:kern w:val="44"/>
                      <w:sz w:val="21"/>
                      <w:szCs w:val="21"/>
                    </w:rPr>
                  </w:pPr>
                  <w:r>
                    <w:rPr>
                      <w:b/>
                      <w:bCs/>
                      <w:color w:val="000000" w:themeColor="text1"/>
                      <w:kern w:val="44"/>
                      <w:sz w:val="21"/>
                      <w:szCs w:val="21"/>
                    </w:rPr>
                    <w:t>TN</w:t>
                  </w:r>
                </w:p>
              </w:tc>
              <w:tc>
                <w:tcPr>
                  <w:tcW w:w="658" w:type="pct"/>
                  <w:tcBorders>
                    <w:tl2br w:val="nil"/>
                    <w:tr2bl w:val="nil"/>
                  </w:tcBorders>
                  <w:vAlign w:val="center"/>
                </w:tcPr>
                <w:p w14:paraId="7E33DB27">
                  <w:pPr>
                    <w:spacing w:line="240" w:lineRule="auto"/>
                    <w:ind w:firstLine="0" w:firstLineChars="0"/>
                    <w:jc w:val="center"/>
                    <w:rPr>
                      <w:b/>
                      <w:bCs/>
                      <w:color w:val="000000" w:themeColor="text1"/>
                      <w:kern w:val="44"/>
                      <w:sz w:val="21"/>
                      <w:szCs w:val="21"/>
                    </w:rPr>
                  </w:pPr>
                  <w:r>
                    <w:rPr>
                      <w:b/>
                      <w:bCs/>
                      <w:color w:val="000000" w:themeColor="text1"/>
                      <w:kern w:val="44"/>
                      <w:sz w:val="21"/>
                      <w:szCs w:val="21"/>
                    </w:rPr>
                    <w:t>TP</w:t>
                  </w:r>
                </w:p>
              </w:tc>
              <w:tc>
                <w:tcPr>
                  <w:tcW w:w="1811" w:type="pct"/>
                  <w:tcBorders>
                    <w:tl2br w:val="nil"/>
                    <w:tr2bl w:val="nil"/>
                  </w:tcBorders>
                  <w:vAlign w:val="center"/>
                </w:tcPr>
                <w:p w14:paraId="345113F9">
                  <w:pPr>
                    <w:spacing w:line="240" w:lineRule="auto"/>
                    <w:ind w:firstLine="0" w:firstLineChars="0"/>
                    <w:jc w:val="center"/>
                    <w:rPr>
                      <w:b/>
                      <w:bCs/>
                      <w:color w:val="000000" w:themeColor="text1"/>
                      <w:kern w:val="44"/>
                      <w:sz w:val="21"/>
                      <w:szCs w:val="21"/>
                    </w:rPr>
                  </w:pPr>
                  <w:r>
                    <w:rPr>
                      <w:b/>
                      <w:bCs/>
                      <w:color w:val="000000" w:themeColor="text1"/>
                      <w:kern w:val="44"/>
                      <w:sz w:val="21"/>
                      <w:szCs w:val="21"/>
                    </w:rPr>
                    <w:t>总余氯</w:t>
                  </w:r>
                </w:p>
              </w:tc>
            </w:tr>
            <w:tr w14:paraId="6D931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40" w:type="pct"/>
                  <w:tcBorders>
                    <w:tl2br w:val="nil"/>
                    <w:tr2bl w:val="nil"/>
                  </w:tcBorders>
                  <w:vAlign w:val="center"/>
                </w:tcPr>
                <w:p w14:paraId="6985B527">
                  <w:pPr>
                    <w:spacing w:line="240" w:lineRule="auto"/>
                    <w:ind w:firstLine="0" w:firstLineChars="0"/>
                    <w:jc w:val="center"/>
                    <w:rPr>
                      <w:color w:val="000000" w:themeColor="text1"/>
                      <w:kern w:val="44"/>
                      <w:sz w:val="21"/>
                      <w:szCs w:val="21"/>
                    </w:rPr>
                  </w:pPr>
                  <w:r>
                    <w:rPr>
                      <w:color w:val="000000" w:themeColor="text1"/>
                      <w:kern w:val="44"/>
                      <w:sz w:val="21"/>
                      <w:szCs w:val="21"/>
                    </w:rPr>
                    <w:t>50</w:t>
                  </w:r>
                </w:p>
              </w:tc>
              <w:tc>
                <w:tcPr>
                  <w:tcW w:w="523" w:type="pct"/>
                  <w:tcBorders>
                    <w:tl2br w:val="nil"/>
                    <w:tr2bl w:val="nil"/>
                  </w:tcBorders>
                  <w:vAlign w:val="center"/>
                </w:tcPr>
                <w:p w14:paraId="5909F7E4">
                  <w:pPr>
                    <w:spacing w:line="240" w:lineRule="auto"/>
                    <w:ind w:firstLine="0" w:firstLineChars="0"/>
                    <w:jc w:val="center"/>
                    <w:rPr>
                      <w:color w:val="000000" w:themeColor="text1"/>
                      <w:kern w:val="44"/>
                      <w:sz w:val="21"/>
                      <w:szCs w:val="21"/>
                    </w:rPr>
                  </w:pPr>
                  <w:r>
                    <w:rPr>
                      <w:color w:val="000000" w:themeColor="text1"/>
                      <w:kern w:val="44"/>
                      <w:sz w:val="21"/>
                      <w:szCs w:val="21"/>
                    </w:rPr>
                    <w:t>10</w:t>
                  </w:r>
                </w:p>
              </w:tc>
              <w:tc>
                <w:tcPr>
                  <w:tcW w:w="447" w:type="pct"/>
                  <w:tcBorders>
                    <w:tl2br w:val="nil"/>
                    <w:tr2bl w:val="nil"/>
                  </w:tcBorders>
                  <w:vAlign w:val="center"/>
                </w:tcPr>
                <w:p w14:paraId="61D1D570">
                  <w:pPr>
                    <w:spacing w:line="240" w:lineRule="auto"/>
                    <w:ind w:firstLine="0" w:firstLineChars="0"/>
                    <w:jc w:val="center"/>
                    <w:rPr>
                      <w:color w:val="000000" w:themeColor="text1"/>
                      <w:kern w:val="44"/>
                      <w:sz w:val="21"/>
                      <w:szCs w:val="21"/>
                    </w:rPr>
                  </w:pPr>
                  <w:r>
                    <w:rPr>
                      <w:color w:val="000000" w:themeColor="text1"/>
                      <w:kern w:val="44"/>
                      <w:sz w:val="21"/>
                      <w:szCs w:val="21"/>
                    </w:rPr>
                    <w:t>10</w:t>
                  </w:r>
                </w:p>
              </w:tc>
              <w:tc>
                <w:tcPr>
                  <w:tcW w:w="595" w:type="pct"/>
                  <w:tcBorders>
                    <w:tl2br w:val="nil"/>
                    <w:tr2bl w:val="nil"/>
                  </w:tcBorders>
                  <w:vAlign w:val="center"/>
                </w:tcPr>
                <w:p w14:paraId="2A205E35">
                  <w:pPr>
                    <w:spacing w:line="240" w:lineRule="auto"/>
                    <w:ind w:firstLine="0" w:firstLineChars="0"/>
                    <w:jc w:val="center"/>
                    <w:rPr>
                      <w:color w:val="000000" w:themeColor="text1"/>
                      <w:kern w:val="44"/>
                      <w:sz w:val="21"/>
                      <w:szCs w:val="21"/>
                    </w:rPr>
                  </w:pPr>
                  <w:r>
                    <w:rPr>
                      <w:color w:val="000000" w:themeColor="text1"/>
                      <w:kern w:val="44"/>
                      <w:sz w:val="21"/>
                      <w:szCs w:val="21"/>
                    </w:rPr>
                    <w:t>5（8）</w:t>
                  </w:r>
                </w:p>
              </w:tc>
              <w:tc>
                <w:tcPr>
                  <w:tcW w:w="524" w:type="pct"/>
                  <w:tcBorders>
                    <w:tl2br w:val="nil"/>
                    <w:tr2bl w:val="nil"/>
                  </w:tcBorders>
                  <w:vAlign w:val="center"/>
                </w:tcPr>
                <w:p w14:paraId="4B1E93A4">
                  <w:pPr>
                    <w:spacing w:line="240" w:lineRule="auto"/>
                    <w:ind w:firstLine="0" w:firstLineChars="0"/>
                    <w:jc w:val="center"/>
                    <w:rPr>
                      <w:color w:val="000000" w:themeColor="text1"/>
                      <w:kern w:val="44"/>
                      <w:sz w:val="21"/>
                      <w:szCs w:val="21"/>
                    </w:rPr>
                  </w:pPr>
                  <w:r>
                    <w:rPr>
                      <w:color w:val="000000" w:themeColor="text1"/>
                      <w:kern w:val="44"/>
                      <w:sz w:val="21"/>
                      <w:szCs w:val="21"/>
                    </w:rPr>
                    <w:t>15</w:t>
                  </w:r>
                </w:p>
              </w:tc>
              <w:tc>
                <w:tcPr>
                  <w:tcW w:w="658" w:type="pct"/>
                  <w:tcBorders>
                    <w:tl2br w:val="nil"/>
                    <w:tr2bl w:val="nil"/>
                  </w:tcBorders>
                  <w:vAlign w:val="center"/>
                </w:tcPr>
                <w:p w14:paraId="57A90FA1">
                  <w:pPr>
                    <w:spacing w:line="240" w:lineRule="auto"/>
                    <w:ind w:firstLine="0" w:firstLineChars="0"/>
                    <w:jc w:val="center"/>
                    <w:rPr>
                      <w:color w:val="000000" w:themeColor="text1"/>
                      <w:kern w:val="44"/>
                      <w:sz w:val="21"/>
                      <w:szCs w:val="21"/>
                    </w:rPr>
                  </w:pPr>
                  <w:r>
                    <w:rPr>
                      <w:color w:val="000000" w:themeColor="text1"/>
                      <w:kern w:val="44"/>
                      <w:sz w:val="21"/>
                      <w:szCs w:val="21"/>
                    </w:rPr>
                    <w:t>0.5</w:t>
                  </w:r>
                </w:p>
              </w:tc>
              <w:tc>
                <w:tcPr>
                  <w:tcW w:w="1811" w:type="pct"/>
                  <w:tcBorders>
                    <w:tl2br w:val="nil"/>
                    <w:tr2bl w:val="nil"/>
                  </w:tcBorders>
                  <w:vAlign w:val="center"/>
                </w:tcPr>
                <w:p w14:paraId="2DF9EAF3">
                  <w:pPr>
                    <w:spacing w:line="240" w:lineRule="auto"/>
                    <w:ind w:firstLine="0" w:firstLineChars="0"/>
                    <w:jc w:val="center"/>
                    <w:rPr>
                      <w:color w:val="000000" w:themeColor="text1"/>
                      <w:kern w:val="44"/>
                      <w:sz w:val="21"/>
                      <w:szCs w:val="21"/>
                    </w:rPr>
                  </w:pPr>
                  <w:r>
                    <w:rPr>
                      <w:color w:val="000000" w:themeColor="text1"/>
                      <w:kern w:val="44"/>
                      <w:sz w:val="21"/>
                      <w:szCs w:val="21"/>
                    </w:rPr>
                    <w:t>接触30min后≥1，管网末端≥0.2</w:t>
                  </w:r>
                </w:p>
              </w:tc>
            </w:tr>
            <w:tr w14:paraId="02DCC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7"/>
                  <w:tcBorders>
                    <w:tl2br w:val="nil"/>
                    <w:tr2bl w:val="nil"/>
                  </w:tcBorders>
                  <w:vAlign w:val="center"/>
                </w:tcPr>
                <w:p w14:paraId="14690A4B">
                  <w:pPr>
                    <w:spacing w:line="240" w:lineRule="auto"/>
                    <w:ind w:firstLine="0" w:firstLineChars="0"/>
                    <w:rPr>
                      <w:color w:val="000000" w:themeColor="text1"/>
                      <w:kern w:val="44"/>
                      <w:sz w:val="21"/>
                      <w:szCs w:val="21"/>
                    </w:rPr>
                  </w:pPr>
                  <w:r>
                    <w:rPr>
                      <w:color w:val="000000" w:themeColor="text1"/>
                      <w:kern w:val="44"/>
                      <w:sz w:val="21"/>
                      <w:szCs w:val="21"/>
                    </w:rPr>
                    <w:t>注：括号外数值为水温&gt;12℃时的控制指标，括号内数值为水温≤12℃的控制指标。</w:t>
                  </w:r>
                </w:p>
              </w:tc>
            </w:tr>
          </w:tbl>
          <w:p w14:paraId="7E387D07">
            <w:pPr>
              <w:spacing w:line="360" w:lineRule="auto"/>
              <w:ind w:firstLine="0" w:firstLineChars="0"/>
              <w:rPr>
                <w:color w:val="000000" w:themeColor="text1"/>
              </w:rPr>
            </w:pPr>
            <w:r>
              <w:rPr>
                <w:color w:val="000000" w:themeColor="text1"/>
              </w:rPr>
              <w:drawing>
                <wp:inline distT="0" distB="0" distL="114300" distR="114300">
                  <wp:extent cx="5075555" cy="1645920"/>
                  <wp:effectExtent l="0" t="0" r="10795" b="0"/>
                  <wp:docPr id="70" name="图片 2"/>
                  <wp:cNvGraphicFramePr/>
                  <a:graphic xmlns:a="http://schemas.openxmlformats.org/drawingml/2006/main">
                    <a:graphicData uri="http://schemas.openxmlformats.org/drawingml/2006/picture">
                      <pic:pic xmlns:pic="http://schemas.openxmlformats.org/drawingml/2006/picture">
                        <pic:nvPicPr>
                          <pic:cNvPr id="70" name="图片 2"/>
                          <pic:cNvPicPr/>
                        </pic:nvPicPr>
                        <pic:blipFill>
                          <a:blip r:embed="rId11" cstate="print"/>
                          <a:stretch>
                            <a:fillRect/>
                          </a:stretch>
                        </pic:blipFill>
                        <pic:spPr>
                          <a:xfrm>
                            <a:off x="0" y="0"/>
                            <a:ext cx="5075555" cy="1645920"/>
                          </a:xfrm>
                          <a:prstGeom prst="rect">
                            <a:avLst/>
                          </a:prstGeom>
                          <a:noFill/>
                          <a:ln>
                            <a:noFill/>
                          </a:ln>
                        </pic:spPr>
                      </pic:pic>
                    </a:graphicData>
                  </a:graphic>
                </wp:inline>
              </w:drawing>
            </w:r>
          </w:p>
          <w:p w14:paraId="2A0F8983">
            <w:pPr>
              <w:spacing w:line="360" w:lineRule="auto"/>
              <w:ind w:firstLine="422"/>
              <w:jc w:val="center"/>
              <w:rPr>
                <w:b/>
                <w:bCs/>
                <w:color w:val="000000" w:themeColor="text1"/>
                <w:sz w:val="21"/>
                <w:szCs w:val="21"/>
              </w:rPr>
            </w:pPr>
            <w:r>
              <w:rPr>
                <w:b/>
                <w:bCs/>
                <w:color w:val="000000" w:themeColor="text1"/>
                <w:sz w:val="21"/>
                <w:szCs w:val="21"/>
              </w:rPr>
              <w:t>图</w:t>
            </w:r>
            <w:r>
              <w:rPr>
                <w:rFonts w:hint="eastAsia"/>
                <w:b/>
                <w:bCs/>
                <w:color w:val="000000" w:themeColor="text1"/>
                <w:sz w:val="21"/>
                <w:szCs w:val="21"/>
              </w:rPr>
              <w:t>1</w:t>
            </w:r>
            <w:r>
              <w:rPr>
                <w:b/>
                <w:bCs/>
                <w:color w:val="000000" w:themeColor="text1"/>
                <w:sz w:val="21"/>
                <w:szCs w:val="21"/>
              </w:rPr>
              <w:t xml:space="preserve">  </w:t>
            </w:r>
            <w:r>
              <w:rPr>
                <w:rFonts w:hint="eastAsia"/>
                <w:b/>
                <w:bCs/>
                <w:color w:val="000000" w:themeColor="text1"/>
                <w:sz w:val="21"/>
                <w:szCs w:val="21"/>
              </w:rPr>
              <w:t>曹妃甸装备制造区污水处理站污水处理工艺流程</w:t>
            </w:r>
          </w:p>
          <w:p w14:paraId="777550E0">
            <w:pPr>
              <w:spacing w:line="360" w:lineRule="auto"/>
              <w:ind w:firstLine="480"/>
              <w:rPr>
                <w:color w:val="000000" w:themeColor="text1"/>
              </w:rPr>
            </w:pPr>
            <w:r>
              <w:rPr>
                <w:rFonts w:hint="eastAsia"/>
                <w:color w:val="000000" w:themeColor="text1"/>
              </w:rPr>
              <w:t>本项目位于唐山市曹妃甸装备制造产业园区唐山曹妃甸木业股份有限公司厂区内，在</w:t>
            </w:r>
            <w:r>
              <w:rPr>
                <w:color w:val="000000" w:themeColor="text1"/>
              </w:rPr>
              <w:t>曹妃甸</w:t>
            </w:r>
            <w:r>
              <w:rPr>
                <w:rFonts w:hint="eastAsia"/>
                <w:color w:val="000000" w:themeColor="text1"/>
              </w:rPr>
              <w:t>工业</w:t>
            </w:r>
            <w:r>
              <w:rPr>
                <w:color w:val="000000" w:themeColor="text1"/>
              </w:rPr>
              <w:t>区装备制造区污水处理站收水范围内，</w:t>
            </w:r>
            <w:r>
              <w:rPr>
                <w:rFonts w:hint="eastAsia"/>
                <w:color w:val="000000" w:themeColor="text1"/>
              </w:rPr>
              <w:t>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p w14:paraId="16605635">
            <w:pPr>
              <w:spacing w:line="360" w:lineRule="auto"/>
              <w:ind w:firstLine="480"/>
              <w:rPr>
                <w:color w:val="000000" w:themeColor="text1"/>
              </w:rPr>
            </w:pPr>
            <w:r>
              <w:rPr>
                <w:color w:val="000000" w:themeColor="text1"/>
              </w:rPr>
              <w:t>（3）供电规划</w:t>
            </w:r>
          </w:p>
          <w:p w14:paraId="52604DA9">
            <w:pPr>
              <w:spacing w:line="360" w:lineRule="auto"/>
              <w:ind w:firstLine="480"/>
              <w:rPr>
                <w:color w:val="000000" w:themeColor="text1"/>
              </w:rPr>
            </w:pPr>
            <w:r>
              <w:rPr>
                <w:color w:val="000000" w:themeColor="text1"/>
              </w:rPr>
              <w:t>目前曹妃甸工业区内有2座电厂，即华润电厂和首钢自备电厂。华润电厂地处首钢京唐钢铁联合有限公司以北、港区以东，首钢北进厂道路以西的三角地区域。厂区南侧紧邻首钢京唐钢铁联合有限公司，北侧距离工业区临港商务区约1.7公里，东侧距青林公路2.0公里，西侧距一港池东岸1.1公里。一期工程采用2*300MW亚临界单抽凝汽式汽轮发电机组，已投产运行，2015年实行烟气处理改造，已达到超低排放改造。一期供热机组由中压缸排汽提供工业、采暖和海水淡化用抽汽，抽汽压力取0.4MPa，温度2500℃。规划采暖季节（冬季）每台机抽汽量550吨/小时，非采暖季节（夏季）每台机抽汽量370吨/小时。</w:t>
            </w:r>
          </w:p>
          <w:p w14:paraId="4B11B5A2">
            <w:pPr>
              <w:spacing w:line="360" w:lineRule="auto"/>
              <w:ind w:firstLine="480"/>
              <w:rPr>
                <w:color w:val="000000" w:themeColor="text1"/>
              </w:rPr>
            </w:pPr>
            <w:r>
              <w:rPr>
                <w:color w:val="000000" w:themeColor="text1"/>
              </w:rPr>
              <w:t>首钢京唐公司自备电站建设规模为2×300MW燃煤汽轮发电机组，其位于一港池的东岸，东侧为海水淡化区，北侧为废钢堆场，占地面积约11.29公顷。配套建设2台过热蒸汽流量1025吨/小时的亚临界压力燃煤锅炉；2台额定功率为300MW的亚临界抽汽凝汽式汽轮机。脱硫采用海水脱硫工艺，脱硝采用SCR工艺，锅炉烟气采用干法除尘方式。2015年投资508万2#机组完成脱硝超低排放改造，实现燃煤机组超低排放。</w:t>
            </w:r>
          </w:p>
          <w:p w14:paraId="670D2A52">
            <w:pPr>
              <w:spacing w:line="360" w:lineRule="auto"/>
              <w:ind w:firstLine="480"/>
              <w:rPr>
                <w:color w:val="000000" w:themeColor="text1"/>
              </w:rPr>
            </w:pPr>
            <w:r>
              <w:rPr>
                <w:color w:val="000000" w:themeColor="text1"/>
              </w:rPr>
              <w:t>本项目用电由园区电网供给，可满足用电需求。</w:t>
            </w:r>
          </w:p>
          <w:p w14:paraId="00FA445A">
            <w:pPr>
              <w:spacing w:line="360" w:lineRule="auto"/>
              <w:ind w:firstLine="480"/>
              <w:rPr>
                <w:color w:val="000000" w:themeColor="text1"/>
              </w:rPr>
            </w:pPr>
            <w:r>
              <w:rPr>
                <w:color w:val="000000" w:themeColor="text1"/>
              </w:rPr>
              <w:t>（4）</w:t>
            </w:r>
            <w:r>
              <w:rPr>
                <w:rFonts w:hint="eastAsia"/>
                <w:color w:val="000000" w:themeColor="text1"/>
              </w:rPr>
              <w:t>供热、供气</w:t>
            </w:r>
            <w:r>
              <w:rPr>
                <w:color w:val="000000" w:themeColor="text1"/>
              </w:rPr>
              <w:t>规划</w:t>
            </w:r>
          </w:p>
          <w:p w14:paraId="3141CEAF">
            <w:pPr>
              <w:spacing w:line="360" w:lineRule="auto"/>
              <w:ind w:firstLine="480"/>
              <w:rPr>
                <w:color w:val="000000" w:themeColor="text1"/>
              </w:rPr>
            </w:pPr>
            <w:r>
              <w:rPr>
                <w:color w:val="000000" w:themeColor="text1"/>
              </w:rPr>
              <w:t>目前工业区以集中供热为主，个别企业自供，共有锅炉14台，合计4277t/h。其中35t/h以上锅炉6台（4台热电厂锅炉及中粮、龙成生产用锅炉）；除龙成外，其余5台大型锅炉以燃煤为原料，均配有完备的脱硫脱硝除尘设施，首钢自备电厂及华润电厂已达到超低排放标准。其余锅炉燃料为天然气或生物质。</w:t>
            </w:r>
          </w:p>
          <w:p w14:paraId="58669003">
            <w:pPr>
              <w:spacing w:line="360" w:lineRule="auto"/>
              <w:ind w:firstLine="480"/>
              <w:rPr>
                <w:color w:val="000000" w:themeColor="text1"/>
              </w:rPr>
            </w:pPr>
            <w:r>
              <w:rPr>
                <w:color w:val="000000" w:themeColor="text1"/>
              </w:rPr>
              <w:t>本项目</w:t>
            </w:r>
            <w:r>
              <w:rPr>
                <w:rFonts w:hint="eastAsia"/>
                <w:color w:val="000000" w:themeColor="text1"/>
              </w:rPr>
              <w:t>生产用热采用热风炉燃烧自产生物质能源颗粒提供</w:t>
            </w:r>
            <w:r>
              <w:rPr>
                <w:color w:val="000000" w:themeColor="text1"/>
              </w:rPr>
              <w:t>。</w:t>
            </w:r>
          </w:p>
          <w:p w14:paraId="6F649319">
            <w:pPr>
              <w:autoSpaceDE w:val="0"/>
              <w:autoSpaceDN w:val="0"/>
              <w:adjustRightInd w:val="0"/>
              <w:snapToGrid w:val="0"/>
              <w:spacing w:line="360" w:lineRule="auto"/>
              <w:ind w:firstLine="482"/>
              <w:jc w:val="left"/>
              <w:rPr>
                <w:b/>
                <w:bCs/>
                <w:color w:val="000000" w:themeColor="text1"/>
              </w:rPr>
            </w:pPr>
            <w:r>
              <w:rPr>
                <w:rFonts w:hint="eastAsia"/>
                <w:b/>
                <w:bCs/>
                <w:color w:val="000000" w:themeColor="text1"/>
              </w:rPr>
              <w:t>2、</w:t>
            </w:r>
            <w:r>
              <w:rPr>
                <w:b/>
                <w:bCs/>
                <w:color w:val="000000" w:themeColor="text1"/>
              </w:rPr>
              <w:t>本项目与规划环境影响评价结论的符合性分析</w:t>
            </w:r>
          </w:p>
          <w:p w14:paraId="544CC634">
            <w:pPr>
              <w:spacing w:line="360" w:lineRule="auto"/>
              <w:ind w:firstLine="480"/>
              <w:rPr>
                <w:color w:val="000000" w:themeColor="text1"/>
              </w:rPr>
            </w:pPr>
            <w:r>
              <w:rPr>
                <w:rFonts w:hint="eastAsia"/>
                <w:color w:val="000000" w:themeColor="text1"/>
              </w:rPr>
              <w:t>根据《</w:t>
            </w:r>
            <w:r>
              <w:rPr>
                <w:color w:val="000000" w:themeColor="text1"/>
              </w:rPr>
              <w:t>曹妃甸循环经济示范区产业发展总体规划环境影响报告书</w:t>
            </w:r>
            <w:r>
              <w:rPr>
                <w:rFonts w:hint="eastAsia"/>
                <w:color w:val="000000" w:themeColor="text1"/>
              </w:rPr>
              <w:t>》总结论可知，曹妃甸示范区得到了党中央、国务院、地方政府的大力支持，曹妃甸循环经济示范区产业发展规划的实施，能够有效地推动钢铁、石化、煤盐化工、装备制造、电力等相关产业的发展，从而保持该地区国民经济的可持续发展和社会稳定。本规划在布局中，已经考虑了现存的环境制约因素，采取了相应的调整和环保措施，规划实施过程中应充分落实科学发展观、按照循环经济和清洁生产的要求，按照本规划和本报告中提出的循环经济要求，指导示范区的产业发展。</w:t>
            </w:r>
          </w:p>
          <w:p w14:paraId="22D04F15">
            <w:pPr>
              <w:spacing w:line="360" w:lineRule="auto"/>
              <w:ind w:firstLine="480"/>
              <w:rPr>
                <w:color w:val="000000" w:themeColor="text1"/>
              </w:rPr>
            </w:pPr>
            <w:r>
              <w:rPr>
                <w:color w:val="000000" w:themeColor="text1"/>
              </w:rPr>
              <w:t>根据</w:t>
            </w:r>
            <w:r>
              <w:rPr>
                <w:rFonts w:hint="eastAsia"/>
                <w:color w:val="000000" w:themeColor="text1"/>
              </w:rPr>
              <w:t>《</w:t>
            </w:r>
            <w:r>
              <w:rPr>
                <w:color w:val="000000" w:themeColor="text1"/>
              </w:rPr>
              <w:t>曹妃甸循环经济示范区规划环境影响跟踪评价报告</w:t>
            </w:r>
            <w:r>
              <w:rPr>
                <w:rFonts w:hint="eastAsia"/>
                <w:color w:val="000000" w:themeColor="text1"/>
              </w:rPr>
              <w:t>》中综合评价结论</w:t>
            </w:r>
            <w:r>
              <w:rPr>
                <w:color w:val="000000" w:themeColor="text1"/>
              </w:rPr>
              <w:t>可知，曹妃甸工业区规划实施整体符合《曹妃甸循环经济示范区产业发展总体规划》《曹妃甸循环经济示范区产业发展总体规划环境影响评价》等相关要求，但发展相对滞后，发展规模、基础设施、环境管理等存在一定偏差，规划实施较好落实了规划环评和批复要求，大气、海洋等主要污染物排放总量均低于规划环评控制要求，规划实施过程中，SO</w:t>
            </w:r>
            <w:r>
              <w:rPr>
                <w:color w:val="000000" w:themeColor="text1"/>
                <w:vertAlign w:val="subscript"/>
              </w:rPr>
              <w:t>2</w:t>
            </w:r>
            <w:r>
              <w:rPr>
                <w:color w:val="000000" w:themeColor="text1"/>
              </w:rPr>
              <w:t>、NO</w:t>
            </w:r>
            <w:r>
              <w:rPr>
                <w:color w:val="000000" w:themeColor="text1"/>
                <w:vertAlign w:val="subscript"/>
              </w:rPr>
              <w:t>2</w:t>
            </w:r>
            <w:r>
              <w:rPr>
                <w:color w:val="000000" w:themeColor="text1"/>
              </w:rPr>
              <w:t>浓度较2008年降低，COD、磷酸盐、石油类污染大幅度改善，无机氮超标，局部地下水重金属浓度升高。强化方案实施，到规划期末SO</w:t>
            </w:r>
            <w:r>
              <w:rPr>
                <w:color w:val="000000" w:themeColor="text1"/>
                <w:vertAlign w:val="subscript"/>
              </w:rPr>
              <w:t>2</w:t>
            </w:r>
            <w:r>
              <w:rPr>
                <w:color w:val="000000" w:themeColor="text1"/>
              </w:rPr>
              <w:t>、NO</w:t>
            </w:r>
            <w:r>
              <w:rPr>
                <w:color w:val="000000" w:themeColor="text1"/>
                <w:vertAlign w:val="subscript"/>
              </w:rPr>
              <w:t>2</w:t>
            </w:r>
            <w:r>
              <w:rPr>
                <w:color w:val="000000" w:themeColor="text1"/>
              </w:rPr>
              <w:t>排放量比原规划降低48%、28%，一次PM</w:t>
            </w:r>
            <w:r>
              <w:rPr>
                <w:color w:val="000000" w:themeColor="text1"/>
                <w:vertAlign w:val="subscript"/>
              </w:rPr>
              <w:t>2.5</w:t>
            </w:r>
            <w:r>
              <w:rPr>
                <w:color w:val="000000" w:themeColor="text1"/>
              </w:rPr>
              <w:t>排放量较变更方案降低15.3%，仍有局地超标风险；溢油、泄漏等环境事故发生概率上升，环境风险总体可控。建议规划后续实施过程中，做好规划优化调整、强化环境减缓措施、严格环境风险管控，落实</w:t>
            </w:r>
            <w:r>
              <w:rPr>
                <w:rFonts w:hint="eastAsia" w:ascii="宋体" w:hAnsi="宋体" w:cs="宋体"/>
                <w:color w:val="000000" w:themeColor="text1"/>
              </w:rPr>
              <w:t xml:space="preserve">“三线一单” </w:t>
            </w:r>
            <w:r>
              <w:rPr>
                <w:color w:val="000000" w:themeColor="text1"/>
              </w:rPr>
              <w:t>管控要求，可实现区域生态环境质量改善目标</w:t>
            </w:r>
            <w:r>
              <w:rPr>
                <w:rFonts w:hint="eastAsia"/>
                <w:color w:val="000000" w:themeColor="text1"/>
              </w:rPr>
              <w:t>。</w:t>
            </w:r>
          </w:p>
          <w:p w14:paraId="4D7DE74B">
            <w:pPr>
              <w:spacing w:line="360" w:lineRule="auto"/>
              <w:ind w:firstLine="480"/>
              <w:rPr>
                <w:color w:val="000000" w:themeColor="text1"/>
              </w:rPr>
            </w:pPr>
            <w:r>
              <w:rPr>
                <w:rFonts w:hint="eastAsia"/>
                <w:color w:val="000000" w:themeColor="text1"/>
              </w:rPr>
              <w:t>本项目提出风险防范措施，项目建成后编制突发环境事件应急预案，本项目环境风险可防可控；本项目符合“三线一单”管控要求，不会对区域生态环境质量造成明显不利影响。</w:t>
            </w:r>
            <w:r>
              <w:rPr>
                <w:color w:val="000000" w:themeColor="text1"/>
              </w:rPr>
              <w:t>因此，本项目符合</w:t>
            </w:r>
            <w:r>
              <w:rPr>
                <w:rFonts w:hint="eastAsia"/>
                <w:color w:val="000000" w:themeColor="text1"/>
              </w:rPr>
              <w:t>《</w:t>
            </w:r>
            <w:r>
              <w:rPr>
                <w:color w:val="000000" w:themeColor="text1"/>
              </w:rPr>
              <w:t>曹妃甸循环经济示范区产业发展总体规划环境影响报告书</w:t>
            </w:r>
            <w:r>
              <w:rPr>
                <w:rFonts w:hint="eastAsia"/>
                <w:color w:val="000000" w:themeColor="text1"/>
              </w:rPr>
              <w:t>》总结论、《</w:t>
            </w:r>
            <w:r>
              <w:rPr>
                <w:color w:val="000000" w:themeColor="text1"/>
              </w:rPr>
              <w:t>曹妃甸循环经济示范区规划环境影响跟踪评价报告</w:t>
            </w:r>
            <w:r>
              <w:rPr>
                <w:rFonts w:hint="eastAsia"/>
                <w:color w:val="000000" w:themeColor="text1"/>
              </w:rPr>
              <w:t>》中综合评价结论</w:t>
            </w:r>
            <w:r>
              <w:rPr>
                <w:color w:val="000000" w:themeColor="text1"/>
              </w:rPr>
              <w:t>的要求</w:t>
            </w:r>
            <w:r>
              <w:rPr>
                <w:rFonts w:hint="eastAsia"/>
                <w:color w:val="000000" w:themeColor="text1"/>
              </w:rPr>
              <w:t>。</w:t>
            </w:r>
          </w:p>
          <w:p w14:paraId="229567CF">
            <w:pPr>
              <w:spacing w:line="360" w:lineRule="auto"/>
              <w:ind w:firstLine="482"/>
              <w:rPr>
                <w:b/>
                <w:bCs/>
                <w:color w:val="000000" w:themeColor="text1"/>
              </w:rPr>
            </w:pPr>
            <w:r>
              <w:rPr>
                <w:rFonts w:hint="eastAsia"/>
                <w:b/>
                <w:bCs/>
                <w:color w:val="000000" w:themeColor="text1"/>
              </w:rPr>
              <w:t>3、与规划环境影响评价审查意见符合性分析</w:t>
            </w:r>
          </w:p>
          <w:p w14:paraId="7DDBF62F">
            <w:pPr>
              <w:spacing w:line="360" w:lineRule="auto"/>
              <w:ind w:firstLine="480"/>
              <w:rPr>
                <w:color w:val="000000" w:themeColor="text1"/>
              </w:rPr>
            </w:pPr>
            <w:r>
              <w:rPr>
                <w:rFonts w:hint="eastAsia"/>
                <w:color w:val="000000" w:themeColor="text1"/>
              </w:rPr>
              <w:t>本项目建设内容与《关于曹妃甸循环经济示范区产业发展总体规划环境影响报告书的审查意见》（环审[2009]445号）及《关于曹妃甸循环经济示范区规划环境影响跟踪评价工作有关意见的函》（环办环评函[2019]334号）符合性分析见下表。</w:t>
            </w:r>
          </w:p>
          <w:p w14:paraId="4E308E75">
            <w:pPr>
              <w:ind w:firstLine="422"/>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3  </w:t>
            </w:r>
            <w:r>
              <w:rPr>
                <w:b/>
                <w:bCs/>
                <w:color w:val="000000" w:themeColor="text1"/>
                <w:sz w:val="21"/>
                <w:szCs w:val="21"/>
              </w:rPr>
              <w:t>规划环评审查意见符合性一览表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403"/>
              <w:gridCol w:w="3411"/>
              <w:gridCol w:w="2509"/>
              <w:gridCol w:w="648"/>
            </w:tblGrid>
            <w:tr w14:paraId="189C6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02" w:type="pct"/>
                  <w:vAlign w:val="center"/>
                </w:tcPr>
                <w:p w14:paraId="092DBE0D">
                  <w:pPr>
                    <w:widowControl/>
                    <w:spacing w:line="240" w:lineRule="auto"/>
                    <w:ind w:left="-48" w:leftChars="-20" w:right="-48" w:rightChars="-20" w:firstLine="0" w:firstLineChars="0"/>
                    <w:jc w:val="center"/>
                    <w:rPr>
                      <w:b/>
                      <w:bCs/>
                      <w:color w:val="000000" w:themeColor="text1"/>
                      <w:kern w:val="0"/>
                      <w:sz w:val="21"/>
                      <w:szCs w:val="21"/>
                    </w:rPr>
                  </w:pPr>
                  <w:r>
                    <w:rPr>
                      <w:rFonts w:hint="eastAsia"/>
                      <w:b/>
                      <w:bCs/>
                      <w:color w:val="000000" w:themeColor="text1"/>
                      <w:kern w:val="0"/>
                      <w:sz w:val="21"/>
                      <w:szCs w:val="21"/>
                    </w:rPr>
                    <w:t>审查意见</w:t>
                  </w:r>
                </w:p>
              </w:tc>
              <w:tc>
                <w:tcPr>
                  <w:tcW w:w="254" w:type="pct"/>
                  <w:vAlign w:val="center"/>
                </w:tcPr>
                <w:p w14:paraId="2CE181A2">
                  <w:pPr>
                    <w:widowControl/>
                    <w:spacing w:line="240" w:lineRule="auto"/>
                    <w:ind w:left="-48" w:leftChars="-20" w:right="-48" w:rightChars="-20" w:firstLine="0" w:firstLineChars="0"/>
                    <w:jc w:val="center"/>
                    <w:rPr>
                      <w:b/>
                      <w:bCs/>
                      <w:color w:val="000000" w:themeColor="text1"/>
                      <w:kern w:val="0"/>
                      <w:sz w:val="21"/>
                      <w:szCs w:val="21"/>
                    </w:rPr>
                  </w:pPr>
                  <w:r>
                    <w:rPr>
                      <w:rFonts w:hint="eastAsia"/>
                      <w:b/>
                      <w:bCs/>
                      <w:color w:val="000000" w:themeColor="text1"/>
                      <w:kern w:val="0"/>
                      <w:sz w:val="21"/>
                      <w:szCs w:val="21"/>
                    </w:rPr>
                    <w:t>序号</w:t>
                  </w:r>
                </w:p>
              </w:tc>
              <w:tc>
                <w:tcPr>
                  <w:tcW w:w="2151" w:type="pct"/>
                  <w:vAlign w:val="center"/>
                </w:tcPr>
                <w:p w14:paraId="0A1937E4">
                  <w:pPr>
                    <w:widowControl/>
                    <w:spacing w:line="240" w:lineRule="auto"/>
                    <w:ind w:left="-48" w:leftChars="-20" w:right="-48" w:rightChars="-20" w:firstLine="0" w:firstLineChars="0"/>
                    <w:jc w:val="center"/>
                    <w:rPr>
                      <w:b/>
                      <w:bCs/>
                      <w:color w:val="000000" w:themeColor="text1"/>
                      <w:kern w:val="0"/>
                      <w:sz w:val="21"/>
                      <w:szCs w:val="21"/>
                    </w:rPr>
                  </w:pPr>
                  <w:r>
                    <w:rPr>
                      <w:b/>
                      <w:bCs/>
                      <w:color w:val="000000" w:themeColor="text1"/>
                      <w:kern w:val="0"/>
                      <w:sz w:val="21"/>
                      <w:szCs w:val="21"/>
                    </w:rPr>
                    <w:t>规划环评审查意见</w:t>
                  </w:r>
                </w:p>
              </w:tc>
              <w:tc>
                <w:tcPr>
                  <w:tcW w:w="1582" w:type="pct"/>
                  <w:vAlign w:val="center"/>
                </w:tcPr>
                <w:p w14:paraId="04601F5A">
                  <w:pPr>
                    <w:widowControl/>
                    <w:spacing w:line="240" w:lineRule="auto"/>
                    <w:ind w:left="-48" w:leftChars="-20" w:right="-48" w:rightChars="-20" w:firstLine="0" w:firstLineChars="0"/>
                    <w:jc w:val="center"/>
                    <w:rPr>
                      <w:b/>
                      <w:bCs/>
                      <w:color w:val="000000" w:themeColor="text1"/>
                      <w:kern w:val="0"/>
                      <w:sz w:val="21"/>
                      <w:szCs w:val="21"/>
                    </w:rPr>
                  </w:pPr>
                  <w:r>
                    <w:rPr>
                      <w:b/>
                      <w:bCs/>
                      <w:color w:val="000000" w:themeColor="text1"/>
                      <w:kern w:val="0"/>
                      <w:sz w:val="21"/>
                      <w:szCs w:val="21"/>
                    </w:rPr>
                    <w:t>本项目情况</w:t>
                  </w:r>
                </w:p>
              </w:tc>
              <w:tc>
                <w:tcPr>
                  <w:tcW w:w="409" w:type="pct"/>
                  <w:vAlign w:val="center"/>
                </w:tcPr>
                <w:p w14:paraId="0EB4F563">
                  <w:pPr>
                    <w:widowControl/>
                    <w:spacing w:line="240" w:lineRule="auto"/>
                    <w:ind w:left="-48" w:leftChars="-20" w:right="-48" w:rightChars="-20" w:firstLine="0" w:firstLineChars="0"/>
                    <w:jc w:val="center"/>
                    <w:rPr>
                      <w:b/>
                      <w:bCs/>
                      <w:color w:val="000000" w:themeColor="text1"/>
                      <w:kern w:val="0"/>
                      <w:sz w:val="21"/>
                      <w:szCs w:val="21"/>
                    </w:rPr>
                  </w:pPr>
                  <w:r>
                    <w:rPr>
                      <w:b/>
                      <w:bCs/>
                      <w:color w:val="000000" w:themeColor="text1"/>
                      <w:kern w:val="0"/>
                      <w:sz w:val="21"/>
                      <w:szCs w:val="21"/>
                    </w:rPr>
                    <w:t>本项目符合性</w:t>
                  </w:r>
                </w:p>
              </w:tc>
            </w:tr>
            <w:tr w14:paraId="380FE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350BC514">
                  <w:pPr>
                    <w:pStyle w:val="65"/>
                    <w:spacing w:line="0" w:lineRule="atLeast"/>
                    <w:ind w:firstLine="0" w:firstLineChars="0"/>
                    <w:jc w:val="center"/>
                    <w:rPr>
                      <w:rFonts w:ascii="Times New Roman" w:hAnsi="Times New Roman" w:cs="Times New Roman"/>
                      <w:color w:val="000000" w:themeColor="text1"/>
                      <w:kern w:val="0"/>
                      <w:sz w:val="21"/>
                      <w:szCs w:val="21"/>
                      <w:lang w:eastAsia="zh-CN"/>
                    </w:rPr>
                  </w:pPr>
                  <w:r>
                    <w:rPr>
                      <w:rFonts w:ascii="Times New Roman" w:hAnsi="Times New Roman" w:cs="Times New Roman"/>
                      <w:color w:val="000000" w:themeColor="text1"/>
                      <w:sz w:val="21"/>
                      <w:szCs w:val="21"/>
                      <w:lang w:eastAsia="zh-CN"/>
                    </w:rPr>
                    <w:t>《关于曹妃甸循环经济示范区产业发展总体规划环境影响报告书的审查意见》（环审[2009]445号）</w:t>
                  </w:r>
                </w:p>
              </w:tc>
              <w:tc>
                <w:tcPr>
                  <w:tcW w:w="254" w:type="pct"/>
                  <w:vAlign w:val="center"/>
                </w:tcPr>
                <w:p w14:paraId="563AAF46">
                  <w:pPr>
                    <w:widowControl/>
                    <w:numPr>
                      <w:ilvl w:val="0"/>
                      <w:numId w:val="1"/>
                    </w:numPr>
                    <w:spacing w:line="240" w:lineRule="auto"/>
                    <w:ind w:right="-48" w:rightChars="-20" w:firstLineChars="0"/>
                    <w:jc w:val="center"/>
                    <w:rPr>
                      <w:color w:val="000000" w:themeColor="text1"/>
                      <w:kern w:val="0"/>
                      <w:sz w:val="21"/>
                      <w:szCs w:val="21"/>
                    </w:rPr>
                  </w:pPr>
                </w:p>
              </w:tc>
              <w:tc>
                <w:tcPr>
                  <w:tcW w:w="2151" w:type="pct"/>
                  <w:vAlign w:val="center"/>
                </w:tcPr>
                <w:p w14:paraId="628E4A9D">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合理优化规划区的空间布局。规划区内的主要环境风险源，炼油、乙烯等重污染企业的布局应远离唐海湿地和鸟类自然保护区、石</w:t>
                  </w:r>
                  <w:r>
                    <w:rPr>
                      <w:rFonts w:hint="eastAsia"/>
                      <w:color w:val="000000" w:themeColor="text1"/>
                      <w:kern w:val="0"/>
                      <w:sz w:val="21"/>
                      <w:szCs w:val="21"/>
                    </w:rPr>
                    <w:t>臼</w:t>
                  </w:r>
                  <w:r>
                    <w:rPr>
                      <w:color w:val="000000" w:themeColor="text1"/>
                      <w:kern w:val="0"/>
                      <w:sz w:val="21"/>
                      <w:szCs w:val="21"/>
                    </w:rPr>
                    <w:t>坨列岛海洋保护区等环境敏感目标，建议布设在规划区的南端；在规划区北部设置绿化隔离带，避免规划实施对滨海新城等环境敏感区产生影响</w:t>
                  </w:r>
                  <w:r>
                    <w:rPr>
                      <w:rFonts w:hint="eastAsia"/>
                      <w:color w:val="000000" w:themeColor="text1"/>
                      <w:kern w:val="0"/>
                      <w:sz w:val="21"/>
                      <w:szCs w:val="21"/>
                    </w:rPr>
                    <w:t>。</w:t>
                  </w:r>
                </w:p>
              </w:tc>
              <w:tc>
                <w:tcPr>
                  <w:tcW w:w="1582" w:type="pct"/>
                  <w:vAlign w:val="center"/>
                </w:tcPr>
                <w:p w14:paraId="7EA6E9B5">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本项目位于唐山市曹妃甸装备制造产业园区，不属于</w:t>
                  </w:r>
                  <w:r>
                    <w:rPr>
                      <w:color w:val="000000" w:themeColor="text1"/>
                      <w:kern w:val="0"/>
                      <w:sz w:val="21"/>
                      <w:szCs w:val="21"/>
                    </w:rPr>
                    <w:t>炼油、乙烯等重污染企业</w:t>
                  </w:r>
                  <w:r>
                    <w:rPr>
                      <w:rFonts w:hint="eastAsia"/>
                      <w:color w:val="000000" w:themeColor="text1"/>
                      <w:kern w:val="0"/>
                      <w:sz w:val="21"/>
                      <w:szCs w:val="21"/>
                    </w:rPr>
                    <w:t>，周边不涉及</w:t>
                  </w:r>
                  <w:r>
                    <w:rPr>
                      <w:color w:val="000000" w:themeColor="text1"/>
                      <w:kern w:val="0"/>
                      <w:sz w:val="21"/>
                      <w:szCs w:val="21"/>
                    </w:rPr>
                    <w:t>唐海湿地和鸟类自然保护区、石</w:t>
                  </w:r>
                  <w:r>
                    <w:rPr>
                      <w:rFonts w:hint="eastAsia"/>
                      <w:color w:val="000000" w:themeColor="text1"/>
                      <w:kern w:val="0"/>
                      <w:sz w:val="21"/>
                      <w:szCs w:val="21"/>
                    </w:rPr>
                    <w:t>臼</w:t>
                  </w:r>
                  <w:r>
                    <w:rPr>
                      <w:color w:val="000000" w:themeColor="text1"/>
                      <w:kern w:val="0"/>
                      <w:sz w:val="21"/>
                      <w:szCs w:val="21"/>
                    </w:rPr>
                    <w:t>坨列岛海洋保护区等环境敏感目标，</w:t>
                  </w:r>
                  <w:r>
                    <w:rPr>
                      <w:rFonts w:hint="eastAsia"/>
                      <w:color w:val="000000" w:themeColor="text1"/>
                      <w:kern w:val="0"/>
                      <w:sz w:val="21"/>
                      <w:szCs w:val="21"/>
                    </w:rPr>
                    <w:t>不涉及绿化隔离带及滨海新城等敏感点。</w:t>
                  </w:r>
                </w:p>
              </w:tc>
              <w:tc>
                <w:tcPr>
                  <w:tcW w:w="409" w:type="pct"/>
                  <w:vAlign w:val="center"/>
                </w:tcPr>
                <w:p w14:paraId="4B6860F8">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6F0F6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635195DE">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2C336EC6">
                  <w:pPr>
                    <w:widowControl/>
                    <w:numPr>
                      <w:ilvl w:val="0"/>
                      <w:numId w:val="1"/>
                    </w:numPr>
                    <w:spacing w:line="240" w:lineRule="auto"/>
                    <w:ind w:right="-48" w:rightChars="-20" w:firstLineChars="0"/>
                    <w:jc w:val="center"/>
                    <w:rPr>
                      <w:color w:val="000000" w:themeColor="text1"/>
                      <w:kern w:val="0"/>
                      <w:sz w:val="21"/>
                      <w:szCs w:val="21"/>
                    </w:rPr>
                  </w:pPr>
                </w:p>
              </w:tc>
              <w:tc>
                <w:tcPr>
                  <w:tcW w:w="2151" w:type="pct"/>
                  <w:vAlign w:val="center"/>
                </w:tcPr>
                <w:p w14:paraId="36965AF2">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进一步优化产业结构和规模。规划区不宜发展以煤为龙头的煤化工产业。热电联产项目应坚持</w:t>
                  </w:r>
                  <w:r>
                    <w:rPr>
                      <w:rFonts w:hint="eastAsia" w:ascii="宋体" w:hAnsi="宋体" w:cs="宋体"/>
                      <w:color w:val="000000" w:themeColor="text1"/>
                      <w:kern w:val="0"/>
                      <w:sz w:val="21"/>
                      <w:szCs w:val="21"/>
                    </w:rPr>
                    <w:t>“以热定电”</w:t>
                  </w:r>
                  <w:r>
                    <w:rPr>
                      <w:color w:val="000000" w:themeColor="text1"/>
                      <w:kern w:val="0"/>
                      <w:sz w:val="21"/>
                      <w:szCs w:val="21"/>
                    </w:rPr>
                    <w:t>的原则，产业规模应本着</w:t>
                  </w:r>
                  <w:r>
                    <w:rPr>
                      <w:rFonts w:hint="eastAsia" w:ascii="宋体" w:hAnsi="宋体" w:cs="宋体"/>
                      <w:color w:val="000000" w:themeColor="text1"/>
                      <w:kern w:val="0"/>
                      <w:sz w:val="21"/>
                      <w:szCs w:val="21"/>
                    </w:rPr>
                    <w:t>“以水定产”</w:t>
                  </w:r>
                  <w:r>
                    <w:rPr>
                      <w:color w:val="000000" w:themeColor="text1"/>
                      <w:kern w:val="0"/>
                      <w:sz w:val="21"/>
                      <w:szCs w:val="21"/>
                    </w:rPr>
                    <w:t>原则合理确定。适当控制钢铁、石化产业规模，完善盐化工产业链和海水淡化后续产业链。贯彻国家产业政策和节能减排相关要求，严格入区项目环境准入。</w:t>
                  </w:r>
                </w:p>
              </w:tc>
              <w:tc>
                <w:tcPr>
                  <w:tcW w:w="1582" w:type="pct"/>
                  <w:vAlign w:val="center"/>
                </w:tcPr>
                <w:p w14:paraId="32F70F14">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sz w:val="21"/>
                      <w:szCs w:val="21"/>
                    </w:rPr>
                    <w:t>本项目以原木加工厂的原木锯末为原料，生产生物质能源颗粒，</w:t>
                  </w:r>
                  <w:r>
                    <w:rPr>
                      <w:rFonts w:hint="eastAsia"/>
                      <w:color w:val="000000" w:themeColor="text1"/>
                      <w:kern w:val="0"/>
                      <w:sz w:val="21"/>
                      <w:szCs w:val="21"/>
                    </w:rPr>
                    <w:t>不属于上述产业，项目符合</w:t>
                  </w:r>
                  <w:r>
                    <w:rPr>
                      <w:color w:val="000000" w:themeColor="text1"/>
                      <w:kern w:val="0"/>
                      <w:sz w:val="21"/>
                      <w:szCs w:val="21"/>
                    </w:rPr>
                    <w:t>国家产业政策和节能减排相关要求</w:t>
                  </w:r>
                  <w:r>
                    <w:rPr>
                      <w:rFonts w:hint="eastAsia"/>
                      <w:color w:val="000000" w:themeColor="text1"/>
                      <w:kern w:val="0"/>
                      <w:sz w:val="21"/>
                      <w:szCs w:val="21"/>
                    </w:rPr>
                    <w:t>，符合</w:t>
                  </w:r>
                  <w:r>
                    <w:rPr>
                      <w:color w:val="000000" w:themeColor="text1"/>
                      <w:kern w:val="0"/>
                      <w:sz w:val="21"/>
                      <w:szCs w:val="21"/>
                    </w:rPr>
                    <w:t>入区项目环境准入</w:t>
                  </w:r>
                  <w:r>
                    <w:rPr>
                      <w:rFonts w:hint="eastAsia"/>
                      <w:color w:val="000000" w:themeColor="text1"/>
                      <w:kern w:val="0"/>
                      <w:sz w:val="21"/>
                      <w:szCs w:val="21"/>
                    </w:rPr>
                    <w:t>要求。</w:t>
                  </w:r>
                </w:p>
              </w:tc>
              <w:tc>
                <w:tcPr>
                  <w:tcW w:w="409" w:type="pct"/>
                  <w:vAlign w:val="center"/>
                </w:tcPr>
                <w:p w14:paraId="5B698B72">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138BF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7C7598D1">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2F7F1066">
                  <w:pPr>
                    <w:widowControl/>
                    <w:numPr>
                      <w:ilvl w:val="0"/>
                      <w:numId w:val="1"/>
                    </w:numPr>
                    <w:spacing w:line="240" w:lineRule="auto"/>
                    <w:ind w:right="-48" w:rightChars="-20" w:firstLineChars="0"/>
                    <w:jc w:val="center"/>
                    <w:rPr>
                      <w:color w:val="000000" w:themeColor="text1"/>
                      <w:kern w:val="0"/>
                      <w:sz w:val="21"/>
                      <w:szCs w:val="21"/>
                    </w:rPr>
                  </w:pPr>
                </w:p>
              </w:tc>
              <w:tc>
                <w:tcPr>
                  <w:tcW w:w="2151" w:type="pct"/>
                  <w:vAlign w:val="center"/>
                </w:tcPr>
                <w:p w14:paraId="69B8AF7B">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建立环境风险防控和应急体系。做好危险废物和一般废物的处理和处置。建立健全环境监测体系</w:t>
                  </w:r>
                  <w:r>
                    <w:rPr>
                      <w:rFonts w:hint="eastAsia"/>
                      <w:color w:val="000000" w:themeColor="text1"/>
                      <w:kern w:val="0"/>
                      <w:sz w:val="21"/>
                      <w:szCs w:val="21"/>
                    </w:rPr>
                    <w:t>。</w:t>
                  </w:r>
                </w:p>
              </w:tc>
              <w:tc>
                <w:tcPr>
                  <w:tcW w:w="1582" w:type="pct"/>
                  <w:vAlign w:val="center"/>
                </w:tcPr>
                <w:p w14:paraId="19D92F63">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本项目建成后编制突发环境事件应急预案，</w:t>
                  </w:r>
                  <w:r>
                    <w:rPr>
                      <w:color w:val="000000" w:themeColor="text1"/>
                      <w:kern w:val="0"/>
                      <w:sz w:val="21"/>
                      <w:szCs w:val="21"/>
                    </w:rPr>
                    <w:t>建立环境风险防控和应急体系</w:t>
                  </w:r>
                  <w:r>
                    <w:rPr>
                      <w:rFonts w:hint="eastAsia"/>
                      <w:color w:val="000000" w:themeColor="text1"/>
                      <w:kern w:val="0"/>
                      <w:sz w:val="21"/>
                      <w:szCs w:val="21"/>
                    </w:rPr>
                    <w:t>。</w:t>
                  </w:r>
                  <w:r>
                    <w:rPr>
                      <w:rFonts w:hint="eastAsia"/>
                      <w:color w:val="000000" w:themeColor="text1"/>
                      <w:sz w:val="21"/>
                      <w:szCs w:val="21"/>
                    </w:rPr>
                    <w:t>项目建成后</w:t>
                  </w:r>
                  <w:r>
                    <w:rPr>
                      <w:rFonts w:hint="eastAsia"/>
                      <w:color w:val="000000" w:themeColor="text1"/>
                      <w:kern w:val="0"/>
                      <w:sz w:val="21"/>
                      <w:szCs w:val="21"/>
                    </w:rPr>
                    <w:t>落实</w:t>
                  </w:r>
                  <w:r>
                    <w:rPr>
                      <w:color w:val="000000" w:themeColor="text1"/>
                      <w:kern w:val="0"/>
                      <w:sz w:val="21"/>
                      <w:szCs w:val="21"/>
                    </w:rPr>
                    <w:t>危险废物和一般废物的处理和处置</w:t>
                  </w:r>
                  <w:r>
                    <w:rPr>
                      <w:rFonts w:hint="eastAsia"/>
                      <w:color w:val="000000" w:themeColor="text1"/>
                      <w:kern w:val="0"/>
                      <w:sz w:val="21"/>
                      <w:szCs w:val="21"/>
                    </w:rPr>
                    <w:t>。按照要求</w:t>
                  </w:r>
                  <w:r>
                    <w:rPr>
                      <w:color w:val="000000" w:themeColor="text1"/>
                      <w:kern w:val="0"/>
                      <w:sz w:val="21"/>
                      <w:szCs w:val="21"/>
                    </w:rPr>
                    <w:t>建立健全环境监测体系</w:t>
                  </w:r>
                  <w:r>
                    <w:rPr>
                      <w:rFonts w:hint="eastAsia"/>
                      <w:color w:val="000000" w:themeColor="text1"/>
                      <w:kern w:val="0"/>
                      <w:sz w:val="21"/>
                      <w:szCs w:val="21"/>
                    </w:rPr>
                    <w:t>。</w:t>
                  </w:r>
                </w:p>
              </w:tc>
              <w:tc>
                <w:tcPr>
                  <w:tcW w:w="409" w:type="pct"/>
                  <w:vAlign w:val="center"/>
                </w:tcPr>
                <w:p w14:paraId="063675C1">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204C2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475EAA95">
                  <w:pPr>
                    <w:widowControl/>
                    <w:spacing w:line="240" w:lineRule="auto"/>
                    <w:ind w:right="-48" w:rightChars="-20" w:firstLine="0" w:firstLineChars="0"/>
                    <w:jc w:val="center"/>
                    <w:rPr>
                      <w:color w:val="000000" w:themeColor="text1"/>
                      <w:kern w:val="0"/>
                      <w:sz w:val="21"/>
                      <w:szCs w:val="21"/>
                    </w:rPr>
                  </w:pPr>
                  <w:r>
                    <w:rPr>
                      <w:color w:val="000000" w:themeColor="text1"/>
                      <w:kern w:val="0"/>
                      <w:sz w:val="21"/>
                      <w:szCs w:val="21"/>
                    </w:rPr>
                    <w:t>《关于曹妃甸循环经济示范区规划环境影响跟踪评价工作有关意见的函》（环办环评函[2019]334号）</w:t>
                  </w:r>
                </w:p>
              </w:tc>
              <w:tc>
                <w:tcPr>
                  <w:tcW w:w="254" w:type="pct"/>
                  <w:vAlign w:val="center"/>
                </w:tcPr>
                <w:p w14:paraId="294488FD">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61CEEAA8">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根据国家及京津冀发展战略，结合唐山市和曹妃甸区相关规划对示范区发展定位和要求，加强与京津冀战略环评成果的衔接，加快主导产业的规模化和集约化，深入推进示范区循环化、绿色化发展，加强能源梯级利用和中水回用，严格控制煤炭消费总量，落实区域环境质量改善的目标要求</w:t>
                  </w:r>
                  <w:r>
                    <w:rPr>
                      <w:rFonts w:hint="eastAsia"/>
                      <w:color w:val="000000" w:themeColor="text1"/>
                      <w:kern w:val="0"/>
                      <w:sz w:val="21"/>
                      <w:szCs w:val="21"/>
                    </w:rPr>
                    <w:t>。</w:t>
                  </w:r>
                </w:p>
              </w:tc>
              <w:tc>
                <w:tcPr>
                  <w:tcW w:w="1582" w:type="pct"/>
                  <w:vAlign w:val="center"/>
                </w:tcPr>
                <w:p w14:paraId="4289CF24">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本项目不涉及煤炭能源的使用，污染源均采取严格的污染防治措施，对区域环境质量的影响可接受。</w:t>
                  </w:r>
                </w:p>
              </w:tc>
              <w:tc>
                <w:tcPr>
                  <w:tcW w:w="409" w:type="pct"/>
                  <w:vAlign w:val="center"/>
                </w:tcPr>
                <w:p w14:paraId="270D5667">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42FA4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170FD39C">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29C88701">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4400DAC0">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落实国家关于加强渤海生态环境保护及围填海管理等要求，加强海域生态环境保护。加强示范区内生态隔离带、绿廊等生态空间的环境管控。积极引导产业集中优化布局，避免产业发展对人居环境安全的不良影响</w:t>
                  </w:r>
                  <w:r>
                    <w:rPr>
                      <w:rFonts w:hint="eastAsia"/>
                      <w:color w:val="000000" w:themeColor="text1"/>
                      <w:kern w:val="0"/>
                      <w:sz w:val="21"/>
                      <w:szCs w:val="21"/>
                    </w:rPr>
                    <w:t>。</w:t>
                  </w:r>
                </w:p>
              </w:tc>
              <w:tc>
                <w:tcPr>
                  <w:tcW w:w="1582" w:type="pct"/>
                  <w:vAlign w:val="center"/>
                </w:tcPr>
                <w:p w14:paraId="2D625A95">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kern w:val="0"/>
                      <w:sz w:val="21"/>
                      <w:szCs w:val="21"/>
                    </w:rPr>
                    <w:t>本项目位于唐山市曹妃甸装备制造产业园区，项目所在区域不涉及</w:t>
                  </w:r>
                  <w:r>
                    <w:rPr>
                      <w:color w:val="000000" w:themeColor="text1"/>
                      <w:kern w:val="0"/>
                      <w:sz w:val="21"/>
                      <w:szCs w:val="21"/>
                    </w:rPr>
                    <w:t>海域生态环境保护</w:t>
                  </w:r>
                  <w:r>
                    <w:rPr>
                      <w:rFonts w:hint="eastAsia"/>
                      <w:color w:val="000000" w:themeColor="text1"/>
                      <w:kern w:val="0"/>
                      <w:sz w:val="21"/>
                      <w:szCs w:val="21"/>
                    </w:rPr>
                    <w:t>、</w:t>
                  </w:r>
                  <w:r>
                    <w:rPr>
                      <w:color w:val="000000" w:themeColor="text1"/>
                      <w:kern w:val="0"/>
                      <w:sz w:val="21"/>
                      <w:szCs w:val="21"/>
                    </w:rPr>
                    <w:t>生态隔离带、绿廊等生态空间的环境管控</w:t>
                  </w:r>
                  <w:r>
                    <w:rPr>
                      <w:rFonts w:hint="eastAsia"/>
                      <w:color w:val="000000" w:themeColor="text1"/>
                      <w:kern w:val="0"/>
                      <w:sz w:val="21"/>
                      <w:szCs w:val="21"/>
                    </w:rPr>
                    <w:t>，基本不会对</w:t>
                  </w:r>
                  <w:r>
                    <w:rPr>
                      <w:color w:val="000000" w:themeColor="text1"/>
                      <w:kern w:val="0"/>
                      <w:sz w:val="21"/>
                      <w:szCs w:val="21"/>
                    </w:rPr>
                    <w:t>人居环境安全</w:t>
                  </w:r>
                  <w:r>
                    <w:rPr>
                      <w:rFonts w:hint="eastAsia"/>
                      <w:color w:val="000000" w:themeColor="text1"/>
                      <w:kern w:val="0"/>
                      <w:sz w:val="21"/>
                      <w:szCs w:val="21"/>
                    </w:rPr>
                    <w:t>产生</w:t>
                  </w:r>
                  <w:r>
                    <w:rPr>
                      <w:color w:val="000000" w:themeColor="text1"/>
                      <w:kern w:val="0"/>
                      <w:sz w:val="21"/>
                      <w:szCs w:val="21"/>
                    </w:rPr>
                    <w:t>不良影响</w:t>
                  </w:r>
                  <w:r>
                    <w:rPr>
                      <w:rFonts w:hint="eastAsia"/>
                      <w:color w:val="000000" w:themeColor="text1"/>
                      <w:kern w:val="0"/>
                      <w:sz w:val="21"/>
                      <w:szCs w:val="21"/>
                    </w:rPr>
                    <w:t>。</w:t>
                  </w:r>
                </w:p>
              </w:tc>
              <w:tc>
                <w:tcPr>
                  <w:tcW w:w="409" w:type="pct"/>
                  <w:vAlign w:val="center"/>
                </w:tcPr>
                <w:p w14:paraId="4FE7A82C">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44218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37766AD1">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1B99771F">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35329715">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示范区项目建设、环境管理应落实《报告》生态环境准入清单的要求。不满足生态环境准入清单的已建项目，应制定并落实整改方案</w:t>
                  </w:r>
                  <w:r>
                    <w:rPr>
                      <w:rFonts w:hint="eastAsia"/>
                      <w:color w:val="000000" w:themeColor="text1"/>
                      <w:kern w:val="0"/>
                      <w:sz w:val="21"/>
                      <w:szCs w:val="21"/>
                    </w:rPr>
                    <w:t>。</w:t>
                  </w:r>
                </w:p>
              </w:tc>
              <w:tc>
                <w:tcPr>
                  <w:tcW w:w="1582" w:type="pct"/>
                  <w:vAlign w:val="center"/>
                </w:tcPr>
                <w:p w14:paraId="6339961D">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本项目符合示范区生态环境准入清单的要求。</w:t>
                  </w:r>
                </w:p>
              </w:tc>
              <w:tc>
                <w:tcPr>
                  <w:tcW w:w="409" w:type="pct"/>
                  <w:vAlign w:val="center"/>
                </w:tcPr>
                <w:p w14:paraId="40517EC5">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2D180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595E600A">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5D9CD4DE">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043564C6">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根据各阶段环境质量底线目标，加强示范区污染物排放总量管控，落实区域内现有污染物减排任务和措施，减少污染物的排放量</w:t>
                  </w:r>
                  <w:r>
                    <w:rPr>
                      <w:rFonts w:hint="eastAsia"/>
                      <w:color w:val="000000" w:themeColor="text1"/>
                      <w:kern w:val="0"/>
                      <w:sz w:val="21"/>
                      <w:szCs w:val="21"/>
                    </w:rPr>
                    <w:t>。</w:t>
                  </w:r>
                </w:p>
              </w:tc>
              <w:tc>
                <w:tcPr>
                  <w:tcW w:w="1582" w:type="pct"/>
                  <w:vAlign w:val="center"/>
                </w:tcPr>
                <w:p w14:paraId="0543938F">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本项目满足</w:t>
                  </w:r>
                  <w:r>
                    <w:rPr>
                      <w:color w:val="000000" w:themeColor="text1"/>
                      <w:kern w:val="0"/>
                      <w:sz w:val="21"/>
                      <w:szCs w:val="21"/>
                    </w:rPr>
                    <w:t>环境质量底线</w:t>
                  </w:r>
                  <w:r>
                    <w:rPr>
                      <w:rFonts w:hint="eastAsia"/>
                      <w:color w:val="000000" w:themeColor="text1"/>
                      <w:kern w:val="0"/>
                      <w:sz w:val="21"/>
                      <w:szCs w:val="21"/>
                    </w:rPr>
                    <w:t>要求，落实</w:t>
                  </w:r>
                  <w:r>
                    <w:rPr>
                      <w:color w:val="000000" w:themeColor="text1"/>
                      <w:kern w:val="0"/>
                      <w:sz w:val="21"/>
                      <w:szCs w:val="21"/>
                    </w:rPr>
                    <w:t>污染物排放总量管控，</w:t>
                  </w:r>
                  <w:r>
                    <w:rPr>
                      <w:rFonts w:hint="eastAsia"/>
                      <w:color w:val="000000" w:themeColor="text1"/>
                      <w:kern w:val="0"/>
                      <w:sz w:val="21"/>
                      <w:szCs w:val="21"/>
                    </w:rPr>
                    <w:t>污染物采取严格的污染防治措施，废气排放量较小。</w:t>
                  </w:r>
                </w:p>
              </w:tc>
              <w:tc>
                <w:tcPr>
                  <w:tcW w:w="409" w:type="pct"/>
                  <w:vAlign w:val="center"/>
                </w:tcPr>
                <w:p w14:paraId="2493D68D">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78169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72A606CF">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49C5BE32">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222A115E">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完善示范区环保基础设施建设。尽快完善污水管网和深海排放口建设；完善示范区危险废物、一般工业固体废物处理处置体系建设；加快供热管网建设，完善示范区集中供热体系</w:t>
                  </w:r>
                  <w:r>
                    <w:rPr>
                      <w:rFonts w:hint="eastAsia"/>
                      <w:color w:val="000000" w:themeColor="text1"/>
                      <w:kern w:val="0"/>
                      <w:sz w:val="21"/>
                      <w:szCs w:val="21"/>
                    </w:rPr>
                    <w:t>。</w:t>
                  </w:r>
                </w:p>
              </w:tc>
              <w:tc>
                <w:tcPr>
                  <w:tcW w:w="1582" w:type="pct"/>
                  <w:vAlign w:val="center"/>
                </w:tcPr>
                <w:p w14:paraId="77F2C919">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本项目生活污水排入市政污水管网，最终进入曹妃甸工业区装备制造区污水处理站处理；热风炉冷却过程排污水回用于冲厕用水再利用，不外排。</w:t>
                  </w:r>
                  <w:r>
                    <w:rPr>
                      <w:color w:val="000000" w:themeColor="text1"/>
                      <w:kern w:val="0"/>
                      <w:sz w:val="21"/>
                      <w:szCs w:val="21"/>
                    </w:rPr>
                    <w:t>危险废物、一般工业固体废物</w:t>
                  </w:r>
                  <w:r>
                    <w:rPr>
                      <w:rFonts w:hint="eastAsia"/>
                      <w:color w:val="000000" w:themeColor="text1"/>
                      <w:kern w:val="0"/>
                      <w:sz w:val="21"/>
                      <w:szCs w:val="21"/>
                    </w:rPr>
                    <w:t>合理处置。本项目生产用热采用热风炉燃烧自产生物质能源颗粒提供。</w:t>
                  </w:r>
                </w:p>
              </w:tc>
              <w:tc>
                <w:tcPr>
                  <w:tcW w:w="409" w:type="pct"/>
                  <w:vAlign w:val="center"/>
                </w:tcPr>
                <w:p w14:paraId="5ED1ED1A">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364FC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211D858F">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1840283E">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14A01D10">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健全示范区环境监测和环境管理体系。加强挥发性有机物等特征因子自动监测；强化重点企业监督监控及环境信息公开；加强示范区环境管理队伍建设</w:t>
                  </w:r>
                  <w:r>
                    <w:rPr>
                      <w:rFonts w:hint="eastAsia"/>
                      <w:color w:val="000000" w:themeColor="text1"/>
                      <w:kern w:val="0"/>
                      <w:sz w:val="21"/>
                      <w:szCs w:val="21"/>
                    </w:rPr>
                    <w:t>。</w:t>
                  </w:r>
                </w:p>
              </w:tc>
              <w:tc>
                <w:tcPr>
                  <w:tcW w:w="1582" w:type="pct"/>
                  <w:vAlign w:val="center"/>
                </w:tcPr>
                <w:p w14:paraId="1B269E93">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本项目制定环境监测计划，项目建成后严格落实。</w:t>
                  </w:r>
                </w:p>
              </w:tc>
              <w:tc>
                <w:tcPr>
                  <w:tcW w:w="409" w:type="pct"/>
                  <w:vAlign w:val="center"/>
                </w:tcPr>
                <w:p w14:paraId="43783616">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r w14:paraId="3AB50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1DEFD245">
                  <w:pPr>
                    <w:widowControl/>
                    <w:spacing w:line="240" w:lineRule="auto"/>
                    <w:ind w:right="-48" w:rightChars="-20" w:firstLine="0" w:firstLineChars="0"/>
                    <w:jc w:val="center"/>
                    <w:rPr>
                      <w:color w:val="000000" w:themeColor="text1"/>
                      <w:kern w:val="0"/>
                      <w:sz w:val="21"/>
                      <w:szCs w:val="21"/>
                    </w:rPr>
                  </w:pPr>
                </w:p>
              </w:tc>
              <w:tc>
                <w:tcPr>
                  <w:tcW w:w="254" w:type="pct"/>
                  <w:vAlign w:val="center"/>
                </w:tcPr>
                <w:p w14:paraId="5BD8C2EC">
                  <w:pPr>
                    <w:widowControl/>
                    <w:numPr>
                      <w:ilvl w:val="0"/>
                      <w:numId w:val="2"/>
                    </w:numPr>
                    <w:spacing w:line="240" w:lineRule="auto"/>
                    <w:ind w:right="-48" w:rightChars="-20" w:firstLineChars="0"/>
                    <w:jc w:val="center"/>
                    <w:rPr>
                      <w:color w:val="000000" w:themeColor="text1"/>
                      <w:kern w:val="0"/>
                      <w:sz w:val="21"/>
                      <w:szCs w:val="21"/>
                    </w:rPr>
                  </w:pPr>
                </w:p>
              </w:tc>
              <w:tc>
                <w:tcPr>
                  <w:tcW w:w="2151" w:type="pct"/>
                  <w:vAlign w:val="center"/>
                </w:tcPr>
                <w:p w14:paraId="71598E23">
                  <w:pPr>
                    <w:widowControl/>
                    <w:spacing w:line="240" w:lineRule="auto"/>
                    <w:ind w:left="-48" w:leftChars="-20" w:right="-48" w:rightChars="-20" w:firstLine="0" w:firstLineChars="0"/>
                    <w:jc w:val="center"/>
                    <w:rPr>
                      <w:color w:val="000000" w:themeColor="text1"/>
                      <w:kern w:val="0"/>
                      <w:sz w:val="21"/>
                      <w:szCs w:val="21"/>
                    </w:rPr>
                  </w:pPr>
                  <w:r>
                    <w:rPr>
                      <w:color w:val="000000" w:themeColor="text1"/>
                      <w:kern w:val="0"/>
                      <w:sz w:val="21"/>
                      <w:szCs w:val="21"/>
                    </w:rPr>
                    <w:t>建立健全示范区环境风险防控体系。强化示范区危险化学品、危险废物等储运管理与监控。制定示范区环境风险防范措施及应急预案，确保与区域及示范区内企业等各级应急系统的有效衔接</w:t>
                  </w:r>
                  <w:r>
                    <w:rPr>
                      <w:rFonts w:hint="eastAsia"/>
                      <w:color w:val="000000" w:themeColor="text1"/>
                      <w:kern w:val="0"/>
                      <w:sz w:val="21"/>
                      <w:szCs w:val="21"/>
                    </w:rPr>
                    <w:t>。</w:t>
                  </w:r>
                </w:p>
              </w:tc>
              <w:tc>
                <w:tcPr>
                  <w:tcW w:w="1582" w:type="pct"/>
                  <w:vAlign w:val="center"/>
                </w:tcPr>
                <w:p w14:paraId="51DA3600">
                  <w:pPr>
                    <w:widowControl/>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本项目建成后编制突发环境事件应急预案，</w:t>
                  </w:r>
                  <w:r>
                    <w:rPr>
                      <w:color w:val="000000" w:themeColor="text1"/>
                      <w:kern w:val="0"/>
                      <w:sz w:val="21"/>
                      <w:szCs w:val="21"/>
                    </w:rPr>
                    <w:t>建立环境风险防控体系</w:t>
                  </w:r>
                  <w:r>
                    <w:rPr>
                      <w:rFonts w:hint="eastAsia"/>
                      <w:color w:val="000000" w:themeColor="text1"/>
                      <w:kern w:val="0"/>
                      <w:sz w:val="21"/>
                      <w:szCs w:val="21"/>
                    </w:rPr>
                    <w:t>。</w:t>
                  </w:r>
                </w:p>
              </w:tc>
              <w:tc>
                <w:tcPr>
                  <w:tcW w:w="409" w:type="pct"/>
                  <w:vAlign w:val="center"/>
                </w:tcPr>
                <w:p w14:paraId="12049902">
                  <w:pPr>
                    <w:widowControl/>
                    <w:spacing w:line="240" w:lineRule="auto"/>
                    <w:ind w:left="-48" w:leftChars="-20" w:right="-48" w:rightChars="-20" w:firstLine="0" w:firstLineChars="0"/>
                    <w:jc w:val="center"/>
                    <w:rPr>
                      <w:color w:val="000000" w:themeColor="text1"/>
                      <w:kern w:val="0"/>
                      <w:sz w:val="21"/>
                      <w:szCs w:val="21"/>
                    </w:rPr>
                  </w:pPr>
                  <w:r>
                    <w:rPr>
                      <w:rFonts w:hint="eastAsia"/>
                      <w:color w:val="000000" w:themeColor="text1"/>
                      <w:kern w:val="0"/>
                      <w:sz w:val="21"/>
                      <w:szCs w:val="21"/>
                    </w:rPr>
                    <w:t>符合</w:t>
                  </w:r>
                </w:p>
              </w:tc>
            </w:tr>
          </w:tbl>
          <w:p w14:paraId="1FB4B188">
            <w:pPr>
              <w:spacing w:line="360" w:lineRule="auto"/>
              <w:ind w:firstLine="480"/>
              <w:jc w:val="left"/>
              <w:rPr>
                <w:color w:val="000000" w:themeColor="text1"/>
              </w:rPr>
            </w:pPr>
            <w:r>
              <w:rPr>
                <w:rFonts w:hint="eastAsia"/>
                <w:color w:val="000000" w:themeColor="text1"/>
              </w:rPr>
              <w:t>由上表可知，本项目符合规划环评审查意见要求。</w:t>
            </w:r>
          </w:p>
        </w:tc>
      </w:tr>
      <w:tr w14:paraId="72B84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tcBorders>
              <w:tl2br w:val="nil"/>
              <w:tr2bl w:val="nil"/>
            </w:tcBorders>
            <w:vAlign w:val="center"/>
          </w:tcPr>
          <w:p w14:paraId="19CCD55F">
            <w:pPr>
              <w:autoSpaceDE w:val="0"/>
              <w:autoSpaceDN w:val="0"/>
              <w:adjustRightInd w:val="0"/>
              <w:snapToGrid w:val="0"/>
              <w:spacing w:line="240" w:lineRule="auto"/>
              <w:ind w:firstLine="0" w:firstLineChars="0"/>
              <w:jc w:val="center"/>
              <w:rPr>
                <w:rFonts w:ascii="宋体" w:hAnsi="宋体" w:cs="宋体"/>
                <w:color w:val="000000" w:themeColor="text1"/>
                <w:kern w:val="0"/>
              </w:rPr>
            </w:pPr>
            <w:r>
              <w:rPr>
                <w:rFonts w:hint="eastAsia" w:ascii="宋体" w:hAnsi="宋体" w:cs="宋体"/>
                <w:color w:val="000000" w:themeColor="text1"/>
                <w:kern w:val="0"/>
              </w:rPr>
              <w:t>其他符合性分析</w:t>
            </w:r>
          </w:p>
        </w:tc>
        <w:tc>
          <w:tcPr>
            <w:tcW w:w="8175" w:type="dxa"/>
            <w:gridSpan w:val="3"/>
            <w:tcBorders>
              <w:tl2br w:val="nil"/>
              <w:tr2bl w:val="nil"/>
            </w:tcBorders>
            <w:vAlign w:val="center"/>
          </w:tcPr>
          <w:p w14:paraId="10BB0D83">
            <w:pPr>
              <w:pStyle w:val="21"/>
              <w:widowControl w:val="0"/>
              <w:spacing w:before="0" w:beforeAutospacing="0" w:after="0" w:afterAutospacing="0" w:line="360" w:lineRule="auto"/>
              <w:ind w:firstLine="482"/>
              <w:jc w:val="both"/>
              <w:rPr>
                <w:rFonts w:ascii="Times New Roman" w:hAnsi="Times New Roman"/>
                <w:b/>
                <w:color w:val="000000" w:themeColor="text1"/>
                <w:szCs w:val="24"/>
              </w:rPr>
            </w:pPr>
            <w:r>
              <w:rPr>
                <w:rFonts w:hint="eastAsia" w:ascii="Times New Roman" w:hAnsi="Times New Roman"/>
                <w:b/>
                <w:color w:val="000000" w:themeColor="text1"/>
                <w:kern w:val="2"/>
                <w:szCs w:val="24"/>
              </w:rPr>
              <w:t>1、产业政策符合</w:t>
            </w:r>
            <w:r>
              <w:rPr>
                <w:rFonts w:ascii="Times New Roman" w:hAnsi="Times New Roman"/>
                <w:b/>
                <w:color w:val="000000" w:themeColor="text1"/>
                <w:kern w:val="2"/>
                <w:szCs w:val="24"/>
              </w:rPr>
              <w:t>性分析</w:t>
            </w:r>
          </w:p>
          <w:p w14:paraId="6ED572C7">
            <w:pPr>
              <w:tabs>
                <w:tab w:val="left" w:pos="3150"/>
              </w:tabs>
              <w:spacing w:line="360" w:lineRule="auto"/>
              <w:ind w:firstLine="484"/>
              <w:rPr>
                <w:color w:val="000000" w:themeColor="text1"/>
              </w:rPr>
            </w:pPr>
            <w:r>
              <w:rPr>
                <w:rFonts w:hint="eastAsia"/>
                <w:color w:val="000000" w:themeColor="text1"/>
                <w:spacing w:val="1"/>
              </w:rPr>
              <w:t>根据《产业结构调整指导目录（2024年本）》，本项目不属于鼓励类、限制类和淘汰类项目，属于国家允许类</w:t>
            </w:r>
            <w:r>
              <w:rPr>
                <w:color w:val="000000" w:themeColor="text1"/>
              </w:rPr>
              <w:t>；本项目不属于《市场准入负面清单》（</w:t>
            </w:r>
            <w:r>
              <w:rPr>
                <w:rFonts w:eastAsia="Times New Roman"/>
                <w:color w:val="000000" w:themeColor="text1"/>
              </w:rPr>
              <w:t>202</w:t>
            </w:r>
            <w:r>
              <w:rPr>
                <w:rFonts w:hint="eastAsia"/>
                <w:color w:val="000000" w:themeColor="text1"/>
              </w:rPr>
              <w:t>5</w:t>
            </w:r>
            <w:r>
              <w:rPr>
                <w:color w:val="000000" w:themeColor="text1"/>
              </w:rPr>
              <w:t>年版）中的禁止</w:t>
            </w:r>
            <w:r>
              <w:rPr>
                <w:color w:val="000000" w:themeColor="text1"/>
                <w:spacing w:val="-1"/>
              </w:rPr>
              <w:t>准入类</w:t>
            </w:r>
            <w:r>
              <w:rPr>
                <w:rFonts w:hint="eastAsia"/>
                <w:color w:val="000000" w:themeColor="text1"/>
                <w:spacing w:val="-1"/>
              </w:rPr>
              <w:t>；</w:t>
            </w:r>
            <w:r>
              <w:rPr>
                <w:color w:val="000000" w:themeColor="text1"/>
                <w:spacing w:val="-1"/>
              </w:rPr>
              <w:t>本项目不属于《河北省禁止投资的产业目录（</w:t>
            </w:r>
            <w:r>
              <w:rPr>
                <w:rFonts w:eastAsia="Times New Roman"/>
                <w:color w:val="000000" w:themeColor="text1"/>
                <w:spacing w:val="-1"/>
              </w:rPr>
              <w:t>2014</w:t>
            </w:r>
            <w:r>
              <w:rPr>
                <w:rFonts w:hint="eastAsia"/>
                <w:color w:val="000000" w:themeColor="text1"/>
                <w:spacing w:val="-1"/>
              </w:rPr>
              <w:t>年</w:t>
            </w:r>
            <w:r>
              <w:rPr>
                <w:color w:val="000000" w:themeColor="text1"/>
                <w:spacing w:val="-1"/>
              </w:rPr>
              <w:t>版）》中禁止</w:t>
            </w:r>
            <w:r>
              <w:rPr>
                <w:color w:val="000000" w:themeColor="text1"/>
                <w:spacing w:val="2"/>
              </w:rPr>
              <w:t>投资的项目</w:t>
            </w:r>
            <w:r>
              <w:rPr>
                <w:rFonts w:hint="eastAsia"/>
                <w:color w:val="000000" w:themeColor="text1"/>
                <w:spacing w:val="2"/>
              </w:rPr>
              <w:t>；本项目已在</w:t>
            </w:r>
            <w:r>
              <w:rPr>
                <w:rFonts w:hint="eastAsia"/>
                <w:color w:val="000000" w:themeColor="text1"/>
              </w:rPr>
              <w:t>唐山市曹妃甸区行政审批局备案，备案文号：唐曹审批投资备[2025]16号 。</w:t>
            </w:r>
          </w:p>
          <w:p w14:paraId="6ED86D7F">
            <w:pPr>
              <w:tabs>
                <w:tab w:val="left" w:pos="3150"/>
              </w:tabs>
              <w:spacing w:line="360" w:lineRule="auto"/>
              <w:ind w:firstLine="480"/>
              <w:rPr>
                <w:color w:val="000000" w:themeColor="text1"/>
              </w:rPr>
            </w:pPr>
            <w:r>
              <w:rPr>
                <w:rFonts w:hint="eastAsia"/>
                <w:color w:val="000000" w:themeColor="text1"/>
              </w:rPr>
              <w:t>综上所述，本项目符合产业政策要求。</w:t>
            </w:r>
          </w:p>
          <w:p w14:paraId="7D540050">
            <w:pPr>
              <w:spacing w:line="360" w:lineRule="auto"/>
              <w:ind w:firstLine="482"/>
              <w:rPr>
                <w:b/>
                <w:bCs/>
                <w:color w:val="000000" w:themeColor="text1"/>
              </w:rPr>
            </w:pPr>
            <w:r>
              <w:rPr>
                <w:rFonts w:hint="eastAsia"/>
                <w:b/>
                <w:bCs/>
                <w:color w:val="000000" w:themeColor="text1"/>
              </w:rPr>
              <w:t>2、项目选址合理性分析</w:t>
            </w:r>
          </w:p>
          <w:p w14:paraId="6883584F">
            <w:pPr>
              <w:pStyle w:val="23"/>
              <w:spacing w:line="360" w:lineRule="auto"/>
              <w:ind w:leftChars="0" w:firstLine="480"/>
              <w:rPr>
                <w:color w:val="000000" w:themeColor="text1"/>
                <w:sz w:val="24"/>
              </w:rPr>
            </w:pPr>
            <w:r>
              <w:rPr>
                <w:rFonts w:hint="eastAsia"/>
                <w:color w:val="000000" w:themeColor="text1"/>
                <w:sz w:val="24"/>
                <w:lang w:val="zh-CN"/>
              </w:rPr>
              <w:t>（</w:t>
            </w:r>
            <w:r>
              <w:rPr>
                <w:rFonts w:hint="eastAsia"/>
                <w:color w:val="000000" w:themeColor="text1"/>
                <w:sz w:val="24"/>
              </w:rPr>
              <w:t>1</w:t>
            </w:r>
            <w:r>
              <w:rPr>
                <w:rFonts w:hint="eastAsia"/>
                <w:color w:val="000000" w:themeColor="text1"/>
                <w:sz w:val="24"/>
                <w:lang w:val="zh-CN"/>
              </w:rPr>
              <w:t>）</w:t>
            </w:r>
            <w:r>
              <w:rPr>
                <w:rFonts w:hint="eastAsia"/>
                <w:color w:val="000000" w:themeColor="text1"/>
                <w:sz w:val="24"/>
              </w:rPr>
              <w:t>规划符合性分析</w:t>
            </w:r>
          </w:p>
          <w:p w14:paraId="6600B4FC">
            <w:pPr>
              <w:spacing w:line="360" w:lineRule="auto"/>
              <w:ind w:firstLine="480"/>
              <w:jc w:val="left"/>
              <w:rPr>
                <w:color w:val="000000" w:themeColor="text1"/>
              </w:rPr>
            </w:pPr>
            <w:r>
              <w:rPr>
                <w:rFonts w:hint="eastAsia"/>
                <w:color w:val="000000" w:themeColor="text1"/>
                <w:lang w:val="zh-CN"/>
              </w:rPr>
              <w:t>本项目</w:t>
            </w:r>
            <w:r>
              <w:rPr>
                <w:color w:val="000000" w:themeColor="text1"/>
                <w:spacing w:val="-2"/>
              </w:rPr>
              <w:t>租赁</w:t>
            </w:r>
            <w:r>
              <w:rPr>
                <w:rFonts w:hint="eastAsia"/>
                <w:color w:val="000000" w:themeColor="text1"/>
              </w:rPr>
              <w:t>唐山曹妃甸木业股份有限公司9号厂房及堆场，</w:t>
            </w:r>
            <w:r>
              <w:rPr>
                <w:rFonts w:hint="eastAsia"/>
                <w:color w:val="000000" w:themeColor="text1"/>
                <w:lang w:val="zh-CN"/>
              </w:rPr>
              <w:t>位于</w:t>
            </w:r>
            <w:r>
              <w:rPr>
                <w:rFonts w:hint="eastAsia"/>
                <w:color w:val="000000" w:themeColor="text1"/>
              </w:rPr>
              <w:t>唐山市曹妃甸装备制造产业园区</w:t>
            </w:r>
            <w:r>
              <w:rPr>
                <w:rFonts w:hint="eastAsia"/>
                <w:color w:val="000000" w:themeColor="text1"/>
                <w:lang w:val="zh-CN"/>
              </w:rPr>
              <w:t>内，</w:t>
            </w:r>
            <w:r>
              <w:rPr>
                <w:rFonts w:hint="eastAsia"/>
                <w:color w:val="000000" w:themeColor="text1"/>
              </w:rPr>
              <w:t>装备制造产业园区定位为发展以海洋工程船舶、港口机械、发电设备、冶金设备、工程机械、矿山机械及大型矿石等大型重型装备制造业和保税港等主导职能，园区现有食品加工、木材加工、粉煤灰制钾肥、金属架构、风机、通用设备等行业；装备制造产业园区依托曹妃甸精品钢铁基地、深水大港及唐山市深厚的工业基础，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企业。本项目以原木加工厂的原木锯末为原料，生产生物质能源颗粒，属于木材深加工的下游产业及关联产业，不属于装备制造园区禁止类和限制类项目。</w:t>
            </w:r>
            <w:r>
              <w:rPr>
                <w:rFonts w:hint="eastAsia"/>
                <w:color w:val="000000" w:themeColor="text1"/>
                <w:lang w:val="zh-CN"/>
              </w:rPr>
              <w:t>根据</w:t>
            </w:r>
            <w:r>
              <w:rPr>
                <w:rFonts w:hint="eastAsia"/>
                <w:color w:val="000000" w:themeColor="text1"/>
              </w:rPr>
              <w:t>唐山曹妃甸木业股份有限公司</w:t>
            </w:r>
            <w:r>
              <w:rPr>
                <w:rFonts w:hint="eastAsia"/>
                <w:color w:val="000000" w:themeColor="text1"/>
                <w:spacing w:val="-2"/>
              </w:rPr>
              <w:t>不动产权证书（冀（2019）曹妃甸区不动产权第0017061号）可知</w:t>
            </w:r>
            <w:r>
              <w:rPr>
                <w:rFonts w:hint="eastAsia"/>
                <w:color w:val="000000" w:themeColor="text1"/>
                <w:lang w:val="zh-CN"/>
              </w:rPr>
              <w:t>，本项目占地属于工业用地，符合</w:t>
            </w:r>
            <w:r>
              <w:rPr>
                <w:rFonts w:hint="eastAsia"/>
                <w:color w:val="000000" w:themeColor="text1"/>
              </w:rPr>
              <w:t>园区</w:t>
            </w:r>
            <w:r>
              <w:rPr>
                <w:rFonts w:hint="eastAsia"/>
                <w:color w:val="000000" w:themeColor="text1"/>
                <w:lang w:val="zh-CN"/>
              </w:rPr>
              <w:t>规划用地布局。</w:t>
            </w:r>
            <w:r>
              <w:rPr>
                <w:rFonts w:hint="eastAsia"/>
                <w:color w:val="000000" w:themeColor="text1"/>
              </w:rPr>
              <w:t>综上所述，本项目符合园区规划。</w:t>
            </w:r>
          </w:p>
          <w:p w14:paraId="20A16C6C">
            <w:pPr>
              <w:pStyle w:val="23"/>
              <w:spacing w:line="360" w:lineRule="auto"/>
              <w:ind w:leftChars="0" w:firstLine="480"/>
              <w:rPr>
                <w:color w:val="000000" w:themeColor="text1"/>
                <w:sz w:val="24"/>
              </w:rPr>
            </w:pPr>
            <w:r>
              <w:rPr>
                <w:rFonts w:hint="eastAsia"/>
                <w:color w:val="000000" w:themeColor="text1"/>
                <w:sz w:val="24"/>
                <w:lang w:val="zh-CN"/>
              </w:rPr>
              <w:t>（</w:t>
            </w:r>
            <w:r>
              <w:rPr>
                <w:rFonts w:hint="eastAsia"/>
                <w:color w:val="000000" w:themeColor="text1"/>
                <w:sz w:val="24"/>
              </w:rPr>
              <w:t>2</w:t>
            </w:r>
            <w:r>
              <w:rPr>
                <w:rFonts w:hint="eastAsia"/>
                <w:color w:val="000000" w:themeColor="text1"/>
                <w:sz w:val="24"/>
                <w:lang w:val="zh-CN"/>
              </w:rPr>
              <w:t>）</w:t>
            </w:r>
            <w:r>
              <w:rPr>
                <w:rFonts w:hint="eastAsia"/>
                <w:color w:val="000000" w:themeColor="text1"/>
                <w:sz w:val="24"/>
              </w:rPr>
              <w:t>选址符合性分析</w:t>
            </w:r>
          </w:p>
          <w:p w14:paraId="735F95D4">
            <w:pPr>
              <w:pStyle w:val="11"/>
              <w:spacing w:line="360" w:lineRule="auto"/>
              <w:ind w:firstLine="480"/>
              <w:jc w:val="both"/>
              <w:rPr>
                <w:color w:val="000000" w:themeColor="text1"/>
                <w:kern w:val="24"/>
              </w:rPr>
            </w:pPr>
            <w:r>
              <w:rPr>
                <w:rFonts w:hint="eastAsia"/>
                <w:color w:val="000000" w:themeColor="text1"/>
              </w:rPr>
              <w:t>本</w:t>
            </w:r>
            <w:r>
              <w:rPr>
                <w:color w:val="000000" w:themeColor="text1"/>
              </w:rPr>
              <w:t>项目不在河北省生态保护红线区范围内</w:t>
            </w:r>
            <w:r>
              <w:rPr>
                <w:rFonts w:hint="eastAsia"/>
                <w:color w:val="000000" w:themeColor="text1"/>
              </w:rPr>
              <w:t>；</w:t>
            </w:r>
            <w:r>
              <w:rPr>
                <w:color w:val="000000" w:themeColor="text1"/>
                <w:spacing w:val="-2"/>
              </w:rPr>
              <w:t>项目厂界外</w:t>
            </w:r>
            <w:r>
              <w:rPr>
                <w:color w:val="000000" w:themeColor="text1"/>
                <w:spacing w:val="-48"/>
              </w:rPr>
              <w:t xml:space="preserve"> </w:t>
            </w:r>
            <w:r>
              <w:rPr>
                <w:rFonts w:eastAsia="Times New Roman"/>
                <w:color w:val="000000" w:themeColor="text1"/>
                <w:spacing w:val="-2"/>
              </w:rPr>
              <w:t>500m</w:t>
            </w:r>
            <w:r>
              <w:rPr>
                <w:color w:val="000000" w:themeColor="text1"/>
                <w:spacing w:val="-2"/>
              </w:rPr>
              <w:t>范围内</w:t>
            </w:r>
            <w:r>
              <w:rPr>
                <w:color w:val="000000" w:themeColor="text1"/>
              </w:rPr>
              <w:t>无饮用水水源地保护区、自然保护区、生态功能区、文物保护地等环境敏感区</w:t>
            </w:r>
            <w:r>
              <w:rPr>
                <w:rFonts w:hint="eastAsia"/>
                <w:color w:val="000000" w:themeColor="text1"/>
              </w:rPr>
              <w:t>；</w:t>
            </w:r>
            <w:r>
              <w:rPr>
                <w:color w:val="000000" w:themeColor="text1"/>
                <w:spacing w:val="3"/>
              </w:rPr>
              <w:t>项目厂界外</w:t>
            </w:r>
            <w:r>
              <w:rPr>
                <w:color w:val="000000" w:themeColor="text1"/>
                <w:spacing w:val="-37"/>
              </w:rPr>
              <w:t xml:space="preserve"> </w:t>
            </w:r>
            <w:r>
              <w:rPr>
                <w:rFonts w:eastAsia="Times New Roman"/>
                <w:color w:val="000000" w:themeColor="text1"/>
                <w:spacing w:val="3"/>
              </w:rPr>
              <w:t>500m</w:t>
            </w:r>
            <w:r>
              <w:rPr>
                <w:color w:val="000000" w:themeColor="text1"/>
                <w:spacing w:val="1"/>
              </w:rPr>
              <w:t>范围内</w:t>
            </w:r>
            <w:r>
              <w:rPr>
                <w:rFonts w:hint="eastAsia"/>
                <w:color w:val="000000" w:themeColor="text1"/>
                <w:spacing w:val="1"/>
              </w:rPr>
              <w:t>无</w:t>
            </w:r>
            <w:r>
              <w:rPr>
                <w:color w:val="000000" w:themeColor="text1"/>
                <w:spacing w:val="1"/>
              </w:rPr>
              <w:t>大气环境保护目标</w:t>
            </w:r>
            <w:r>
              <w:rPr>
                <w:rFonts w:hint="eastAsia"/>
                <w:snapToGrid w:val="0"/>
                <w:color w:val="000000" w:themeColor="text1"/>
                <w:kern w:val="0"/>
              </w:rPr>
              <w:t>，</w:t>
            </w:r>
            <w:r>
              <w:rPr>
                <w:color w:val="000000" w:themeColor="text1"/>
                <w:spacing w:val="-6"/>
              </w:rPr>
              <w:t>采</w:t>
            </w:r>
            <w:r>
              <w:rPr>
                <w:color w:val="000000" w:themeColor="text1"/>
              </w:rPr>
              <w:t>取环评提出的各项环保治理措施后，项目的实施不会对</w:t>
            </w:r>
            <w:r>
              <w:rPr>
                <w:rFonts w:hint="eastAsia"/>
                <w:color w:val="000000" w:themeColor="text1"/>
              </w:rPr>
              <w:t>周边环境</w:t>
            </w:r>
            <w:r>
              <w:rPr>
                <w:color w:val="000000" w:themeColor="text1"/>
                <w:spacing w:val="-2"/>
              </w:rPr>
              <w:t>产生明显不利影响</w:t>
            </w:r>
            <w:r>
              <w:rPr>
                <w:color w:val="000000" w:themeColor="text1"/>
                <w:kern w:val="24"/>
              </w:rPr>
              <w:t>。</w:t>
            </w:r>
          </w:p>
          <w:p w14:paraId="16572FAF">
            <w:pPr>
              <w:pStyle w:val="11"/>
              <w:spacing w:line="360" w:lineRule="auto"/>
              <w:ind w:firstLine="480"/>
              <w:jc w:val="both"/>
              <w:rPr>
                <w:color w:val="000000" w:themeColor="text1"/>
              </w:rPr>
            </w:pPr>
            <w:r>
              <w:rPr>
                <w:rFonts w:hint="eastAsia"/>
                <w:color w:val="000000" w:themeColor="text1"/>
              </w:rPr>
              <w:t>综上所述，本项目选址合理。</w:t>
            </w:r>
          </w:p>
          <w:p w14:paraId="47F9864A">
            <w:pPr>
              <w:spacing w:line="360" w:lineRule="auto"/>
              <w:ind w:firstLine="482"/>
              <w:rPr>
                <w:b/>
                <w:bCs/>
                <w:color w:val="000000" w:themeColor="text1"/>
              </w:rPr>
            </w:pPr>
            <w:r>
              <w:rPr>
                <w:rFonts w:hint="eastAsia"/>
                <w:b/>
                <w:bCs/>
                <w:color w:val="000000" w:themeColor="text1"/>
              </w:rPr>
              <w:t>3、“</w:t>
            </w:r>
            <w:r>
              <w:rPr>
                <w:b/>
                <w:bCs/>
                <w:color w:val="000000" w:themeColor="text1"/>
              </w:rPr>
              <w:t>三线一单</w:t>
            </w:r>
            <w:r>
              <w:rPr>
                <w:rFonts w:hint="eastAsia"/>
                <w:b/>
                <w:bCs/>
                <w:color w:val="000000" w:themeColor="text1"/>
              </w:rPr>
              <w:t>”符合</w:t>
            </w:r>
            <w:r>
              <w:rPr>
                <w:b/>
                <w:bCs/>
                <w:color w:val="000000" w:themeColor="text1"/>
              </w:rPr>
              <w:t>性分析</w:t>
            </w:r>
          </w:p>
          <w:p w14:paraId="167B9AF7">
            <w:pPr>
              <w:spacing w:line="360" w:lineRule="auto"/>
              <w:ind w:firstLine="480"/>
              <w:rPr>
                <w:color w:val="000000" w:themeColor="text1"/>
              </w:rPr>
            </w:pPr>
            <w:r>
              <w:rPr>
                <w:rFonts w:hint="eastAsia"/>
                <w:color w:val="000000" w:themeColor="text1"/>
              </w:rPr>
              <w:t>（1）</w:t>
            </w:r>
            <w:r>
              <w:rPr>
                <w:color w:val="000000" w:themeColor="text1"/>
              </w:rPr>
              <w:t>生态保护红线</w:t>
            </w:r>
          </w:p>
          <w:p w14:paraId="2238E037">
            <w:pPr>
              <w:spacing w:line="360" w:lineRule="auto"/>
              <w:ind w:firstLine="480"/>
              <w:rPr>
                <w:color w:val="000000" w:themeColor="text1"/>
              </w:rPr>
            </w:pPr>
            <w:r>
              <w:rPr>
                <w:color w:val="000000" w:themeColor="text1"/>
              </w:rPr>
              <w:t>根据《河北省生态保护红线》，唐山市生态保护红线总面积为1383.02km</w:t>
            </w:r>
            <w:r>
              <w:rPr>
                <w:color w:val="000000" w:themeColor="text1"/>
                <w:vertAlign w:val="superscript"/>
              </w:rPr>
              <w:t>2</w:t>
            </w:r>
            <w:r>
              <w:rPr>
                <w:color w:val="000000" w:themeColor="text1"/>
              </w:rPr>
              <w:t>（剔除重叠面积）。红线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r>
              <w:rPr>
                <w:rFonts w:hint="eastAsia"/>
                <w:color w:val="000000" w:themeColor="text1"/>
              </w:rPr>
              <w:t>。</w:t>
            </w:r>
          </w:p>
          <w:p w14:paraId="07AACAEE">
            <w:pPr>
              <w:spacing w:line="360" w:lineRule="auto"/>
              <w:ind w:firstLine="480"/>
              <w:rPr>
                <w:color w:val="000000" w:themeColor="text1"/>
              </w:rPr>
            </w:pPr>
            <w:r>
              <w:rPr>
                <w:rFonts w:hint="eastAsia"/>
                <w:color w:val="000000" w:themeColor="text1"/>
              </w:rPr>
              <w:t>本项目位于唐山市曹妃甸装备制造产业园区，不在生态保护红线范围内。唐山市生态保护红线分布图见附图3。</w:t>
            </w:r>
          </w:p>
          <w:p w14:paraId="37101F08">
            <w:pPr>
              <w:spacing w:line="360" w:lineRule="auto"/>
              <w:ind w:firstLine="480"/>
              <w:rPr>
                <w:color w:val="000000" w:themeColor="text1"/>
              </w:rPr>
            </w:pPr>
            <w:r>
              <w:rPr>
                <w:rFonts w:hint="eastAsia"/>
                <w:color w:val="000000" w:themeColor="text1"/>
              </w:rPr>
              <w:t>（2）</w:t>
            </w:r>
            <w:r>
              <w:rPr>
                <w:color w:val="000000" w:themeColor="text1"/>
              </w:rPr>
              <w:t>环境质量底线</w:t>
            </w:r>
          </w:p>
          <w:p w14:paraId="144329F0">
            <w:pPr>
              <w:spacing w:line="360" w:lineRule="auto"/>
              <w:ind w:firstLine="480"/>
              <w:rPr>
                <w:color w:val="000000" w:themeColor="text1"/>
              </w:rPr>
            </w:pPr>
            <w:r>
              <w:rPr>
                <w:color w:val="000000" w:themeColor="text1"/>
              </w:rPr>
              <w:t>根据</w:t>
            </w:r>
            <w:r>
              <w:rPr>
                <w:snapToGrid w:val="0"/>
                <w:color w:val="000000" w:themeColor="text1"/>
                <w:kern w:val="0"/>
              </w:rPr>
              <w:t>唐山市生态环境局公开发布的</w:t>
            </w:r>
            <w:r>
              <w:rPr>
                <w:bCs/>
                <w:snapToGrid w:val="0"/>
                <w:color w:val="000000" w:themeColor="text1"/>
                <w:kern w:val="0"/>
                <w:lang w:val="zh-CN"/>
              </w:rPr>
              <w:t>《2023年唐山市生态环境状况公报》</w:t>
            </w:r>
            <w:r>
              <w:rPr>
                <w:snapToGrid w:val="0"/>
                <w:color w:val="000000" w:themeColor="text1"/>
                <w:kern w:val="0"/>
                <w:lang w:val="zh-CN"/>
              </w:rPr>
              <w:t>中唐山市空气质量数据</w:t>
            </w:r>
            <w:r>
              <w:rPr>
                <w:rFonts w:hint="eastAsia"/>
                <w:snapToGrid w:val="0"/>
                <w:color w:val="000000" w:themeColor="text1"/>
                <w:kern w:val="0"/>
              </w:rPr>
              <w:t>可知，</w:t>
            </w:r>
            <w:r>
              <w:rPr>
                <w:color w:val="000000" w:themeColor="text1"/>
                <w:szCs w:val="21"/>
              </w:rPr>
              <w:t>SO</w:t>
            </w:r>
            <w:r>
              <w:rPr>
                <w:color w:val="000000" w:themeColor="text1"/>
                <w:szCs w:val="21"/>
                <w:vertAlign w:val="subscript"/>
              </w:rPr>
              <w:t>2</w:t>
            </w:r>
            <w:r>
              <w:rPr>
                <w:rFonts w:hint="eastAsia"/>
                <w:color w:val="000000" w:themeColor="text1"/>
                <w:szCs w:val="21"/>
              </w:rPr>
              <w:t>、</w:t>
            </w:r>
            <w:r>
              <w:rPr>
                <w:color w:val="000000" w:themeColor="text1"/>
              </w:rPr>
              <w:t>NO</w:t>
            </w:r>
            <w:r>
              <w:rPr>
                <w:color w:val="000000" w:themeColor="text1"/>
                <w:vertAlign w:val="subscript"/>
              </w:rPr>
              <w:t>2</w:t>
            </w:r>
            <w:r>
              <w:rPr>
                <w:color w:val="000000" w:themeColor="text1"/>
                <w:szCs w:val="21"/>
              </w:rPr>
              <w:t>年平均质量浓度</w:t>
            </w:r>
            <w:r>
              <w:rPr>
                <w:rFonts w:hint="eastAsia"/>
                <w:color w:val="000000" w:themeColor="text1"/>
                <w:szCs w:val="21"/>
              </w:rPr>
              <w:t>及</w:t>
            </w:r>
            <w:r>
              <w:rPr>
                <w:color w:val="000000" w:themeColor="text1"/>
                <w:szCs w:val="21"/>
              </w:rPr>
              <w:t>CO</w:t>
            </w:r>
            <w:r>
              <w:rPr>
                <w:rFonts w:hint="eastAsia"/>
                <w:color w:val="000000" w:themeColor="text1"/>
                <w:szCs w:val="21"/>
              </w:rPr>
              <w:t>日均值第95百分位浓度</w:t>
            </w:r>
            <w:r>
              <w:rPr>
                <w:color w:val="000000" w:themeColor="text1"/>
                <w:kern w:val="0"/>
              </w:rPr>
              <w:t>满足《环境空气质量标准》（GB3095-2012）中二级标准及其修改单</w:t>
            </w:r>
            <w:r>
              <w:rPr>
                <w:color w:val="000000" w:themeColor="text1"/>
              </w:rPr>
              <w:t>；</w:t>
            </w:r>
            <w:r>
              <w:rPr>
                <w:color w:val="000000" w:themeColor="text1"/>
                <w:szCs w:val="21"/>
              </w:rPr>
              <w:t>PM</w:t>
            </w:r>
            <w:r>
              <w:rPr>
                <w:color w:val="000000" w:themeColor="text1"/>
                <w:szCs w:val="21"/>
                <w:vertAlign w:val="subscript"/>
              </w:rPr>
              <w:t>10</w:t>
            </w:r>
            <w:r>
              <w:rPr>
                <w:rFonts w:hint="eastAsia"/>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年平均质量浓度</w:t>
            </w:r>
            <w:r>
              <w:rPr>
                <w:rFonts w:hint="eastAsia"/>
                <w:color w:val="000000" w:themeColor="text1"/>
                <w:szCs w:val="21"/>
              </w:rPr>
              <w:t>及</w:t>
            </w:r>
            <w:r>
              <w:rPr>
                <w:color w:val="000000" w:themeColor="text1"/>
                <w:szCs w:val="21"/>
              </w:rPr>
              <w:t>O</w:t>
            </w:r>
            <w:r>
              <w:rPr>
                <w:color w:val="000000" w:themeColor="text1"/>
                <w:szCs w:val="21"/>
                <w:vertAlign w:val="subscript"/>
              </w:rPr>
              <w:t>3</w:t>
            </w:r>
            <w:r>
              <w:rPr>
                <w:color w:val="000000" w:themeColor="text1"/>
                <w:szCs w:val="21"/>
              </w:rPr>
              <w:t>日最大8h平均第90百分位浓度</w:t>
            </w:r>
            <w:r>
              <w:rPr>
                <w:color w:val="000000" w:themeColor="text1"/>
              </w:rPr>
              <w:t>不</w:t>
            </w:r>
            <w:r>
              <w:rPr>
                <w:color w:val="000000" w:themeColor="text1"/>
                <w:kern w:val="0"/>
              </w:rPr>
              <w:t>满足《环境空气质量标准》（GB3095-2012）中二级标准及其修改单</w:t>
            </w:r>
            <w:r>
              <w:rPr>
                <w:color w:val="000000" w:themeColor="text1"/>
              </w:rPr>
              <w:t>，故项目所在区域环境空气质量不达标，属于不达标区。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color w:val="000000" w:themeColor="text1"/>
              </w:rPr>
              <w:t>根据国务院关于印发《空气质量持续改善行动计划》的通知（国发[2023]24号）可知，按照“坚持稳中求进工作总基调，协同推进降碳、减污、扩绿、增长，以改善空气质量为核心，以减少重污染天气和解决人民群众身边的突出大气环境问题为重点，以降低细颗粒物（PM</w:t>
            </w:r>
            <w:r>
              <w:rPr>
                <w:rFonts w:hint="eastAsia"/>
                <w:color w:val="000000" w:themeColor="text1"/>
                <w:vertAlign w:val="subscript"/>
              </w:rPr>
              <w:t>2.5</w:t>
            </w:r>
            <w:r>
              <w:rPr>
                <w:rFonts w:hint="eastAsia"/>
                <w:color w:val="000000" w:themeColor="text1"/>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推动大气环境质量持续有效改善，项目所在区域空气质量将会逐步得到改善</w:t>
            </w:r>
            <w:r>
              <w:rPr>
                <w:color w:val="000000" w:themeColor="text1"/>
              </w:rPr>
              <w:t>。</w:t>
            </w:r>
          </w:p>
          <w:p w14:paraId="4D349F81">
            <w:pPr>
              <w:spacing w:line="360" w:lineRule="auto"/>
              <w:ind w:firstLine="480"/>
              <w:rPr>
                <w:color w:val="000000" w:themeColor="text1"/>
              </w:rPr>
            </w:pPr>
            <w:r>
              <w:rPr>
                <w:color w:val="000000" w:themeColor="text1"/>
              </w:rPr>
              <w:t>本项目</w:t>
            </w:r>
            <w:r>
              <w:rPr>
                <w:rFonts w:hint="eastAsia"/>
                <w:color w:val="000000" w:themeColor="text1"/>
              </w:rPr>
              <w:t>采取相关污染物治理措施后，</w:t>
            </w:r>
            <w:r>
              <w:rPr>
                <w:color w:val="000000" w:themeColor="text1"/>
              </w:rPr>
              <w:t>废气能够实现达标排放，项目实施后对区域内环境影响较小，不会对区域大气环境质量造成冲击影响</w:t>
            </w:r>
            <w:r>
              <w:rPr>
                <w:rFonts w:hint="eastAsia"/>
                <w:color w:val="000000" w:themeColor="text1"/>
              </w:rPr>
              <w:t>。本项目生活污水排入市政污水管网，最终进入曹妃甸工业区装备制造区污水处理站处理；热风炉冷却过程排污水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r>
              <w:rPr>
                <w:color w:val="000000" w:themeColor="text1"/>
              </w:rPr>
              <w:t>区域声环境质量</w:t>
            </w:r>
            <w:r>
              <w:rPr>
                <w:rFonts w:hint="eastAsia"/>
                <w:color w:val="000000" w:themeColor="text1"/>
              </w:rPr>
              <w:t>现状满足</w:t>
            </w:r>
            <w:r>
              <w:rPr>
                <w:color w:val="000000" w:themeColor="text1"/>
              </w:rPr>
              <w:t>《声环境质量标准》（GB3096-2008）</w:t>
            </w:r>
            <w:r>
              <w:rPr>
                <w:rFonts w:hint="eastAsia"/>
                <w:color w:val="000000" w:themeColor="text1"/>
              </w:rPr>
              <w:t>3</w:t>
            </w:r>
            <w:r>
              <w:rPr>
                <w:color w:val="000000" w:themeColor="text1"/>
              </w:rPr>
              <w:t>类</w:t>
            </w:r>
            <w:r>
              <w:rPr>
                <w:rFonts w:hint="eastAsia"/>
                <w:color w:val="000000" w:themeColor="text1"/>
              </w:rPr>
              <w:t>区</w:t>
            </w:r>
            <w:r>
              <w:rPr>
                <w:color w:val="000000" w:themeColor="text1"/>
              </w:rPr>
              <w:t>标准</w:t>
            </w:r>
            <w:r>
              <w:rPr>
                <w:rFonts w:hint="eastAsia"/>
                <w:color w:val="000000" w:themeColor="text1"/>
              </w:rPr>
              <w:t>，本项目实施后不改变所在区域声环境功能区划。</w:t>
            </w:r>
            <w:r>
              <w:rPr>
                <w:snapToGrid w:val="0"/>
                <w:color w:val="000000" w:themeColor="text1"/>
                <w:kern w:val="0"/>
              </w:rPr>
              <w:t>固体废物均妥善处置，不会产生二次污染</w:t>
            </w:r>
            <w:r>
              <w:rPr>
                <w:rFonts w:hint="eastAsia"/>
                <w:snapToGrid w:val="0"/>
                <w:color w:val="000000" w:themeColor="text1"/>
                <w:kern w:val="0"/>
              </w:rPr>
              <w:t>。</w:t>
            </w:r>
            <w:r>
              <w:rPr>
                <w:snapToGrid w:val="0"/>
                <w:color w:val="000000" w:themeColor="text1"/>
                <w:kern w:val="0"/>
              </w:rPr>
              <w:t>本项目产生的污染物采取相应措施后不会对本项目所在区域环境质量造成影响，因此，本项目符合环境质量底线的要求</w:t>
            </w:r>
            <w:r>
              <w:rPr>
                <w:color w:val="000000" w:themeColor="text1"/>
              </w:rPr>
              <w:t>。</w:t>
            </w:r>
          </w:p>
          <w:p w14:paraId="0AA3140C">
            <w:pPr>
              <w:spacing w:line="360" w:lineRule="auto"/>
              <w:ind w:firstLine="480"/>
              <w:rPr>
                <w:color w:val="000000" w:themeColor="text1"/>
              </w:rPr>
            </w:pPr>
            <w:r>
              <w:rPr>
                <w:rFonts w:hint="eastAsia"/>
                <w:color w:val="000000" w:themeColor="text1"/>
              </w:rPr>
              <w:t>（3）</w:t>
            </w:r>
            <w:r>
              <w:rPr>
                <w:color w:val="000000" w:themeColor="text1"/>
              </w:rPr>
              <w:t>资源利用上线</w:t>
            </w:r>
          </w:p>
          <w:p w14:paraId="7858E4FA">
            <w:pPr>
              <w:spacing w:line="360" w:lineRule="auto"/>
              <w:ind w:firstLine="480"/>
              <w:rPr>
                <w:color w:val="000000" w:themeColor="text1"/>
              </w:rPr>
            </w:pPr>
            <w:r>
              <w:rPr>
                <w:color w:val="000000" w:themeColor="text1"/>
              </w:rPr>
              <w:t>资源是环境的载体，资源利用上线是各地区能源、水、土地等资源消耗不得突破的</w:t>
            </w:r>
            <w:r>
              <w:rPr>
                <w:rFonts w:hint="eastAsia" w:ascii="宋体" w:hAnsi="宋体" w:cs="宋体"/>
                <w:color w:val="000000" w:themeColor="text1"/>
              </w:rPr>
              <w:t>“天花板”</w:t>
            </w:r>
            <w:r>
              <w:rPr>
                <w:color w:val="000000" w:themeColor="text1"/>
              </w:rPr>
              <w:t>。本项目</w:t>
            </w:r>
            <w:r>
              <w:rPr>
                <w:rFonts w:hint="eastAsia"/>
                <w:color w:val="000000" w:themeColor="text1"/>
              </w:rPr>
              <w:t>用水由园区供水管网提供；用</w:t>
            </w:r>
            <w:r>
              <w:rPr>
                <w:color w:val="000000" w:themeColor="text1"/>
              </w:rPr>
              <w:t>电由</w:t>
            </w:r>
            <w:r>
              <w:rPr>
                <w:rFonts w:hint="eastAsia"/>
                <w:color w:val="000000" w:themeColor="text1"/>
              </w:rPr>
              <w:t>园区供电</w:t>
            </w:r>
            <w:r>
              <w:rPr>
                <w:color w:val="000000" w:themeColor="text1"/>
              </w:rPr>
              <w:t>电网供给，可满足项目用电需求</w:t>
            </w:r>
            <w:r>
              <w:rPr>
                <w:rFonts w:hint="eastAsia"/>
                <w:color w:val="000000" w:themeColor="text1"/>
              </w:rPr>
              <w:t>；本项目租赁唐山曹妃甸木业股份有限公司9号厂房及其附属堆场，厂房</w:t>
            </w:r>
            <w:r>
              <w:rPr>
                <w:color w:val="000000" w:themeColor="text1"/>
                <w:spacing w:val="-4"/>
              </w:rPr>
              <w:t>占地面积为</w:t>
            </w:r>
            <w:r>
              <w:rPr>
                <w:rFonts w:hint="eastAsia"/>
                <w:color w:val="000000" w:themeColor="text1"/>
              </w:rPr>
              <w:t>5695.43m</w:t>
            </w:r>
            <w:r>
              <w:rPr>
                <w:rFonts w:hint="eastAsia"/>
                <w:color w:val="000000" w:themeColor="text1"/>
                <w:vertAlign w:val="superscript"/>
              </w:rPr>
              <w:t>2</w:t>
            </w:r>
            <w:r>
              <w:rPr>
                <w:rFonts w:hint="eastAsia"/>
                <w:color w:val="000000" w:themeColor="text1"/>
              </w:rPr>
              <w:t>，堆场占地面积为5347.45m</w:t>
            </w:r>
            <w:r>
              <w:rPr>
                <w:rFonts w:hint="eastAsia"/>
                <w:color w:val="000000" w:themeColor="text1"/>
                <w:vertAlign w:val="superscript"/>
              </w:rPr>
              <w:t>2</w:t>
            </w:r>
            <w:r>
              <w:rPr>
                <w:rFonts w:hint="eastAsia"/>
                <w:color w:val="000000" w:themeColor="text1"/>
              </w:rPr>
              <w:t>。</w:t>
            </w:r>
            <w:r>
              <w:rPr>
                <w:color w:val="000000" w:themeColor="text1"/>
              </w:rPr>
              <w:t>因此，本项目符合资源利用上线要求。</w:t>
            </w:r>
          </w:p>
          <w:p w14:paraId="1C7E7674">
            <w:pPr>
              <w:spacing w:line="360" w:lineRule="auto"/>
              <w:ind w:firstLine="480"/>
              <w:rPr>
                <w:color w:val="000000" w:themeColor="text1"/>
              </w:rPr>
            </w:pPr>
            <w:r>
              <w:rPr>
                <w:rFonts w:hint="eastAsia"/>
                <w:color w:val="000000" w:themeColor="text1"/>
              </w:rPr>
              <w:t>（4）</w:t>
            </w:r>
            <w:r>
              <w:rPr>
                <w:color w:val="000000" w:themeColor="text1"/>
              </w:rPr>
              <w:t>环境准入负面清单</w:t>
            </w:r>
          </w:p>
          <w:p w14:paraId="2740A1C1">
            <w:pPr>
              <w:spacing w:line="360" w:lineRule="auto"/>
              <w:ind w:firstLine="480"/>
              <w:rPr>
                <w:color w:val="000000" w:themeColor="text1"/>
              </w:rPr>
            </w:pPr>
            <w:r>
              <w:rPr>
                <w:color w:val="000000" w:themeColor="text1"/>
              </w:rPr>
              <w:t>环境准入负面清单是基于生态保护红线、环境质量底线和资源利用上线，以清单方式列出的禁止、限制等差别化环境准入条件和要求。要在规划环评清单式管理试点的基础上，从布局选址、资源利用效率、资源</w:t>
            </w:r>
            <w:r>
              <w:rPr>
                <w:rFonts w:hint="eastAsia"/>
                <w:color w:val="000000" w:themeColor="text1"/>
              </w:rPr>
              <w:t>配制</w:t>
            </w:r>
            <w:r>
              <w:rPr>
                <w:color w:val="000000" w:themeColor="text1"/>
              </w:rPr>
              <w:t>方式等方面入手，制定环境准入负面清单，充分发挥负面清单对产业发展和项目准入的指导和约束作用。</w:t>
            </w:r>
          </w:p>
          <w:p w14:paraId="65A30E27">
            <w:pPr>
              <w:tabs>
                <w:tab w:val="left" w:pos="3150"/>
              </w:tabs>
              <w:spacing w:line="360" w:lineRule="auto"/>
              <w:ind w:firstLine="480"/>
              <w:rPr>
                <w:color w:val="000000" w:themeColor="text1"/>
              </w:rPr>
            </w:pPr>
            <w:r>
              <w:rPr>
                <w:rFonts w:hint="eastAsia"/>
                <w:color w:val="000000" w:themeColor="text1"/>
              </w:rPr>
              <w:t>本项目与</w:t>
            </w:r>
            <w:r>
              <w:rPr>
                <w:rFonts w:hint="eastAsia"/>
                <w:color w:val="000000" w:themeColor="text1"/>
                <w:lang w:val="zh-CN"/>
              </w:rPr>
              <w:t>《曹妃甸循环经济示范区规划环境影响跟踪评价报告》</w:t>
            </w:r>
            <w:r>
              <w:rPr>
                <w:color w:val="000000" w:themeColor="text1"/>
              </w:rPr>
              <w:t>中生态环境准入负面清单</w:t>
            </w:r>
            <w:r>
              <w:rPr>
                <w:rFonts w:hint="eastAsia"/>
                <w:color w:val="000000" w:themeColor="text1"/>
              </w:rPr>
              <w:t>符合性分析见下表。</w:t>
            </w:r>
          </w:p>
          <w:p w14:paraId="08FCE814">
            <w:pPr>
              <w:tabs>
                <w:tab w:val="left" w:pos="3150"/>
              </w:tabs>
              <w:spacing w:line="360" w:lineRule="auto"/>
              <w:ind w:firstLine="0" w:firstLineChars="0"/>
              <w:jc w:val="center"/>
              <w:rPr>
                <w:b/>
                <w:bCs/>
                <w:color w:val="000000" w:themeColor="text1"/>
                <w:sz w:val="21"/>
                <w:szCs w:val="21"/>
              </w:rPr>
            </w:pPr>
            <w:r>
              <w:rPr>
                <w:rFonts w:hint="eastAsia"/>
                <w:b/>
                <w:bCs/>
                <w:color w:val="000000" w:themeColor="text1"/>
                <w:sz w:val="21"/>
                <w:szCs w:val="21"/>
              </w:rPr>
              <w:t>表4   本项目与园区生态环境准入负面清单符合性分析一览表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19"/>
              <w:gridCol w:w="1154"/>
              <w:gridCol w:w="1726"/>
              <w:gridCol w:w="3185"/>
              <w:gridCol w:w="861"/>
            </w:tblGrid>
            <w:tr w14:paraId="5C738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47" w:type="pct"/>
                  <w:gridSpan w:val="4"/>
                  <w:tcBorders>
                    <w:tl2br w:val="nil"/>
                    <w:tr2bl w:val="nil"/>
                  </w:tcBorders>
                  <w:vAlign w:val="center"/>
                </w:tcPr>
                <w:p w14:paraId="24CB4418">
                  <w:pPr>
                    <w:spacing w:line="240" w:lineRule="auto"/>
                    <w:ind w:firstLine="0" w:firstLineChars="0"/>
                    <w:jc w:val="center"/>
                    <w:rPr>
                      <w:b/>
                      <w:bCs/>
                      <w:color w:val="000000" w:themeColor="text1"/>
                      <w:sz w:val="21"/>
                      <w:szCs w:val="21"/>
                    </w:rPr>
                  </w:pPr>
                  <w:r>
                    <w:rPr>
                      <w:b/>
                      <w:bCs/>
                      <w:color w:val="000000" w:themeColor="text1"/>
                      <w:sz w:val="21"/>
                      <w:szCs w:val="21"/>
                    </w:rPr>
                    <w:t>园区准入负面清单</w:t>
                  </w:r>
                </w:p>
              </w:tc>
              <w:tc>
                <w:tcPr>
                  <w:tcW w:w="2008" w:type="pct"/>
                  <w:tcBorders>
                    <w:tl2br w:val="nil"/>
                    <w:tr2bl w:val="nil"/>
                  </w:tcBorders>
                  <w:vAlign w:val="center"/>
                </w:tcPr>
                <w:p w14:paraId="2267C93F">
                  <w:pPr>
                    <w:spacing w:line="240" w:lineRule="auto"/>
                    <w:ind w:firstLine="0" w:firstLineChars="0"/>
                    <w:jc w:val="center"/>
                    <w:rPr>
                      <w:b/>
                      <w:bCs/>
                      <w:color w:val="000000" w:themeColor="text1"/>
                      <w:sz w:val="21"/>
                      <w:szCs w:val="21"/>
                    </w:rPr>
                  </w:pPr>
                  <w:r>
                    <w:rPr>
                      <w:rFonts w:hint="eastAsia"/>
                      <w:b/>
                      <w:bCs/>
                      <w:color w:val="000000" w:themeColor="text1"/>
                      <w:sz w:val="21"/>
                      <w:szCs w:val="21"/>
                    </w:rPr>
                    <w:t>本项目</w:t>
                  </w:r>
                </w:p>
              </w:tc>
              <w:tc>
                <w:tcPr>
                  <w:tcW w:w="543" w:type="pct"/>
                  <w:tcBorders>
                    <w:tl2br w:val="nil"/>
                    <w:tr2bl w:val="nil"/>
                  </w:tcBorders>
                  <w:vAlign w:val="center"/>
                </w:tcPr>
                <w:p w14:paraId="19A100B2">
                  <w:pPr>
                    <w:spacing w:line="240" w:lineRule="auto"/>
                    <w:ind w:firstLine="0" w:firstLineChars="0"/>
                    <w:jc w:val="center"/>
                    <w:rPr>
                      <w:b/>
                      <w:bCs/>
                      <w:color w:val="000000" w:themeColor="text1"/>
                      <w:sz w:val="21"/>
                      <w:szCs w:val="21"/>
                    </w:rPr>
                  </w:pPr>
                  <w:r>
                    <w:rPr>
                      <w:rFonts w:hint="eastAsia"/>
                      <w:b/>
                      <w:bCs/>
                      <w:color w:val="000000" w:themeColor="text1"/>
                      <w:sz w:val="21"/>
                      <w:szCs w:val="21"/>
                    </w:rPr>
                    <w:t>符合性</w:t>
                  </w:r>
                </w:p>
              </w:tc>
            </w:tr>
            <w:tr w14:paraId="25B66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366" w:type="pct"/>
                  <w:vMerge w:val="restart"/>
                  <w:tcBorders>
                    <w:tl2br w:val="nil"/>
                    <w:tr2bl w:val="nil"/>
                  </w:tcBorders>
                  <w:vAlign w:val="center"/>
                </w:tcPr>
                <w:p w14:paraId="10451F48">
                  <w:pPr>
                    <w:spacing w:line="240" w:lineRule="auto"/>
                    <w:ind w:firstLine="0" w:firstLineChars="0"/>
                    <w:jc w:val="center"/>
                    <w:rPr>
                      <w:color w:val="000000" w:themeColor="text1"/>
                      <w:sz w:val="21"/>
                      <w:szCs w:val="21"/>
                    </w:rPr>
                  </w:pPr>
                  <w:r>
                    <w:rPr>
                      <w:color w:val="000000" w:themeColor="text1"/>
                      <w:sz w:val="21"/>
                      <w:szCs w:val="21"/>
                    </w:rPr>
                    <w:t>所有产业园</w:t>
                  </w:r>
                </w:p>
              </w:tc>
              <w:tc>
                <w:tcPr>
                  <w:tcW w:w="2081" w:type="pct"/>
                  <w:gridSpan w:val="3"/>
                  <w:tcBorders>
                    <w:tl2br w:val="nil"/>
                    <w:tr2bl w:val="nil"/>
                  </w:tcBorders>
                  <w:vAlign w:val="center"/>
                </w:tcPr>
                <w:p w14:paraId="0880E90F">
                  <w:pPr>
                    <w:widowControl/>
                    <w:spacing w:line="240" w:lineRule="auto"/>
                    <w:ind w:firstLine="0" w:firstLineChars="0"/>
                    <w:jc w:val="center"/>
                    <w:rPr>
                      <w:color w:val="000000" w:themeColor="text1"/>
                      <w:sz w:val="21"/>
                      <w:szCs w:val="21"/>
                    </w:rPr>
                  </w:pPr>
                  <w:r>
                    <w:rPr>
                      <w:color w:val="000000" w:themeColor="text1"/>
                      <w:kern w:val="0"/>
                      <w:sz w:val="21"/>
                      <w:szCs w:val="21"/>
                    </w:rPr>
                    <w:t>入园项目不符合各园区产业发展定位，与规划定位存在冲突，不得准入</w:t>
                  </w:r>
                </w:p>
              </w:tc>
              <w:tc>
                <w:tcPr>
                  <w:tcW w:w="2008" w:type="pct"/>
                  <w:tcBorders>
                    <w:tl2br w:val="nil"/>
                    <w:tr2bl w:val="nil"/>
                  </w:tcBorders>
                  <w:vAlign w:val="center"/>
                </w:tcPr>
                <w:p w14:paraId="7535B223">
                  <w:pPr>
                    <w:widowControl/>
                    <w:spacing w:line="240" w:lineRule="auto"/>
                    <w:ind w:firstLine="0" w:firstLineChars="0"/>
                    <w:jc w:val="center"/>
                    <w:rPr>
                      <w:color w:val="000000" w:themeColor="text1"/>
                      <w:kern w:val="0"/>
                      <w:sz w:val="21"/>
                      <w:szCs w:val="21"/>
                    </w:rPr>
                  </w:pPr>
                  <w:r>
                    <w:rPr>
                      <w:rFonts w:hint="eastAsia"/>
                      <w:bCs/>
                      <w:color w:val="000000" w:themeColor="text1"/>
                      <w:sz w:val="21"/>
                      <w:szCs w:val="21"/>
                    </w:rPr>
                    <w:t>本项目</w:t>
                  </w:r>
                  <w:r>
                    <w:rPr>
                      <w:rFonts w:hint="eastAsia"/>
                      <w:color w:val="000000" w:themeColor="text1"/>
                      <w:sz w:val="21"/>
                      <w:szCs w:val="21"/>
                    </w:rPr>
                    <w:t>位于唐山市曹妃甸装备制造产业园区唐山曹妃甸木业股份有限公司厂区内，装备制造产业园区重点发展以修造船为主、特种船舶与海工设备制造的船舶产业，汽车装配、零部件加工及整车制造，高端智能装备及配件制造，节能环保设备，优质木材深加工及家具制造等主导及关联产业，园区临近临港商务区地区，禁止新增布局高污染高排放类型企业，本项目以原木加工厂的原木锯末为原料，生产生物质能源颗粒，属于木材深加工的下游产业及关联产业，不属于装备制造园区禁止类和限制类项目，与规划定位不存在冲突。</w:t>
                  </w:r>
                </w:p>
              </w:tc>
              <w:tc>
                <w:tcPr>
                  <w:tcW w:w="543" w:type="pct"/>
                  <w:tcBorders>
                    <w:tl2br w:val="nil"/>
                    <w:tr2bl w:val="nil"/>
                  </w:tcBorders>
                  <w:vAlign w:val="center"/>
                </w:tcPr>
                <w:p w14:paraId="71D6C3E2">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4CF62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66" w:type="pct"/>
                  <w:vMerge w:val="continue"/>
                  <w:tcBorders>
                    <w:tl2br w:val="nil"/>
                    <w:tr2bl w:val="nil"/>
                  </w:tcBorders>
                  <w:vAlign w:val="center"/>
                </w:tcPr>
                <w:p w14:paraId="41E1D72C">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2B668B89">
                  <w:pPr>
                    <w:widowControl/>
                    <w:spacing w:line="240" w:lineRule="auto"/>
                    <w:ind w:firstLine="0" w:firstLineChars="0"/>
                    <w:jc w:val="center"/>
                    <w:rPr>
                      <w:color w:val="000000" w:themeColor="text1"/>
                      <w:sz w:val="21"/>
                      <w:szCs w:val="21"/>
                    </w:rPr>
                  </w:pPr>
                  <w:r>
                    <w:rPr>
                      <w:color w:val="000000" w:themeColor="text1"/>
                      <w:kern w:val="0"/>
                      <w:sz w:val="21"/>
                      <w:szCs w:val="21"/>
                    </w:rPr>
                    <w:t>承接产业转移的项目环境准入要求低于疏解地标准，不得准入</w:t>
                  </w:r>
                </w:p>
              </w:tc>
              <w:tc>
                <w:tcPr>
                  <w:tcW w:w="2008" w:type="pct"/>
                  <w:tcBorders>
                    <w:tl2br w:val="nil"/>
                    <w:tr2bl w:val="nil"/>
                  </w:tcBorders>
                  <w:vAlign w:val="center"/>
                </w:tcPr>
                <w:p w14:paraId="014597EE">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本项目不涉及。</w:t>
                  </w:r>
                </w:p>
              </w:tc>
              <w:tc>
                <w:tcPr>
                  <w:tcW w:w="543" w:type="pct"/>
                  <w:tcBorders>
                    <w:tl2br w:val="nil"/>
                    <w:tr2bl w:val="nil"/>
                  </w:tcBorders>
                  <w:vAlign w:val="center"/>
                </w:tcPr>
                <w:p w14:paraId="003E982A">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45618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66" w:type="pct"/>
                  <w:vMerge w:val="continue"/>
                  <w:tcBorders>
                    <w:tl2br w:val="nil"/>
                    <w:tr2bl w:val="nil"/>
                  </w:tcBorders>
                  <w:vAlign w:val="center"/>
                </w:tcPr>
                <w:p w14:paraId="2EAB2E11">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1650D5F7">
                  <w:pPr>
                    <w:widowControl/>
                    <w:spacing w:line="240" w:lineRule="auto"/>
                    <w:ind w:firstLine="0" w:firstLineChars="0"/>
                    <w:jc w:val="center"/>
                    <w:rPr>
                      <w:color w:val="000000" w:themeColor="text1"/>
                      <w:sz w:val="21"/>
                      <w:szCs w:val="21"/>
                    </w:rPr>
                  </w:pPr>
                  <w:r>
                    <w:rPr>
                      <w:color w:val="000000" w:themeColor="text1"/>
                      <w:kern w:val="0"/>
                      <w:sz w:val="21"/>
                      <w:szCs w:val="21"/>
                    </w:rPr>
                    <w:t>涉水、大气、危废污染物的入园项目需满足污染物控制总量要求，未取得污染物减量或倍量替代批复的项目，不得准入</w:t>
                  </w:r>
                </w:p>
              </w:tc>
              <w:tc>
                <w:tcPr>
                  <w:tcW w:w="2008" w:type="pct"/>
                  <w:tcBorders>
                    <w:tl2br w:val="nil"/>
                    <w:tr2bl w:val="nil"/>
                  </w:tcBorders>
                  <w:vAlign w:val="center"/>
                </w:tcPr>
                <w:p w14:paraId="3F1AB48D">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本项目满足</w:t>
                  </w:r>
                  <w:r>
                    <w:rPr>
                      <w:color w:val="000000" w:themeColor="text1"/>
                      <w:kern w:val="0"/>
                      <w:sz w:val="21"/>
                      <w:szCs w:val="21"/>
                    </w:rPr>
                    <w:t>污染物控制总量要求，</w:t>
                  </w:r>
                  <w:r>
                    <w:rPr>
                      <w:rFonts w:hint="eastAsia"/>
                      <w:color w:val="000000" w:themeColor="text1"/>
                      <w:kern w:val="0"/>
                      <w:sz w:val="21"/>
                      <w:szCs w:val="21"/>
                    </w:rPr>
                    <w:t>根据生态环境部《关于加强重点行业建设项目区域削减措施监督管理的通知》（环办环评[2020]36号）和唐山市生态环境局《转发&lt;河北省生态环境厅办公室关于做好主要污染物重点减排工程及建设项目总量指标管理的提示函&gt;的通知》(唐环评函[2024]32号)等文件规定，本项目不属于石化、煤化工、燃煤发电(含热电)、钢铁、有色金属冶炼、制浆造纸等六大重点行业，无需进行倍量削减。</w:t>
                  </w:r>
                </w:p>
              </w:tc>
              <w:tc>
                <w:tcPr>
                  <w:tcW w:w="543" w:type="pct"/>
                  <w:tcBorders>
                    <w:tl2br w:val="nil"/>
                    <w:tr2bl w:val="nil"/>
                  </w:tcBorders>
                  <w:vAlign w:val="center"/>
                </w:tcPr>
                <w:p w14:paraId="1567AA52">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3A1B9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366" w:type="pct"/>
                  <w:vMerge w:val="continue"/>
                  <w:tcBorders>
                    <w:tl2br w:val="nil"/>
                    <w:tr2bl w:val="nil"/>
                  </w:tcBorders>
                  <w:vAlign w:val="center"/>
                </w:tcPr>
                <w:p w14:paraId="251DA450">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45282432">
                  <w:pPr>
                    <w:widowControl/>
                    <w:spacing w:line="240" w:lineRule="auto"/>
                    <w:ind w:firstLine="0" w:firstLineChars="0"/>
                    <w:jc w:val="center"/>
                    <w:rPr>
                      <w:color w:val="000000" w:themeColor="text1"/>
                      <w:sz w:val="21"/>
                      <w:szCs w:val="21"/>
                    </w:rPr>
                  </w:pPr>
                  <w:r>
                    <w:rPr>
                      <w:color w:val="000000" w:themeColor="text1"/>
                      <w:kern w:val="0"/>
                      <w:sz w:val="21"/>
                      <w:szCs w:val="21"/>
                    </w:rPr>
                    <w:t>入园项目资源利用总量，不满足工业区能源、水资源、土地资源等控制要求，不得准入；钢铁、石化、电力等重点行业新增产能，不满足环境准入清单资源环境要求，不得准入</w:t>
                  </w:r>
                </w:p>
              </w:tc>
              <w:tc>
                <w:tcPr>
                  <w:tcW w:w="2008" w:type="pct"/>
                  <w:tcBorders>
                    <w:tl2br w:val="nil"/>
                    <w:tr2bl w:val="nil"/>
                  </w:tcBorders>
                  <w:vAlign w:val="center"/>
                </w:tcPr>
                <w:p w14:paraId="6DAC60C0">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w:t>
                  </w:r>
                  <w:r>
                    <w:rPr>
                      <w:color w:val="000000" w:themeColor="text1"/>
                      <w:kern w:val="0"/>
                      <w:sz w:val="21"/>
                      <w:szCs w:val="21"/>
                    </w:rPr>
                    <w:t>资源利用总量满足工业区能源、水资源、土地资源等控制要求；</w:t>
                  </w:r>
                  <w:r>
                    <w:rPr>
                      <w:rFonts w:hint="eastAsia"/>
                      <w:color w:val="000000" w:themeColor="text1"/>
                      <w:kern w:val="0"/>
                      <w:sz w:val="21"/>
                      <w:szCs w:val="21"/>
                    </w:rPr>
                    <w:t>本项目不属于</w:t>
                  </w:r>
                  <w:r>
                    <w:rPr>
                      <w:color w:val="000000" w:themeColor="text1"/>
                      <w:kern w:val="0"/>
                      <w:sz w:val="21"/>
                      <w:szCs w:val="21"/>
                    </w:rPr>
                    <w:t>钢铁、石化、电力等重点行业</w:t>
                  </w:r>
                  <w:r>
                    <w:rPr>
                      <w:rFonts w:hint="eastAsia"/>
                      <w:color w:val="000000" w:themeColor="text1"/>
                      <w:kern w:val="0"/>
                      <w:sz w:val="21"/>
                      <w:szCs w:val="21"/>
                    </w:rPr>
                    <w:t>；本项目</w:t>
                  </w:r>
                  <w:r>
                    <w:rPr>
                      <w:color w:val="000000" w:themeColor="text1"/>
                      <w:kern w:val="0"/>
                      <w:sz w:val="21"/>
                      <w:szCs w:val="21"/>
                    </w:rPr>
                    <w:t>满足环境准入清单资源环境要求</w:t>
                  </w:r>
                  <w:r>
                    <w:rPr>
                      <w:rFonts w:hint="eastAsia"/>
                      <w:color w:val="000000" w:themeColor="text1"/>
                      <w:kern w:val="0"/>
                      <w:sz w:val="21"/>
                      <w:szCs w:val="21"/>
                    </w:rPr>
                    <w:t>。</w:t>
                  </w:r>
                </w:p>
              </w:tc>
              <w:tc>
                <w:tcPr>
                  <w:tcW w:w="543" w:type="pct"/>
                  <w:tcBorders>
                    <w:tl2br w:val="nil"/>
                    <w:tr2bl w:val="nil"/>
                  </w:tcBorders>
                  <w:vAlign w:val="center"/>
                </w:tcPr>
                <w:p w14:paraId="116BE6ED">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38792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7835EF9E">
                  <w:pPr>
                    <w:spacing w:line="240" w:lineRule="auto"/>
                    <w:ind w:firstLine="0" w:firstLineChars="0"/>
                    <w:jc w:val="center"/>
                    <w:rPr>
                      <w:color w:val="000000" w:themeColor="text1"/>
                      <w:sz w:val="21"/>
                      <w:szCs w:val="21"/>
                    </w:rPr>
                  </w:pPr>
                </w:p>
              </w:tc>
              <w:tc>
                <w:tcPr>
                  <w:tcW w:w="2081" w:type="pct"/>
                  <w:gridSpan w:val="3"/>
                  <w:tcBorders>
                    <w:tl2br w:val="nil"/>
                    <w:tr2bl w:val="nil"/>
                  </w:tcBorders>
                  <w:vAlign w:val="center"/>
                </w:tcPr>
                <w:p w14:paraId="12E4E757">
                  <w:pPr>
                    <w:widowControl/>
                    <w:spacing w:line="240" w:lineRule="auto"/>
                    <w:ind w:firstLine="0" w:firstLineChars="0"/>
                    <w:jc w:val="center"/>
                    <w:rPr>
                      <w:color w:val="000000" w:themeColor="text1"/>
                      <w:sz w:val="21"/>
                      <w:szCs w:val="21"/>
                    </w:rPr>
                  </w:pPr>
                  <w:r>
                    <w:rPr>
                      <w:color w:val="000000" w:themeColor="text1"/>
                      <w:kern w:val="0"/>
                      <w:sz w:val="21"/>
                      <w:szCs w:val="21"/>
                    </w:rPr>
                    <w:t>大气、重金属等风险防控措施不能满足环境风险管理要求，对周边敏感受体、海域等存在污染风险的项目，不得准入</w:t>
                  </w:r>
                </w:p>
              </w:tc>
              <w:tc>
                <w:tcPr>
                  <w:tcW w:w="2008" w:type="pct"/>
                  <w:tcBorders>
                    <w:tl2br w:val="nil"/>
                    <w:tr2bl w:val="nil"/>
                  </w:tcBorders>
                  <w:vAlign w:val="center"/>
                </w:tcPr>
                <w:p w14:paraId="1095B6D1">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本项目不涉及重金属排放，本项目提出环境风险防控措施，满足</w:t>
                  </w:r>
                  <w:r>
                    <w:rPr>
                      <w:color w:val="000000" w:themeColor="text1"/>
                      <w:kern w:val="0"/>
                      <w:sz w:val="21"/>
                      <w:szCs w:val="21"/>
                    </w:rPr>
                    <w:t>环境风险管理要求，</w:t>
                  </w:r>
                  <w:r>
                    <w:rPr>
                      <w:rFonts w:hint="eastAsia"/>
                      <w:color w:val="000000" w:themeColor="text1"/>
                      <w:kern w:val="0"/>
                      <w:sz w:val="21"/>
                      <w:szCs w:val="21"/>
                    </w:rPr>
                    <w:t>不属于</w:t>
                  </w:r>
                  <w:r>
                    <w:rPr>
                      <w:color w:val="000000" w:themeColor="text1"/>
                      <w:kern w:val="0"/>
                      <w:sz w:val="21"/>
                      <w:szCs w:val="21"/>
                    </w:rPr>
                    <w:t>对周边敏感受体、海域等存在污染风险的项目</w:t>
                  </w:r>
                  <w:r>
                    <w:rPr>
                      <w:rFonts w:hint="eastAsia"/>
                      <w:color w:val="000000" w:themeColor="text1"/>
                      <w:kern w:val="0"/>
                      <w:sz w:val="21"/>
                      <w:szCs w:val="21"/>
                    </w:rPr>
                    <w:t>。</w:t>
                  </w:r>
                </w:p>
              </w:tc>
              <w:tc>
                <w:tcPr>
                  <w:tcW w:w="543" w:type="pct"/>
                  <w:tcBorders>
                    <w:tl2br w:val="nil"/>
                    <w:tr2bl w:val="nil"/>
                  </w:tcBorders>
                  <w:vAlign w:val="center"/>
                </w:tcPr>
                <w:p w14:paraId="6E284396">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7D53D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restart"/>
                  <w:tcBorders>
                    <w:tl2br w:val="nil"/>
                    <w:tr2bl w:val="nil"/>
                  </w:tcBorders>
                  <w:vAlign w:val="center"/>
                </w:tcPr>
                <w:p w14:paraId="34C5A14B">
                  <w:pPr>
                    <w:spacing w:line="240" w:lineRule="auto"/>
                    <w:ind w:firstLine="0" w:firstLineChars="0"/>
                    <w:jc w:val="center"/>
                    <w:rPr>
                      <w:color w:val="000000" w:themeColor="text1"/>
                      <w:sz w:val="21"/>
                      <w:szCs w:val="21"/>
                    </w:rPr>
                  </w:pPr>
                  <w:r>
                    <w:rPr>
                      <w:rFonts w:hint="eastAsia"/>
                      <w:color w:val="000000" w:themeColor="text1"/>
                      <w:sz w:val="21"/>
                      <w:szCs w:val="21"/>
                    </w:rPr>
                    <w:t>装备制造园区</w:t>
                  </w:r>
                </w:p>
              </w:tc>
              <w:tc>
                <w:tcPr>
                  <w:tcW w:w="264" w:type="pct"/>
                  <w:vMerge w:val="restart"/>
                  <w:tcBorders>
                    <w:tl2br w:val="nil"/>
                    <w:tr2bl w:val="nil"/>
                  </w:tcBorders>
                  <w:vAlign w:val="center"/>
                </w:tcPr>
                <w:p w14:paraId="2A933FDC">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禁止类</w:t>
                  </w:r>
                </w:p>
              </w:tc>
              <w:tc>
                <w:tcPr>
                  <w:tcW w:w="728" w:type="pct"/>
                  <w:vMerge w:val="restart"/>
                  <w:tcBorders>
                    <w:tl2br w:val="nil"/>
                    <w:tr2bl w:val="nil"/>
                  </w:tcBorders>
                  <w:vAlign w:val="center"/>
                </w:tcPr>
                <w:p w14:paraId="401D719F">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C3</w:t>
                  </w:r>
                  <w:r>
                    <w:rPr>
                      <w:color w:val="000000" w:themeColor="text1"/>
                      <w:kern w:val="0"/>
                      <w:sz w:val="21"/>
                      <w:szCs w:val="21"/>
                    </w:rPr>
                    <w:t>36</w:t>
                  </w:r>
                  <w:r>
                    <w:rPr>
                      <w:rFonts w:hint="eastAsia"/>
                      <w:color w:val="000000" w:themeColor="text1"/>
                      <w:kern w:val="0"/>
                      <w:sz w:val="21"/>
                      <w:szCs w:val="21"/>
                    </w:rPr>
                    <w:t>金属表面处理及热处理加工</w:t>
                  </w:r>
                </w:p>
              </w:tc>
              <w:tc>
                <w:tcPr>
                  <w:tcW w:w="1088" w:type="pct"/>
                  <w:tcBorders>
                    <w:tl2br w:val="nil"/>
                    <w:tr2bl w:val="nil"/>
                  </w:tcBorders>
                  <w:vAlign w:val="center"/>
                </w:tcPr>
                <w:p w14:paraId="6E3B85D3">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禁止含有毒害氰化物电镀工艺</w:t>
                  </w:r>
                </w:p>
              </w:tc>
              <w:tc>
                <w:tcPr>
                  <w:tcW w:w="2008" w:type="pct"/>
                  <w:vMerge w:val="restart"/>
                  <w:tcBorders>
                    <w:tl2br w:val="nil"/>
                    <w:tr2bl w:val="nil"/>
                  </w:tcBorders>
                  <w:vAlign w:val="center"/>
                </w:tcPr>
                <w:p w14:paraId="0CF0E0BB">
                  <w:pPr>
                    <w:widowControl/>
                    <w:spacing w:line="240" w:lineRule="auto"/>
                    <w:ind w:firstLine="0" w:firstLineChars="0"/>
                    <w:jc w:val="center"/>
                    <w:rPr>
                      <w:color w:val="000000" w:themeColor="text1"/>
                      <w:kern w:val="0"/>
                      <w:sz w:val="21"/>
                      <w:szCs w:val="21"/>
                    </w:rPr>
                  </w:pPr>
                  <w:r>
                    <w:rPr>
                      <w:rFonts w:hint="eastAsia"/>
                      <w:color w:val="000000" w:themeColor="text1"/>
                      <w:sz w:val="21"/>
                      <w:szCs w:val="21"/>
                    </w:rPr>
                    <w:t>本项目以原木加工厂的原木锯末为原料，生产生物质能源颗粒，属于木材深加工的下游产业及关联产业，</w:t>
                  </w:r>
                  <w:r>
                    <w:rPr>
                      <w:rFonts w:hint="eastAsia"/>
                      <w:color w:val="000000" w:themeColor="text1"/>
                      <w:kern w:val="0"/>
                      <w:sz w:val="21"/>
                      <w:szCs w:val="21"/>
                    </w:rPr>
                    <w:t>不属于上述禁止类、限制类产业。</w:t>
                  </w:r>
                </w:p>
              </w:tc>
              <w:tc>
                <w:tcPr>
                  <w:tcW w:w="543" w:type="pct"/>
                  <w:vMerge w:val="restart"/>
                  <w:tcBorders>
                    <w:tl2br w:val="nil"/>
                    <w:tr2bl w:val="nil"/>
                  </w:tcBorders>
                  <w:vAlign w:val="center"/>
                </w:tcPr>
                <w:p w14:paraId="7AAD0E47">
                  <w:pPr>
                    <w:pStyle w:val="37"/>
                    <w:spacing w:line="240" w:lineRule="auto"/>
                    <w:ind w:firstLine="0" w:firstLineChars="0"/>
                    <w:jc w:val="center"/>
                    <w:textAlignment w:val="auto"/>
                    <w:rPr>
                      <w:rFonts w:ascii="Times New Roman" w:eastAsia="宋体" w:cs="宋体"/>
                      <w:color w:val="000000" w:themeColor="text1"/>
                      <w:sz w:val="21"/>
                      <w:szCs w:val="21"/>
                    </w:rPr>
                  </w:pPr>
                  <w:r>
                    <w:rPr>
                      <w:rFonts w:hint="eastAsia" w:ascii="Times New Roman" w:eastAsia="宋体"/>
                      <w:color w:val="000000" w:themeColor="text1"/>
                      <w:kern w:val="0"/>
                      <w:sz w:val="21"/>
                      <w:szCs w:val="21"/>
                    </w:rPr>
                    <w:t>符合</w:t>
                  </w:r>
                </w:p>
              </w:tc>
            </w:tr>
            <w:tr w14:paraId="5181D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0B29161E">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0EB541E4">
                  <w:pPr>
                    <w:widowControl/>
                    <w:spacing w:line="240" w:lineRule="auto"/>
                    <w:ind w:firstLine="0" w:firstLineChars="0"/>
                    <w:jc w:val="center"/>
                    <w:rPr>
                      <w:color w:val="000000" w:themeColor="text1"/>
                      <w:kern w:val="0"/>
                      <w:sz w:val="21"/>
                      <w:szCs w:val="21"/>
                    </w:rPr>
                  </w:pPr>
                </w:p>
              </w:tc>
              <w:tc>
                <w:tcPr>
                  <w:tcW w:w="728" w:type="pct"/>
                  <w:vMerge w:val="continue"/>
                  <w:tcBorders>
                    <w:tl2br w:val="nil"/>
                    <w:tr2bl w:val="nil"/>
                  </w:tcBorders>
                  <w:vAlign w:val="center"/>
                </w:tcPr>
                <w:p w14:paraId="324431A4">
                  <w:pPr>
                    <w:widowControl/>
                    <w:spacing w:line="240" w:lineRule="auto"/>
                    <w:ind w:firstLine="0" w:firstLineChars="0"/>
                    <w:jc w:val="center"/>
                    <w:rPr>
                      <w:color w:val="000000" w:themeColor="text1"/>
                      <w:kern w:val="0"/>
                      <w:sz w:val="21"/>
                      <w:szCs w:val="21"/>
                    </w:rPr>
                  </w:pPr>
                </w:p>
              </w:tc>
              <w:tc>
                <w:tcPr>
                  <w:tcW w:w="1088" w:type="pct"/>
                  <w:tcBorders>
                    <w:tl2br w:val="nil"/>
                    <w:tr2bl w:val="nil"/>
                  </w:tcBorders>
                  <w:vAlign w:val="center"/>
                </w:tcPr>
                <w:p w14:paraId="116FABF0">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禁止银铜基合金及予镀打底工艺</w:t>
                  </w:r>
                </w:p>
              </w:tc>
              <w:tc>
                <w:tcPr>
                  <w:tcW w:w="2008" w:type="pct"/>
                  <w:vMerge w:val="continue"/>
                  <w:tcBorders>
                    <w:tl2br w:val="nil"/>
                    <w:tr2bl w:val="nil"/>
                  </w:tcBorders>
                  <w:vAlign w:val="center"/>
                </w:tcPr>
                <w:p w14:paraId="47B1BB76">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355560C8">
                  <w:pPr>
                    <w:widowControl/>
                    <w:spacing w:line="240" w:lineRule="auto"/>
                    <w:ind w:firstLine="0" w:firstLineChars="0"/>
                    <w:jc w:val="center"/>
                    <w:rPr>
                      <w:color w:val="000000" w:themeColor="text1"/>
                      <w:kern w:val="0"/>
                      <w:sz w:val="21"/>
                      <w:szCs w:val="21"/>
                    </w:rPr>
                  </w:pPr>
                </w:p>
              </w:tc>
            </w:tr>
            <w:tr w14:paraId="17319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38DC9474">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0FB20067">
                  <w:pPr>
                    <w:widowControl/>
                    <w:spacing w:line="240" w:lineRule="auto"/>
                    <w:ind w:firstLine="0" w:firstLineChars="0"/>
                    <w:jc w:val="center"/>
                    <w:rPr>
                      <w:color w:val="000000" w:themeColor="text1"/>
                      <w:kern w:val="0"/>
                      <w:sz w:val="21"/>
                      <w:szCs w:val="21"/>
                    </w:rPr>
                  </w:pPr>
                </w:p>
              </w:tc>
              <w:tc>
                <w:tcPr>
                  <w:tcW w:w="728" w:type="pct"/>
                  <w:vMerge w:val="continue"/>
                  <w:tcBorders>
                    <w:tl2br w:val="nil"/>
                    <w:tr2bl w:val="nil"/>
                  </w:tcBorders>
                  <w:vAlign w:val="center"/>
                </w:tcPr>
                <w:p w14:paraId="23646F64">
                  <w:pPr>
                    <w:widowControl/>
                    <w:spacing w:line="240" w:lineRule="auto"/>
                    <w:ind w:firstLine="0" w:firstLineChars="0"/>
                    <w:jc w:val="center"/>
                    <w:rPr>
                      <w:color w:val="000000" w:themeColor="text1"/>
                      <w:kern w:val="0"/>
                      <w:sz w:val="21"/>
                      <w:szCs w:val="21"/>
                    </w:rPr>
                  </w:pPr>
                </w:p>
              </w:tc>
              <w:tc>
                <w:tcPr>
                  <w:tcW w:w="1088" w:type="pct"/>
                  <w:tcBorders>
                    <w:tl2br w:val="nil"/>
                    <w:tr2bl w:val="nil"/>
                  </w:tcBorders>
                  <w:vAlign w:val="center"/>
                </w:tcPr>
                <w:p w14:paraId="31371930">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禁止鎏金、镀镉等落后工艺及设备</w:t>
                  </w:r>
                </w:p>
              </w:tc>
              <w:tc>
                <w:tcPr>
                  <w:tcW w:w="2008" w:type="pct"/>
                  <w:vMerge w:val="continue"/>
                  <w:tcBorders>
                    <w:tl2br w:val="nil"/>
                    <w:tr2bl w:val="nil"/>
                  </w:tcBorders>
                  <w:vAlign w:val="center"/>
                </w:tcPr>
                <w:p w14:paraId="31E3CBF8">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394AE6A4">
                  <w:pPr>
                    <w:widowControl/>
                    <w:spacing w:line="240" w:lineRule="auto"/>
                    <w:ind w:firstLine="0" w:firstLineChars="0"/>
                    <w:jc w:val="center"/>
                    <w:rPr>
                      <w:color w:val="000000" w:themeColor="text1"/>
                      <w:kern w:val="0"/>
                      <w:sz w:val="21"/>
                      <w:szCs w:val="21"/>
                    </w:rPr>
                  </w:pPr>
                </w:p>
              </w:tc>
            </w:tr>
            <w:tr w14:paraId="3BA67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71071038">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0847DB28">
                  <w:pPr>
                    <w:widowControl/>
                    <w:spacing w:line="240" w:lineRule="auto"/>
                    <w:ind w:firstLine="0" w:firstLineChars="0"/>
                    <w:jc w:val="center"/>
                    <w:rPr>
                      <w:color w:val="000000" w:themeColor="text1"/>
                      <w:kern w:val="0"/>
                      <w:sz w:val="21"/>
                      <w:szCs w:val="21"/>
                    </w:rPr>
                  </w:pPr>
                </w:p>
              </w:tc>
              <w:tc>
                <w:tcPr>
                  <w:tcW w:w="728" w:type="pct"/>
                  <w:tcBorders>
                    <w:tl2br w:val="nil"/>
                    <w:tr2bl w:val="nil"/>
                  </w:tcBorders>
                  <w:vAlign w:val="center"/>
                </w:tcPr>
                <w:p w14:paraId="76DA04F7">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w:t>
                  </w:r>
                  <w:r>
                    <w:rPr>
                      <w:color w:val="000000" w:themeColor="text1"/>
                      <w:kern w:val="0"/>
                      <w:sz w:val="21"/>
                      <w:szCs w:val="21"/>
                    </w:rPr>
                    <w:t>14</w:t>
                  </w:r>
                  <w:r>
                    <w:rPr>
                      <w:rFonts w:hint="eastAsia"/>
                      <w:color w:val="000000" w:themeColor="text1"/>
                      <w:kern w:val="0"/>
                      <w:sz w:val="21"/>
                      <w:szCs w:val="21"/>
                    </w:rPr>
                    <w:t>食品制造业</w:t>
                  </w:r>
                </w:p>
              </w:tc>
              <w:tc>
                <w:tcPr>
                  <w:tcW w:w="1088" w:type="pct"/>
                  <w:tcBorders>
                    <w:tl2br w:val="nil"/>
                    <w:tr2bl w:val="nil"/>
                  </w:tcBorders>
                  <w:vAlign w:val="center"/>
                </w:tcPr>
                <w:p w14:paraId="11CE9974">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严禁新建食品加工类项目</w:t>
                  </w:r>
                </w:p>
              </w:tc>
              <w:tc>
                <w:tcPr>
                  <w:tcW w:w="2008" w:type="pct"/>
                  <w:vMerge w:val="continue"/>
                  <w:tcBorders>
                    <w:tl2br w:val="nil"/>
                    <w:tr2bl w:val="nil"/>
                  </w:tcBorders>
                  <w:vAlign w:val="center"/>
                </w:tcPr>
                <w:p w14:paraId="05FA75B2">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035401C5">
                  <w:pPr>
                    <w:widowControl/>
                    <w:spacing w:line="240" w:lineRule="auto"/>
                    <w:ind w:firstLine="0" w:firstLineChars="0"/>
                    <w:jc w:val="center"/>
                    <w:rPr>
                      <w:color w:val="000000" w:themeColor="text1"/>
                      <w:kern w:val="0"/>
                      <w:sz w:val="21"/>
                      <w:szCs w:val="21"/>
                    </w:rPr>
                  </w:pPr>
                </w:p>
              </w:tc>
            </w:tr>
            <w:tr w14:paraId="2D2BE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3CEFC02D">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64B3501F">
                  <w:pPr>
                    <w:widowControl/>
                    <w:spacing w:line="240" w:lineRule="auto"/>
                    <w:ind w:firstLine="0" w:firstLineChars="0"/>
                    <w:jc w:val="center"/>
                    <w:rPr>
                      <w:color w:val="000000" w:themeColor="text1"/>
                      <w:kern w:val="0"/>
                      <w:sz w:val="21"/>
                      <w:szCs w:val="21"/>
                    </w:rPr>
                  </w:pPr>
                </w:p>
              </w:tc>
              <w:tc>
                <w:tcPr>
                  <w:tcW w:w="728" w:type="pct"/>
                  <w:vMerge w:val="restart"/>
                  <w:tcBorders>
                    <w:tl2br w:val="nil"/>
                    <w:tr2bl w:val="nil"/>
                  </w:tcBorders>
                  <w:vAlign w:val="center"/>
                </w:tcPr>
                <w:p w14:paraId="744C6440">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w:t>
                  </w:r>
                  <w:r>
                    <w:rPr>
                      <w:color w:val="000000" w:themeColor="text1"/>
                      <w:kern w:val="0"/>
                      <w:sz w:val="21"/>
                      <w:szCs w:val="21"/>
                    </w:rPr>
                    <w:t>20</w:t>
                  </w:r>
                  <w:r>
                    <w:rPr>
                      <w:rFonts w:hint="eastAsia"/>
                      <w:color w:val="000000" w:themeColor="text1"/>
                      <w:kern w:val="0"/>
                      <w:sz w:val="21"/>
                      <w:szCs w:val="21"/>
                    </w:rPr>
                    <w:t>木材加工和竹、藤棕、草制品业</w:t>
                  </w:r>
                </w:p>
              </w:tc>
              <w:tc>
                <w:tcPr>
                  <w:tcW w:w="1088" w:type="pct"/>
                  <w:tcBorders>
                    <w:tl2br w:val="nil"/>
                    <w:tr2bl w:val="nil"/>
                  </w:tcBorders>
                  <w:vAlign w:val="center"/>
                </w:tcPr>
                <w:p w14:paraId="0A70EAF0">
                  <w:pPr>
                    <w:widowControl/>
                    <w:spacing w:line="240" w:lineRule="auto"/>
                    <w:ind w:firstLine="0" w:firstLineChars="0"/>
                    <w:rPr>
                      <w:color w:val="000000" w:themeColor="text1"/>
                      <w:kern w:val="0"/>
                      <w:sz w:val="21"/>
                      <w:szCs w:val="21"/>
                    </w:rPr>
                  </w:pPr>
                  <w:r>
                    <w:rPr>
                      <w:rFonts w:hint="eastAsia"/>
                      <w:color w:val="000000" w:themeColor="text1"/>
                      <w:kern w:val="0"/>
                      <w:sz w:val="21"/>
                      <w:szCs w:val="21"/>
                    </w:rPr>
                    <w:t>禁止1万立方米/年以下的胶合板和细木工生产线</w:t>
                  </w:r>
                </w:p>
              </w:tc>
              <w:tc>
                <w:tcPr>
                  <w:tcW w:w="2008" w:type="pct"/>
                  <w:vMerge w:val="continue"/>
                  <w:tcBorders>
                    <w:tl2br w:val="nil"/>
                    <w:tr2bl w:val="nil"/>
                  </w:tcBorders>
                  <w:vAlign w:val="center"/>
                </w:tcPr>
                <w:p w14:paraId="4D2D32DF">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5CF1C4CC">
                  <w:pPr>
                    <w:widowControl/>
                    <w:spacing w:line="240" w:lineRule="auto"/>
                    <w:ind w:firstLine="0" w:firstLineChars="0"/>
                    <w:rPr>
                      <w:color w:val="000000" w:themeColor="text1"/>
                      <w:kern w:val="0"/>
                      <w:sz w:val="21"/>
                      <w:szCs w:val="21"/>
                    </w:rPr>
                  </w:pPr>
                </w:p>
              </w:tc>
            </w:tr>
            <w:tr w14:paraId="2D1BC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3A2BBE54">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72D1D701">
                  <w:pPr>
                    <w:widowControl/>
                    <w:spacing w:line="240" w:lineRule="auto"/>
                    <w:ind w:firstLine="0" w:firstLineChars="0"/>
                    <w:jc w:val="center"/>
                    <w:rPr>
                      <w:color w:val="000000" w:themeColor="text1"/>
                      <w:kern w:val="0"/>
                      <w:sz w:val="21"/>
                      <w:szCs w:val="21"/>
                    </w:rPr>
                  </w:pPr>
                </w:p>
              </w:tc>
              <w:tc>
                <w:tcPr>
                  <w:tcW w:w="728" w:type="pct"/>
                  <w:vMerge w:val="continue"/>
                  <w:tcBorders>
                    <w:tl2br w:val="nil"/>
                    <w:tr2bl w:val="nil"/>
                  </w:tcBorders>
                  <w:vAlign w:val="center"/>
                </w:tcPr>
                <w:p w14:paraId="12AFB5D9">
                  <w:pPr>
                    <w:widowControl/>
                    <w:spacing w:line="240" w:lineRule="auto"/>
                    <w:ind w:firstLine="0" w:firstLineChars="0"/>
                    <w:jc w:val="center"/>
                    <w:rPr>
                      <w:color w:val="000000" w:themeColor="text1"/>
                      <w:kern w:val="0"/>
                      <w:sz w:val="21"/>
                      <w:szCs w:val="21"/>
                    </w:rPr>
                  </w:pPr>
                </w:p>
              </w:tc>
              <w:tc>
                <w:tcPr>
                  <w:tcW w:w="1088" w:type="pct"/>
                  <w:tcBorders>
                    <w:tl2br w:val="nil"/>
                    <w:tr2bl w:val="nil"/>
                  </w:tcBorders>
                  <w:vAlign w:val="center"/>
                </w:tcPr>
                <w:p w14:paraId="26CED031">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禁止单线3万立方米/年以下的木质刨花板生产装置等禁止类项目</w:t>
                  </w:r>
                </w:p>
              </w:tc>
              <w:tc>
                <w:tcPr>
                  <w:tcW w:w="2008" w:type="pct"/>
                  <w:vMerge w:val="continue"/>
                  <w:tcBorders>
                    <w:tl2br w:val="nil"/>
                    <w:tr2bl w:val="nil"/>
                  </w:tcBorders>
                  <w:vAlign w:val="center"/>
                </w:tcPr>
                <w:p w14:paraId="26E33A98">
                  <w:pPr>
                    <w:widowControl/>
                    <w:spacing w:line="240" w:lineRule="auto"/>
                    <w:ind w:firstLine="0" w:firstLineChars="0"/>
                    <w:jc w:val="center"/>
                    <w:rPr>
                      <w:color w:val="000000" w:themeColor="text1"/>
                      <w:kern w:val="0"/>
                      <w:sz w:val="21"/>
                      <w:szCs w:val="21"/>
                    </w:rPr>
                  </w:pPr>
                </w:p>
              </w:tc>
              <w:tc>
                <w:tcPr>
                  <w:tcW w:w="543" w:type="pct"/>
                  <w:vMerge w:val="continue"/>
                  <w:tcBorders>
                    <w:tl2br w:val="nil"/>
                    <w:tr2bl w:val="nil"/>
                  </w:tcBorders>
                  <w:vAlign w:val="center"/>
                </w:tcPr>
                <w:p w14:paraId="5609947B">
                  <w:pPr>
                    <w:widowControl/>
                    <w:spacing w:line="240" w:lineRule="auto"/>
                    <w:ind w:firstLine="0" w:firstLineChars="0"/>
                    <w:jc w:val="center"/>
                    <w:rPr>
                      <w:color w:val="000000" w:themeColor="text1"/>
                      <w:kern w:val="0"/>
                      <w:sz w:val="21"/>
                      <w:szCs w:val="21"/>
                    </w:rPr>
                  </w:pPr>
                </w:p>
              </w:tc>
            </w:tr>
            <w:tr w14:paraId="754D3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123AD376">
                  <w:pPr>
                    <w:spacing w:line="240" w:lineRule="auto"/>
                    <w:ind w:firstLine="0" w:firstLineChars="0"/>
                    <w:jc w:val="center"/>
                    <w:rPr>
                      <w:color w:val="000000" w:themeColor="text1"/>
                      <w:sz w:val="21"/>
                      <w:szCs w:val="21"/>
                    </w:rPr>
                  </w:pPr>
                </w:p>
              </w:tc>
              <w:tc>
                <w:tcPr>
                  <w:tcW w:w="264" w:type="pct"/>
                  <w:vMerge w:val="restart"/>
                  <w:tcBorders>
                    <w:tl2br w:val="nil"/>
                    <w:tr2bl w:val="nil"/>
                  </w:tcBorders>
                  <w:vAlign w:val="center"/>
                </w:tcPr>
                <w:p w14:paraId="4995377A">
                  <w:pPr>
                    <w:spacing w:line="240" w:lineRule="auto"/>
                    <w:ind w:firstLine="0" w:firstLineChars="0"/>
                    <w:jc w:val="center"/>
                    <w:rPr>
                      <w:color w:val="000000" w:themeColor="text1"/>
                      <w:kern w:val="0"/>
                      <w:sz w:val="21"/>
                      <w:szCs w:val="21"/>
                    </w:rPr>
                  </w:pPr>
                  <w:r>
                    <w:rPr>
                      <w:rFonts w:hint="eastAsia"/>
                      <w:color w:val="000000" w:themeColor="text1"/>
                      <w:kern w:val="0"/>
                      <w:sz w:val="21"/>
                      <w:szCs w:val="21"/>
                    </w:rPr>
                    <w:t>限制</w:t>
                  </w:r>
                  <w:r>
                    <w:rPr>
                      <w:color w:val="000000" w:themeColor="text1"/>
                      <w:kern w:val="0"/>
                      <w:sz w:val="21"/>
                      <w:szCs w:val="21"/>
                    </w:rPr>
                    <w:t>类</w:t>
                  </w:r>
                </w:p>
              </w:tc>
              <w:tc>
                <w:tcPr>
                  <w:tcW w:w="728" w:type="pct"/>
                  <w:tcBorders>
                    <w:tl2br w:val="nil"/>
                    <w:tr2bl w:val="nil"/>
                  </w:tcBorders>
                  <w:vAlign w:val="center"/>
                </w:tcPr>
                <w:p w14:paraId="7C90C92C">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C3</w:t>
                  </w:r>
                  <w:r>
                    <w:rPr>
                      <w:color w:val="000000" w:themeColor="text1"/>
                      <w:kern w:val="0"/>
                      <w:sz w:val="21"/>
                      <w:szCs w:val="21"/>
                    </w:rPr>
                    <w:t>36</w:t>
                  </w:r>
                  <w:r>
                    <w:rPr>
                      <w:rFonts w:hint="eastAsia"/>
                      <w:color w:val="000000" w:themeColor="text1"/>
                      <w:kern w:val="0"/>
                      <w:sz w:val="21"/>
                      <w:szCs w:val="21"/>
                    </w:rPr>
                    <w:t>金属表面处理及热处理加工</w:t>
                  </w:r>
                </w:p>
              </w:tc>
              <w:tc>
                <w:tcPr>
                  <w:tcW w:w="1088" w:type="pct"/>
                  <w:tcBorders>
                    <w:tl2br w:val="nil"/>
                    <w:tr2bl w:val="nil"/>
                  </w:tcBorders>
                  <w:vAlign w:val="center"/>
                </w:tcPr>
                <w:p w14:paraId="096235EE">
                  <w:pPr>
                    <w:pStyle w:val="37"/>
                    <w:spacing w:line="240" w:lineRule="auto"/>
                    <w:ind w:firstLine="0" w:firstLineChars="0"/>
                    <w:textAlignment w:val="auto"/>
                    <w:rPr>
                      <w:rFonts w:ascii="Times New Roman"/>
                      <w:color w:val="000000" w:themeColor="text1"/>
                      <w:sz w:val="21"/>
                      <w:szCs w:val="21"/>
                    </w:rPr>
                  </w:pPr>
                  <w:r>
                    <w:rPr>
                      <w:rFonts w:hint="eastAsia" w:ascii="Times New Roman" w:eastAsia="宋体" w:cs="宋体"/>
                      <w:color w:val="000000" w:themeColor="text1"/>
                      <w:sz w:val="21"/>
                      <w:szCs w:val="21"/>
                    </w:rPr>
                    <w:t>适度发展配套含有排放废水的酸洗、磷化工艺、喷漆工艺的机械设备制造项目；表面处理企业满足电镀行业规范准入标准，配套重金属防渗设施</w:t>
                  </w:r>
                </w:p>
              </w:tc>
              <w:tc>
                <w:tcPr>
                  <w:tcW w:w="2008" w:type="pct"/>
                  <w:vMerge w:val="continue"/>
                  <w:tcBorders>
                    <w:tl2br w:val="nil"/>
                    <w:tr2bl w:val="nil"/>
                  </w:tcBorders>
                  <w:vAlign w:val="center"/>
                </w:tcPr>
                <w:p w14:paraId="6DD369DC">
                  <w:pPr>
                    <w:pStyle w:val="37"/>
                    <w:spacing w:line="240" w:lineRule="auto"/>
                    <w:ind w:firstLine="0" w:firstLineChars="0"/>
                    <w:textAlignment w:val="auto"/>
                    <w:rPr>
                      <w:rFonts w:ascii="Times New Roman" w:eastAsia="宋体" w:cs="宋体"/>
                      <w:color w:val="000000" w:themeColor="text1"/>
                      <w:sz w:val="21"/>
                      <w:szCs w:val="21"/>
                    </w:rPr>
                  </w:pPr>
                </w:p>
              </w:tc>
              <w:tc>
                <w:tcPr>
                  <w:tcW w:w="543" w:type="pct"/>
                  <w:vMerge w:val="continue"/>
                  <w:tcBorders>
                    <w:tl2br w:val="nil"/>
                    <w:tr2bl w:val="nil"/>
                  </w:tcBorders>
                  <w:vAlign w:val="center"/>
                </w:tcPr>
                <w:p w14:paraId="2B6BA957">
                  <w:pPr>
                    <w:pStyle w:val="37"/>
                    <w:spacing w:line="240" w:lineRule="auto"/>
                    <w:ind w:firstLine="0" w:firstLineChars="0"/>
                    <w:textAlignment w:val="auto"/>
                    <w:rPr>
                      <w:rFonts w:ascii="Times New Roman" w:eastAsia="宋体" w:cs="宋体"/>
                      <w:color w:val="000000" w:themeColor="text1"/>
                      <w:sz w:val="21"/>
                      <w:szCs w:val="21"/>
                    </w:rPr>
                  </w:pPr>
                </w:p>
              </w:tc>
            </w:tr>
            <w:tr w14:paraId="449C8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6" w:type="pct"/>
                  <w:vMerge w:val="continue"/>
                  <w:tcBorders>
                    <w:tl2br w:val="nil"/>
                    <w:tr2bl w:val="nil"/>
                  </w:tcBorders>
                  <w:vAlign w:val="center"/>
                </w:tcPr>
                <w:p w14:paraId="40674499">
                  <w:pPr>
                    <w:spacing w:line="240" w:lineRule="auto"/>
                    <w:ind w:firstLine="0" w:firstLineChars="0"/>
                    <w:jc w:val="center"/>
                    <w:rPr>
                      <w:color w:val="000000" w:themeColor="text1"/>
                      <w:sz w:val="21"/>
                      <w:szCs w:val="21"/>
                    </w:rPr>
                  </w:pPr>
                </w:p>
              </w:tc>
              <w:tc>
                <w:tcPr>
                  <w:tcW w:w="264" w:type="pct"/>
                  <w:vMerge w:val="continue"/>
                  <w:tcBorders>
                    <w:tl2br w:val="nil"/>
                    <w:tr2bl w:val="nil"/>
                  </w:tcBorders>
                  <w:vAlign w:val="center"/>
                </w:tcPr>
                <w:p w14:paraId="59250EE3">
                  <w:pPr>
                    <w:widowControl/>
                    <w:spacing w:line="240" w:lineRule="auto"/>
                    <w:ind w:firstLine="0" w:firstLineChars="0"/>
                    <w:jc w:val="center"/>
                    <w:rPr>
                      <w:color w:val="000000" w:themeColor="text1"/>
                      <w:kern w:val="0"/>
                      <w:sz w:val="21"/>
                      <w:szCs w:val="21"/>
                    </w:rPr>
                  </w:pPr>
                </w:p>
              </w:tc>
              <w:tc>
                <w:tcPr>
                  <w:tcW w:w="728" w:type="pct"/>
                  <w:tcBorders>
                    <w:tl2br w:val="nil"/>
                    <w:tr2bl w:val="nil"/>
                  </w:tcBorders>
                  <w:vAlign w:val="center"/>
                </w:tcPr>
                <w:p w14:paraId="2D866689">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C</w:t>
                  </w:r>
                  <w:r>
                    <w:rPr>
                      <w:color w:val="000000" w:themeColor="text1"/>
                      <w:kern w:val="0"/>
                      <w:sz w:val="21"/>
                      <w:szCs w:val="21"/>
                    </w:rPr>
                    <w:t>20</w:t>
                  </w:r>
                  <w:r>
                    <w:rPr>
                      <w:rFonts w:hint="eastAsia"/>
                      <w:color w:val="000000" w:themeColor="text1"/>
                      <w:kern w:val="0"/>
                      <w:sz w:val="21"/>
                      <w:szCs w:val="21"/>
                    </w:rPr>
                    <w:t>木材加工和竹、藤棕、草制品业</w:t>
                  </w:r>
                </w:p>
              </w:tc>
              <w:tc>
                <w:tcPr>
                  <w:tcW w:w="1088" w:type="pct"/>
                  <w:tcBorders>
                    <w:tl2br w:val="nil"/>
                    <w:tr2bl w:val="nil"/>
                  </w:tcBorders>
                  <w:vAlign w:val="center"/>
                </w:tcPr>
                <w:p w14:paraId="0ED25E98">
                  <w:pPr>
                    <w:pStyle w:val="37"/>
                    <w:spacing w:line="240" w:lineRule="auto"/>
                    <w:ind w:firstLine="0" w:firstLineChars="0"/>
                    <w:textAlignment w:val="auto"/>
                    <w:rPr>
                      <w:rFonts w:ascii="Times New Roman"/>
                      <w:color w:val="000000" w:themeColor="text1"/>
                      <w:sz w:val="21"/>
                      <w:szCs w:val="21"/>
                    </w:rPr>
                  </w:pPr>
                  <w:r>
                    <w:rPr>
                      <w:rFonts w:hint="eastAsia" w:ascii="Times New Roman" w:eastAsia="宋体" w:cs="宋体"/>
                      <w:color w:val="000000" w:themeColor="text1"/>
                      <w:sz w:val="21"/>
                      <w:szCs w:val="21"/>
                    </w:rPr>
                    <w:t>发展以优质林木为原料的一次性木制品与木制包装的生产和使用以及木竹加工综合利用率偏低的木竹加工项目</w:t>
                  </w:r>
                </w:p>
              </w:tc>
              <w:tc>
                <w:tcPr>
                  <w:tcW w:w="2008" w:type="pct"/>
                  <w:vMerge w:val="continue"/>
                  <w:tcBorders>
                    <w:tl2br w:val="nil"/>
                    <w:tr2bl w:val="nil"/>
                  </w:tcBorders>
                  <w:vAlign w:val="center"/>
                </w:tcPr>
                <w:p w14:paraId="5FDC6049">
                  <w:pPr>
                    <w:pStyle w:val="37"/>
                    <w:spacing w:line="240" w:lineRule="auto"/>
                    <w:ind w:firstLine="0" w:firstLineChars="0"/>
                    <w:jc w:val="center"/>
                    <w:textAlignment w:val="auto"/>
                    <w:rPr>
                      <w:rFonts w:ascii="Times New Roman" w:eastAsia="宋体" w:cs="宋体"/>
                      <w:color w:val="000000" w:themeColor="text1"/>
                      <w:sz w:val="21"/>
                      <w:szCs w:val="21"/>
                    </w:rPr>
                  </w:pPr>
                </w:p>
              </w:tc>
              <w:tc>
                <w:tcPr>
                  <w:tcW w:w="543" w:type="pct"/>
                  <w:vMerge w:val="continue"/>
                  <w:tcBorders>
                    <w:tl2br w:val="nil"/>
                    <w:tr2bl w:val="nil"/>
                  </w:tcBorders>
                  <w:vAlign w:val="center"/>
                </w:tcPr>
                <w:p w14:paraId="6B97819D">
                  <w:pPr>
                    <w:pStyle w:val="37"/>
                    <w:spacing w:line="240" w:lineRule="auto"/>
                    <w:ind w:firstLine="0" w:firstLineChars="0"/>
                    <w:textAlignment w:val="auto"/>
                    <w:rPr>
                      <w:rFonts w:ascii="Times New Roman" w:eastAsia="宋体" w:cs="宋体"/>
                      <w:color w:val="000000" w:themeColor="text1"/>
                      <w:sz w:val="21"/>
                      <w:szCs w:val="21"/>
                    </w:rPr>
                  </w:pPr>
                </w:p>
              </w:tc>
            </w:tr>
          </w:tbl>
          <w:p w14:paraId="041DEDA7">
            <w:pPr>
              <w:tabs>
                <w:tab w:val="left" w:pos="3150"/>
              </w:tabs>
              <w:spacing w:line="360" w:lineRule="auto"/>
              <w:ind w:firstLine="480"/>
              <w:rPr>
                <w:color w:val="000000" w:themeColor="text1"/>
              </w:rPr>
            </w:pPr>
            <w:r>
              <w:rPr>
                <w:rFonts w:hint="eastAsia"/>
                <w:color w:val="000000" w:themeColor="text1"/>
              </w:rPr>
              <w:t>综上所述，本项目不属于生态环境准入负面清单范围内。</w:t>
            </w:r>
          </w:p>
          <w:p w14:paraId="79DFB131">
            <w:pPr>
              <w:tabs>
                <w:tab w:val="left" w:pos="3150"/>
              </w:tabs>
              <w:spacing w:line="360" w:lineRule="auto"/>
              <w:ind w:firstLine="480"/>
              <w:rPr>
                <w:color w:val="000000" w:themeColor="text1"/>
              </w:rPr>
            </w:pPr>
            <w:r>
              <w:rPr>
                <w:rFonts w:hint="eastAsia"/>
                <w:color w:val="000000" w:themeColor="text1"/>
              </w:rPr>
              <w:t>（5）与《唐山市生态环境准入清单》（2023年版）符合性分析</w:t>
            </w:r>
          </w:p>
          <w:p w14:paraId="5A31A959">
            <w:pPr>
              <w:tabs>
                <w:tab w:val="left" w:pos="3150"/>
              </w:tabs>
              <w:spacing w:line="360" w:lineRule="auto"/>
              <w:ind w:firstLine="480"/>
              <w:rPr>
                <w:color w:val="000000" w:themeColor="text1"/>
              </w:rPr>
            </w:pPr>
            <w:r>
              <w:rPr>
                <w:rFonts w:hint="eastAsia"/>
                <w:color w:val="000000" w:themeColor="text1"/>
              </w:rPr>
              <w:t>本项目位于唐山市曹妃甸装备制造产业园区</w:t>
            </w:r>
            <w:r>
              <w:rPr>
                <w:rFonts w:hint="eastAsia"/>
                <w:color w:val="000000" w:themeColor="text1"/>
                <w:lang w:val="zh-CN"/>
              </w:rPr>
              <w:t>，</w:t>
            </w:r>
            <w:r>
              <w:rPr>
                <w:rFonts w:hint="eastAsia"/>
                <w:color w:val="000000" w:themeColor="text1"/>
              </w:rPr>
              <w:t>不在生态保护红线区、自然保护区、</w:t>
            </w:r>
            <w:r>
              <w:rPr>
                <w:color w:val="000000" w:themeColor="text1"/>
                <w:spacing w:val="-2"/>
              </w:rPr>
              <w:t>风景</w:t>
            </w:r>
            <w:r>
              <w:rPr>
                <w:color w:val="000000" w:themeColor="text1"/>
                <w:spacing w:val="-3"/>
              </w:rPr>
              <w:t>名胜区、</w:t>
            </w:r>
            <w:r>
              <w:rPr>
                <w:color w:val="000000" w:themeColor="text1"/>
                <w:spacing w:val="-2"/>
              </w:rPr>
              <w:t>森林公园、湿地公园、地质公园、水产种质资源保护区、</w:t>
            </w:r>
            <w:r>
              <w:rPr>
                <w:color w:val="000000" w:themeColor="text1"/>
                <w:spacing w:val="-72"/>
              </w:rPr>
              <w:t xml:space="preserve"> </w:t>
            </w:r>
            <w:r>
              <w:rPr>
                <w:color w:val="000000" w:themeColor="text1"/>
                <w:spacing w:val="-2"/>
              </w:rPr>
              <w:t>自</w:t>
            </w:r>
            <w:r>
              <w:rPr>
                <w:color w:val="000000" w:themeColor="text1"/>
                <w:spacing w:val="-3"/>
              </w:rPr>
              <w:t>然文化遗</w:t>
            </w:r>
            <w:r>
              <w:rPr>
                <w:color w:val="000000" w:themeColor="text1"/>
                <w:spacing w:val="-1"/>
              </w:rPr>
              <w:t>产、湿地空间、</w:t>
            </w:r>
            <w:r>
              <w:rPr>
                <w:rFonts w:hint="eastAsia"/>
                <w:color w:val="000000" w:themeColor="text1"/>
                <w:spacing w:val="-1"/>
              </w:rPr>
              <w:t>地表水饮用水水源保护区、地下水饮用水水源保护区、一般生态空间范围内，本项目所在区域属于重点管控单元。</w:t>
            </w:r>
          </w:p>
          <w:p w14:paraId="0EADC5C1">
            <w:pPr>
              <w:spacing w:line="360" w:lineRule="auto"/>
              <w:ind w:firstLine="480"/>
              <w:jc w:val="left"/>
              <w:rPr>
                <w:color w:val="000000" w:themeColor="text1"/>
              </w:rPr>
            </w:pPr>
            <w:r>
              <w:rPr>
                <w:rFonts w:hint="eastAsia"/>
                <w:color w:val="000000" w:themeColor="text1"/>
              </w:rPr>
              <w:t>本项目与唐山市生态环境准入清单符合性分析如下：</w:t>
            </w:r>
          </w:p>
          <w:p w14:paraId="5D6BF81C">
            <w:pPr>
              <w:spacing w:line="360" w:lineRule="auto"/>
              <w:ind w:firstLine="480"/>
              <w:jc w:val="left"/>
              <w:rPr>
                <w:color w:val="000000" w:themeColor="text1"/>
              </w:rPr>
            </w:pPr>
          </w:p>
          <w:p w14:paraId="6654A80F">
            <w:pPr>
              <w:spacing w:line="360" w:lineRule="auto"/>
              <w:ind w:firstLine="480"/>
              <w:jc w:val="left"/>
              <w:rPr>
                <w:color w:val="000000" w:themeColor="text1"/>
              </w:rPr>
            </w:pPr>
          </w:p>
          <w:p w14:paraId="716B11E2">
            <w:pPr>
              <w:spacing w:line="360" w:lineRule="auto"/>
              <w:ind w:firstLine="480"/>
              <w:jc w:val="left"/>
              <w:rPr>
                <w:color w:val="000000" w:themeColor="text1"/>
              </w:rPr>
            </w:pPr>
          </w:p>
          <w:p w14:paraId="483879AB">
            <w:pPr>
              <w:spacing w:line="360" w:lineRule="auto"/>
              <w:ind w:firstLine="480"/>
              <w:jc w:val="left"/>
              <w:rPr>
                <w:color w:val="000000" w:themeColor="text1"/>
              </w:rPr>
            </w:pPr>
          </w:p>
          <w:p w14:paraId="020F7372">
            <w:pPr>
              <w:spacing w:line="360" w:lineRule="auto"/>
              <w:ind w:firstLine="480"/>
              <w:jc w:val="left"/>
              <w:rPr>
                <w:color w:val="000000" w:themeColor="text1"/>
              </w:rPr>
            </w:pPr>
          </w:p>
          <w:p w14:paraId="26BDF0B0">
            <w:pPr>
              <w:spacing w:line="360" w:lineRule="auto"/>
              <w:ind w:firstLine="480"/>
              <w:jc w:val="left"/>
              <w:rPr>
                <w:color w:val="000000" w:themeColor="text1"/>
              </w:rPr>
            </w:pPr>
          </w:p>
          <w:p w14:paraId="5C712873">
            <w:pPr>
              <w:spacing w:line="360" w:lineRule="auto"/>
              <w:ind w:firstLine="480"/>
              <w:jc w:val="left"/>
              <w:rPr>
                <w:color w:val="000000" w:themeColor="text1"/>
              </w:rPr>
            </w:pPr>
          </w:p>
          <w:p w14:paraId="0ED7D63E">
            <w:pPr>
              <w:spacing w:line="360" w:lineRule="auto"/>
              <w:ind w:firstLine="480"/>
              <w:jc w:val="left"/>
              <w:rPr>
                <w:color w:val="000000" w:themeColor="text1"/>
              </w:rPr>
            </w:pPr>
          </w:p>
          <w:p w14:paraId="1E44A898">
            <w:pPr>
              <w:spacing w:line="360" w:lineRule="auto"/>
              <w:ind w:firstLine="480"/>
              <w:jc w:val="left"/>
              <w:rPr>
                <w:color w:val="000000" w:themeColor="text1"/>
              </w:rPr>
            </w:pPr>
          </w:p>
          <w:p w14:paraId="53656715">
            <w:pPr>
              <w:spacing w:line="360" w:lineRule="auto"/>
              <w:ind w:firstLine="480"/>
              <w:jc w:val="left"/>
              <w:rPr>
                <w:color w:val="000000" w:themeColor="text1"/>
              </w:rPr>
            </w:pPr>
          </w:p>
          <w:p w14:paraId="13490CE6">
            <w:pPr>
              <w:spacing w:line="360" w:lineRule="auto"/>
              <w:ind w:firstLine="480"/>
              <w:jc w:val="left"/>
              <w:rPr>
                <w:color w:val="000000" w:themeColor="text1"/>
              </w:rPr>
            </w:pPr>
          </w:p>
          <w:p w14:paraId="4EA00618">
            <w:pPr>
              <w:spacing w:line="360" w:lineRule="auto"/>
              <w:ind w:firstLine="480"/>
              <w:jc w:val="left"/>
              <w:rPr>
                <w:color w:val="000000" w:themeColor="text1"/>
              </w:rPr>
            </w:pPr>
          </w:p>
          <w:p w14:paraId="16877285">
            <w:pPr>
              <w:spacing w:line="360" w:lineRule="auto"/>
              <w:ind w:firstLine="480"/>
              <w:jc w:val="left"/>
              <w:rPr>
                <w:color w:val="000000" w:themeColor="text1"/>
              </w:rPr>
            </w:pPr>
          </w:p>
          <w:p w14:paraId="229FFE4C">
            <w:pPr>
              <w:spacing w:line="360" w:lineRule="auto"/>
              <w:ind w:firstLine="480"/>
              <w:jc w:val="left"/>
              <w:rPr>
                <w:color w:val="000000" w:themeColor="text1"/>
              </w:rPr>
            </w:pPr>
          </w:p>
          <w:p w14:paraId="58B5F9E8">
            <w:pPr>
              <w:spacing w:line="360" w:lineRule="auto"/>
              <w:ind w:firstLine="480"/>
              <w:jc w:val="left"/>
              <w:rPr>
                <w:color w:val="000000" w:themeColor="text1"/>
              </w:rPr>
            </w:pPr>
          </w:p>
          <w:p w14:paraId="027A5F6C">
            <w:pPr>
              <w:spacing w:line="360" w:lineRule="auto"/>
              <w:ind w:firstLine="480"/>
              <w:jc w:val="left"/>
              <w:rPr>
                <w:color w:val="000000" w:themeColor="text1"/>
              </w:rPr>
            </w:pPr>
          </w:p>
          <w:p w14:paraId="43A8E8E1">
            <w:pPr>
              <w:spacing w:line="360" w:lineRule="auto"/>
              <w:ind w:firstLine="480"/>
              <w:jc w:val="left"/>
              <w:rPr>
                <w:color w:val="000000" w:themeColor="text1"/>
              </w:rPr>
            </w:pPr>
          </w:p>
          <w:p w14:paraId="436D16E9">
            <w:pPr>
              <w:spacing w:line="360" w:lineRule="auto"/>
              <w:ind w:firstLine="0" w:firstLineChars="0"/>
              <w:jc w:val="left"/>
              <w:rPr>
                <w:color w:val="000000" w:themeColor="text1"/>
              </w:rPr>
            </w:pPr>
          </w:p>
          <w:p w14:paraId="7F60F60D">
            <w:pPr>
              <w:spacing w:line="360" w:lineRule="auto"/>
              <w:ind w:firstLine="480"/>
              <w:jc w:val="left"/>
              <w:rPr>
                <w:color w:val="000000" w:themeColor="text1"/>
              </w:rPr>
            </w:pPr>
          </w:p>
        </w:tc>
      </w:tr>
    </w:tbl>
    <w:p w14:paraId="4E1E7DDF">
      <w:pPr>
        <w:ind w:firstLine="480"/>
        <w:rPr>
          <w:color w:val="000000" w:themeColor="text1"/>
        </w:rPr>
      </w:pPr>
      <w:r>
        <w:rPr>
          <w:color w:val="000000" w:themeColor="text1"/>
        </w:rPr>
        <w:br w:type="page"/>
      </w:r>
    </w:p>
    <w:p w14:paraId="41E8A11C">
      <w:pPr>
        <w:pStyle w:val="21"/>
        <w:ind w:firstLine="0" w:firstLineChars="0"/>
        <w:jc w:val="center"/>
        <w:rPr>
          <w:rFonts w:ascii="黑体" w:hAnsi="黑体" w:eastAsia="黑体"/>
          <w:snapToGrid w:val="0"/>
          <w:color w:val="000000" w:themeColor="text1"/>
          <w:sz w:val="30"/>
          <w:szCs w:val="30"/>
        </w:rPr>
        <w:sectPr>
          <w:footerReference r:id="rId8" w:type="default"/>
          <w:pgSz w:w="11906" w:h="16838"/>
          <w:pgMar w:top="1440" w:right="1247" w:bottom="1440" w:left="1417" w:header="851" w:footer="992" w:gutter="0"/>
          <w:pgNumType w:start="1"/>
          <w:cols w:space="425" w:num="1"/>
          <w:docGrid w:type="lines" w:linePitch="312" w:charSpace="0"/>
        </w:sectPr>
      </w:pPr>
    </w:p>
    <w:tbl>
      <w:tblPr>
        <w:tblStyle w:val="25"/>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3283"/>
      </w:tblGrid>
      <w:tr w14:paraId="3D6E1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l2br w:val="nil"/>
              <w:tr2bl w:val="nil"/>
            </w:tcBorders>
          </w:tcPr>
          <w:p w14:paraId="7BF7C414">
            <w:pPr>
              <w:pStyle w:val="21"/>
              <w:ind w:firstLine="600"/>
              <w:jc w:val="center"/>
              <w:rPr>
                <w:rFonts w:ascii="黑体" w:hAnsi="黑体" w:eastAsia="黑体"/>
                <w:snapToGrid w:val="0"/>
                <w:color w:val="000000" w:themeColor="text1"/>
                <w:sz w:val="30"/>
                <w:szCs w:val="30"/>
              </w:rPr>
            </w:pPr>
          </w:p>
        </w:tc>
        <w:tc>
          <w:tcPr>
            <w:tcW w:w="13284" w:type="dxa"/>
            <w:tcBorders>
              <w:tl2br w:val="nil"/>
              <w:tr2bl w:val="nil"/>
            </w:tcBorders>
          </w:tcPr>
          <w:p w14:paraId="291AA1D2">
            <w:pPr>
              <w:snapToGrid w:val="0"/>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5  </w:t>
            </w:r>
            <w:r>
              <w:rPr>
                <w:b/>
                <w:bCs/>
                <w:color w:val="000000" w:themeColor="text1"/>
                <w:sz w:val="21"/>
                <w:szCs w:val="21"/>
              </w:rPr>
              <w:t>与</w:t>
            </w:r>
            <w:r>
              <w:rPr>
                <w:rFonts w:hint="eastAsia"/>
                <w:b/>
                <w:bCs/>
                <w:color w:val="000000" w:themeColor="text1"/>
                <w:sz w:val="21"/>
                <w:szCs w:val="21"/>
              </w:rPr>
              <w:t>全市产业总体管控要求符合性分析一览表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7"/>
              <w:gridCol w:w="773"/>
              <w:gridCol w:w="8207"/>
              <w:gridCol w:w="2591"/>
              <w:gridCol w:w="771"/>
            </w:tblGrid>
            <w:tr w14:paraId="37230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tcBorders>
                    <w:tl2br w:val="nil"/>
                    <w:tr2bl w:val="nil"/>
                  </w:tcBorders>
                  <w:vAlign w:val="center"/>
                </w:tcPr>
                <w:p w14:paraId="3ADCBB8B">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要素属性</w:t>
                  </w:r>
                </w:p>
              </w:tc>
              <w:tc>
                <w:tcPr>
                  <w:tcW w:w="773" w:type="dxa"/>
                  <w:tcBorders>
                    <w:tl2br w:val="nil"/>
                    <w:tr2bl w:val="nil"/>
                  </w:tcBorders>
                  <w:vAlign w:val="center"/>
                </w:tcPr>
                <w:p w14:paraId="0C48D16C">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管控类别</w:t>
                  </w:r>
                </w:p>
              </w:tc>
              <w:tc>
                <w:tcPr>
                  <w:tcW w:w="8207" w:type="dxa"/>
                  <w:tcBorders>
                    <w:tl2br w:val="nil"/>
                    <w:tr2bl w:val="nil"/>
                  </w:tcBorders>
                  <w:vAlign w:val="center"/>
                </w:tcPr>
                <w:p w14:paraId="491CD2B2">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管控要求</w:t>
                  </w:r>
                </w:p>
              </w:tc>
              <w:tc>
                <w:tcPr>
                  <w:tcW w:w="2591" w:type="dxa"/>
                  <w:tcBorders>
                    <w:tl2br w:val="nil"/>
                    <w:tr2bl w:val="nil"/>
                  </w:tcBorders>
                  <w:vAlign w:val="center"/>
                </w:tcPr>
                <w:p w14:paraId="02103519">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本</w:t>
                  </w:r>
                  <w:r>
                    <w:rPr>
                      <w:b/>
                      <w:bCs/>
                      <w:color w:val="000000" w:themeColor="text1"/>
                      <w:kern w:val="0"/>
                      <w:sz w:val="21"/>
                      <w:szCs w:val="21"/>
                    </w:rPr>
                    <w:t>项目情况</w:t>
                  </w:r>
                </w:p>
              </w:tc>
              <w:tc>
                <w:tcPr>
                  <w:tcW w:w="771" w:type="dxa"/>
                  <w:tcBorders>
                    <w:tl2br w:val="nil"/>
                    <w:tr2bl w:val="nil"/>
                  </w:tcBorders>
                  <w:vAlign w:val="center"/>
                </w:tcPr>
                <w:p w14:paraId="0EB44031">
                  <w:pPr>
                    <w:spacing w:line="280" w:lineRule="exact"/>
                    <w:ind w:firstLine="0" w:firstLineChars="0"/>
                    <w:jc w:val="center"/>
                    <w:rPr>
                      <w:b/>
                      <w:bCs/>
                      <w:color w:val="000000" w:themeColor="text1"/>
                      <w:kern w:val="0"/>
                      <w:sz w:val="21"/>
                      <w:szCs w:val="21"/>
                    </w:rPr>
                  </w:pPr>
                  <w:r>
                    <w:rPr>
                      <w:b/>
                      <w:bCs/>
                      <w:color w:val="000000" w:themeColor="text1"/>
                      <w:kern w:val="0"/>
                      <w:sz w:val="21"/>
                      <w:szCs w:val="21"/>
                    </w:rPr>
                    <w:t>符合性</w:t>
                  </w:r>
                </w:p>
              </w:tc>
            </w:tr>
            <w:tr w14:paraId="2A171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restart"/>
                  <w:tcBorders>
                    <w:tl2br w:val="nil"/>
                    <w:tr2bl w:val="nil"/>
                  </w:tcBorders>
                  <w:vAlign w:val="center"/>
                </w:tcPr>
                <w:p w14:paraId="1258E7E0">
                  <w:pPr>
                    <w:widowControl/>
                    <w:spacing w:line="280" w:lineRule="exact"/>
                    <w:ind w:firstLine="0" w:firstLineChars="0"/>
                    <w:jc w:val="center"/>
                    <w:rPr>
                      <w:color w:val="000000" w:themeColor="text1"/>
                      <w:kern w:val="0"/>
                      <w:sz w:val="21"/>
                      <w:szCs w:val="21"/>
                    </w:rPr>
                  </w:pPr>
                  <w:r>
                    <w:rPr>
                      <w:rFonts w:hint="eastAsia"/>
                      <w:color w:val="000000" w:themeColor="text1"/>
                      <w:kern w:val="0"/>
                      <w:sz w:val="21"/>
                      <w:szCs w:val="21"/>
                    </w:rPr>
                    <w:t>产业总体布局要求</w:t>
                  </w:r>
                </w:p>
              </w:tc>
              <w:tc>
                <w:tcPr>
                  <w:tcW w:w="773" w:type="dxa"/>
                  <w:vMerge w:val="restart"/>
                  <w:tcBorders>
                    <w:tl2br w:val="nil"/>
                    <w:tr2bl w:val="nil"/>
                  </w:tcBorders>
                  <w:vAlign w:val="center"/>
                </w:tcPr>
                <w:p w14:paraId="65F14363">
                  <w:pPr>
                    <w:widowControl/>
                    <w:spacing w:line="280" w:lineRule="exact"/>
                    <w:ind w:firstLine="0" w:firstLineChars="0"/>
                    <w:jc w:val="center"/>
                    <w:rPr>
                      <w:color w:val="000000" w:themeColor="text1"/>
                      <w:kern w:val="0"/>
                      <w:sz w:val="21"/>
                      <w:szCs w:val="21"/>
                    </w:rPr>
                  </w:pPr>
                  <w:r>
                    <w:rPr>
                      <w:rFonts w:hint="eastAsia"/>
                      <w:color w:val="000000" w:themeColor="text1"/>
                      <w:kern w:val="0"/>
                      <w:sz w:val="21"/>
                      <w:szCs w:val="21"/>
                    </w:rPr>
                    <w:t>空间布局约束</w:t>
                  </w:r>
                </w:p>
              </w:tc>
              <w:tc>
                <w:tcPr>
                  <w:tcW w:w="8207" w:type="dxa"/>
                  <w:tcBorders>
                    <w:tl2br w:val="nil"/>
                    <w:tr2bl w:val="nil"/>
                  </w:tcBorders>
                  <w:vAlign w:val="center"/>
                </w:tcPr>
                <w:p w14:paraId="1B5458D6">
                  <w:pPr>
                    <w:widowControl/>
                    <w:spacing w:line="280" w:lineRule="exact"/>
                    <w:ind w:firstLine="420"/>
                    <w:jc w:val="left"/>
                    <w:rPr>
                      <w:color w:val="000000" w:themeColor="text1"/>
                      <w:kern w:val="0"/>
                      <w:sz w:val="21"/>
                      <w:szCs w:val="21"/>
                      <w:lang w:val="zh-CN"/>
                    </w:rPr>
                  </w:pPr>
                  <w:r>
                    <w:rPr>
                      <w:rFonts w:hint="eastAsia"/>
                      <w:color w:val="000000" w:themeColor="text1"/>
                      <w:kern w:val="0"/>
                      <w:sz w:val="21"/>
                      <w:szCs w:val="21"/>
                    </w:rPr>
                    <w:t>1、</w:t>
                  </w:r>
                  <w:r>
                    <w:rPr>
                      <w:rFonts w:hint="eastAsia"/>
                      <w:color w:val="000000" w:themeColor="text1"/>
                      <w:kern w:val="0"/>
                      <w:sz w:val="21"/>
                      <w:szCs w:val="21"/>
                      <w:lang w:val="zh-CN"/>
                    </w:rPr>
                    <w:t>严格执行《产业结构调整指导目录》、《市场准入负面清单》、《河北省禁止投资的产业目录》相关要求。</w:t>
                  </w:r>
                </w:p>
              </w:tc>
              <w:tc>
                <w:tcPr>
                  <w:tcW w:w="2591" w:type="dxa"/>
                  <w:tcBorders>
                    <w:tl2br w:val="nil"/>
                    <w:tr2bl w:val="nil"/>
                  </w:tcBorders>
                  <w:vAlign w:val="center"/>
                </w:tcPr>
                <w:p w14:paraId="06B922A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产业结构调整指导目录（2024年本）》中鼓励类、限制类和淘汰类项目，属于允许类；不属于《市场准入负面清单（2025年版）》中禁止类项目；不属于《河北省禁止投资的产业目录（2014年版）》中禁止投资的产业项目。</w:t>
                  </w:r>
                </w:p>
              </w:tc>
              <w:tc>
                <w:tcPr>
                  <w:tcW w:w="771" w:type="dxa"/>
                  <w:tcBorders>
                    <w:tl2br w:val="nil"/>
                    <w:tr2bl w:val="nil"/>
                  </w:tcBorders>
                  <w:vAlign w:val="center"/>
                </w:tcPr>
                <w:p w14:paraId="7D6DE4D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1D41F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AF304F9">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0EF21833">
                  <w:pPr>
                    <w:spacing w:line="280" w:lineRule="exact"/>
                    <w:ind w:firstLine="0" w:firstLineChars="0"/>
                    <w:jc w:val="center"/>
                    <w:rPr>
                      <w:color w:val="000000" w:themeColor="text1"/>
                    </w:rPr>
                  </w:pPr>
                </w:p>
              </w:tc>
              <w:tc>
                <w:tcPr>
                  <w:tcW w:w="8207" w:type="dxa"/>
                  <w:tcBorders>
                    <w:tl2br w:val="nil"/>
                    <w:tr2bl w:val="nil"/>
                  </w:tcBorders>
                  <w:vAlign w:val="center"/>
                </w:tcPr>
                <w:p w14:paraId="2AC2F71B">
                  <w:pPr>
                    <w:widowControl/>
                    <w:spacing w:line="280" w:lineRule="exact"/>
                    <w:ind w:firstLine="420"/>
                    <w:jc w:val="left"/>
                    <w:rPr>
                      <w:color w:val="000000" w:themeColor="text1"/>
                      <w:kern w:val="0"/>
                      <w:sz w:val="21"/>
                      <w:szCs w:val="21"/>
                    </w:rPr>
                  </w:pPr>
                  <w:r>
                    <w:rPr>
                      <w:rFonts w:hint="eastAsia"/>
                      <w:color w:val="000000" w:themeColor="text1"/>
                      <w:kern w:val="0"/>
                      <w:sz w:val="21"/>
                      <w:szCs w:val="21"/>
                    </w:rPr>
                    <w:t>2、</w:t>
                  </w:r>
                  <w:r>
                    <w:rPr>
                      <w:rFonts w:hint="eastAsia"/>
                      <w:color w:val="000000" w:themeColor="text1"/>
                      <w:kern w:val="0"/>
                      <w:sz w:val="21"/>
                      <w:szCs w:val="21"/>
                      <w:lang w:val="zh-CN"/>
                    </w:rPr>
                    <w:t>严格执行国家产业政策和准入标准，实行生态环境准入清单制度，禁止新建、扩建高污染项目，严格控制高耗能、高排放项目准入。新建、改建和扩建项目按照相关规定实行减量置换或者等量置换</w:t>
                  </w:r>
                  <w:r>
                    <w:rPr>
                      <w:color w:val="000000" w:themeColor="text1"/>
                      <w:kern w:val="0"/>
                      <w:sz w:val="21"/>
                      <w:szCs w:val="21"/>
                      <w:lang w:val="zh-CN"/>
                    </w:rPr>
                    <w:t>。</w:t>
                  </w:r>
                </w:p>
              </w:tc>
              <w:tc>
                <w:tcPr>
                  <w:tcW w:w="2591" w:type="dxa"/>
                  <w:tcBorders>
                    <w:tl2br w:val="nil"/>
                    <w:tr2bl w:val="nil"/>
                  </w:tcBorders>
                  <w:vAlign w:val="center"/>
                </w:tcPr>
                <w:p w14:paraId="7D027F60">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本项目符合</w:t>
                  </w:r>
                  <w:r>
                    <w:rPr>
                      <w:rFonts w:hint="eastAsia"/>
                      <w:color w:val="000000" w:themeColor="text1"/>
                      <w:kern w:val="0"/>
                      <w:sz w:val="21"/>
                      <w:szCs w:val="21"/>
                      <w:lang w:val="zh-CN"/>
                    </w:rPr>
                    <w:t>国家产业政策和准入标准，</w:t>
                  </w:r>
                  <w:r>
                    <w:rPr>
                      <w:rFonts w:hint="eastAsia"/>
                      <w:color w:val="000000" w:themeColor="text1"/>
                      <w:kern w:val="0"/>
                      <w:sz w:val="21"/>
                      <w:szCs w:val="21"/>
                    </w:rPr>
                    <w:t>不属于高污染、</w:t>
                  </w:r>
                  <w:r>
                    <w:rPr>
                      <w:rFonts w:hint="eastAsia"/>
                      <w:color w:val="000000" w:themeColor="text1"/>
                      <w:kern w:val="0"/>
                      <w:sz w:val="21"/>
                      <w:szCs w:val="21"/>
                      <w:lang w:val="zh-CN"/>
                    </w:rPr>
                    <w:t>高耗能、高排放</w:t>
                  </w:r>
                  <w:r>
                    <w:rPr>
                      <w:rFonts w:hint="eastAsia"/>
                      <w:color w:val="000000" w:themeColor="text1"/>
                      <w:kern w:val="0"/>
                      <w:sz w:val="21"/>
                      <w:szCs w:val="21"/>
                    </w:rPr>
                    <w:t>项目。</w:t>
                  </w:r>
                </w:p>
              </w:tc>
              <w:tc>
                <w:tcPr>
                  <w:tcW w:w="771" w:type="dxa"/>
                  <w:tcBorders>
                    <w:tl2br w:val="nil"/>
                    <w:tr2bl w:val="nil"/>
                  </w:tcBorders>
                  <w:vAlign w:val="center"/>
                </w:tcPr>
                <w:p w14:paraId="4049B451">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6AEDC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D6E5B22">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1BD19D6B">
                  <w:pPr>
                    <w:spacing w:line="280" w:lineRule="exact"/>
                    <w:ind w:firstLine="0" w:firstLineChars="0"/>
                    <w:jc w:val="center"/>
                    <w:rPr>
                      <w:color w:val="000000" w:themeColor="text1"/>
                    </w:rPr>
                  </w:pPr>
                </w:p>
              </w:tc>
              <w:tc>
                <w:tcPr>
                  <w:tcW w:w="8207" w:type="dxa"/>
                  <w:tcBorders>
                    <w:tl2br w:val="nil"/>
                    <w:tr2bl w:val="nil"/>
                  </w:tcBorders>
                  <w:vAlign w:val="center"/>
                </w:tcPr>
                <w:p w14:paraId="7627D090">
                  <w:pPr>
                    <w:widowControl/>
                    <w:spacing w:line="280" w:lineRule="exact"/>
                    <w:ind w:firstLine="420"/>
                    <w:jc w:val="left"/>
                    <w:rPr>
                      <w:color w:val="000000" w:themeColor="text1"/>
                      <w:kern w:val="0"/>
                      <w:sz w:val="21"/>
                      <w:szCs w:val="21"/>
                    </w:rPr>
                  </w:pPr>
                  <w:r>
                    <w:rPr>
                      <w:rFonts w:hint="eastAsia"/>
                      <w:color w:val="000000" w:themeColor="text1"/>
                      <w:kern w:val="0"/>
                      <w:sz w:val="21"/>
                      <w:szCs w:val="21"/>
                    </w:rPr>
                    <w:t>3、</w:t>
                  </w:r>
                  <w:r>
                    <w:rPr>
                      <w:color w:val="000000" w:themeColor="text1"/>
                      <w:kern w:val="0"/>
                      <w:sz w:val="21"/>
                      <w:szCs w:val="21"/>
                      <w:lang w:val="zh-CN"/>
                    </w:rPr>
                    <w:t>禁止投资钢铁冶炼、水泥、电解铝、平板玻璃等产能严重过剩行业和炼焦、有色、电石、铁合金等新增产能项目。</w:t>
                  </w:r>
                </w:p>
              </w:tc>
              <w:tc>
                <w:tcPr>
                  <w:tcW w:w="2591" w:type="dxa"/>
                  <w:tcBorders>
                    <w:tl2br w:val="nil"/>
                    <w:tr2bl w:val="nil"/>
                  </w:tcBorders>
                  <w:vAlign w:val="center"/>
                </w:tcPr>
                <w:p w14:paraId="30F33F93">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本项目不属于上述行业。</w:t>
                  </w:r>
                </w:p>
              </w:tc>
              <w:tc>
                <w:tcPr>
                  <w:tcW w:w="771" w:type="dxa"/>
                  <w:tcBorders>
                    <w:tl2br w:val="nil"/>
                    <w:tr2bl w:val="nil"/>
                  </w:tcBorders>
                  <w:vAlign w:val="center"/>
                </w:tcPr>
                <w:p w14:paraId="00EA210F">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44EEB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6C7657C">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07728BD0">
                  <w:pPr>
                    <w:spacing w:line="280" w:lineRule="exact"/>
                    <w:ind w:firstLine="0" w:firstLineChars="0"/>
                    <w:jc w:val="center"/>
                    <w:rPr>
                      <w:color w:val="000000" w:themeColor="text1"/>
                    </w:rPr>
                  </w:pPr>
                </w:p>
              </w:tc>
              <w:tc>
                <w:tcPr>
                  <w:tcW w:w="8207" w:type="dxa"/>
                  <w:tcBorders>
                    <w:tl2br w:val="nil"/>
                    <w:tr2bl w:val="nil"/>
                  </w:tcBorders>
                  <w:vAlign w:val="center"/>
                </w:tcPr>
                <w:p w14:paraId="428C9294">
                  <w:pPr>
                    <w:widowControl/>
                    <w:spacing w:line="280" w:lineRule="exact"/>
                    <w:ind w:firstLine="420"/>
                    <w:jc w:val="left"/>
                    <w:rPr>
                      <w:color w:val="000000" w:themeColor="text1"/>
                      <w:kern w:val="0"/>
                      <w:sz w:val="21"/>
                      <w:szCs w:val="21"/>
                    </w:rPr>
                  </w:pPr>
                  <w:r>
                    <w:rPr>
                      <w:rFonts w:hint="eastAsia"/>
                      <w:color w:val="000000" w:themeColor="text1"/>
                      <w:kern w:val="0"/>
                      <w:sz w:val="21"/>
                      <w:szCs w:val="21"/>
                    </w:rPr>
                    <w:t>4、</w:t>
                  </w:r>
                  <w:r>
                    <w:rPr>
                      <w:rFonts w:hint="eastAsia"/>
                      <w:color w:val="000000" w:themeColor="text1"/>
                      <w:kern w:val="0"/>
                      <w:sz w:val="21"/>
                      <w:szCs w:val="21"/>
                      <w:lang w:val="zh-CN"/>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tc>
              <w:tc>
                <w:tcPr>
                  <w:tcW w:w="2591" w:type="dxa"/>
                  <w:tcBorders>
                    <w:tl2br w:val="nil"/>
                    <w:tr2bl w:val="nil"/>
                  </w:tcBorders>
                  <w:vAlign w:val="center"/>
                </w:tcPr>
                <w:p w14:paraId="4191F7F6">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根据生态环境部《关于加强重点行业建设项目区域削减措施监督管理的通知》（环办环评[2020]36号）和唐山市生态环境局《转发&lt;河北省生态环境厅办公室关于做好主要污染物重点减排工程及建设项目总量指标管理的提示函&gt;的通知》(唐环评函[2024]32号)等文件规定，本项目不属于石化、煤化工、燃煤发电(含热电)、钢铁、有色金属冶炼、制浆造纸等六大重点行业，无需进行倍量削减。</w:t>
                  </w:r>
                </w:p>
              </w:tc>
              <w:tc>
                <w:tcPr>
                  <w:tcW w:w="771" w:type="dxa"/>
                  <w:tcBorders>
                    <w:tl2br w:val="nil"/>
                    <w:tr2bl w:val="nil"/>
                  </w:tcBorders>
                  <w:vAlign w:val="center"/>
                </w:tcPr>
                <w:p w14:paraId="0023DB53">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68653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C965D35">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23AE354C">
                  <w:pPr>
                    <w:spacing w:line="280" w:lineRule="exact"/>
                    <w:ind w:firstLine="0" w:firstLineChars="0"/>
                    <w:jc w:val="center"/>
                    <w:rPr>
                      <w:color w:val="000000" w:themeColor="text1"/>
                    </w:rPr>
                  </w:pPr>
                </w:p>
              </w:tc>
              <w:tc>
                <w:tcPr>
                  <w:tcW w:w="8207" w:type="dxa"/>
                  <w:tcBorders>
                    <w:tl2br w:val="nil"/>
                    <w:tr2bl w:val="nil"/>
                  </w:tcBorders>
                  <w:vAlign w:val="center"/>
                </w:tcPr>
                <w:p w14:paraId="724155E1">
                  <w:pPr>
                    <w:widowControl/>
                    <w:spacing w:line="280" w:lineRule="exact"/>
                    <w:ind w:firstLine="420"/>
                    <w:jc w:val="left"/>
                    <w:rPr>
                      <w:color w:val="000000" w:themeColor="text1"/>
                      <w:kern w:val="0"/>
                      <w:sz w:val="21"/>
                      <w:szCs w:val="21"/>
                    </w:rPr>
                  </w:pPr>
                  <w:r>
                    <w:rPr>
                      <w:rFonts w:hint="eastAsia"/>
                      <w:color w:val="000000" w:themeColor="text1"/>
                      <w:kern w:val="0"/>
                      <w:sz w:val="21"/>
                      <w:szCs w:val="21"/>
                    </w:rPr>
                    <w:t>5、</w:t>
                  </w:r>
                  <w:r>
                    <w:rPr>
                      <w:rFonts w:hint="eastAsia"/>
                      <w:color w:val="000000" w:themeColor="text1"/>
                      <w:kern w:val="0"/>
                      <w:sz w:val="21"/>
                      <w:szCs w:val="21"/>
                      <w:lang w:val="zh-CN"/>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r>
                    <w:rPr>
                      <w:color w:val="000000" w:themeColor="text1"/>
                      <w:kern w:val="0"/>
                      <w:sz w:val="21"/>
                      <w:szCs w:val="21"/>
                      <w:lang w:val="zh-CN"/>
                    </w:rPr>
                    <w:t>。</w:t>
                  </w:r>
                </w:p>
              </w:tc>
              <w:tc>
                <w:tcPr>
                  <w:tcW w:w="2591" w:type="dxa"/>
                  <w:tcBorders>
                    <w:tl2br w:val="nil"/>
                    <w:tr2bl w:val="nil"/>
                  </w:tcBorders>
                  <w:vAlign w:val="center"/>
                </w:tcPr>
                <w:p w14:paraId="789DE3F9">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本项目位于唐山市曹妃甸装备制造产业园区内，符合国家产业政策，符合产业布局规划，不涉及分散燃煤（燃重油等）炉窑。</w:t>
                  </w:r>
                </w:p>
              </w:tc>
              <w:tc>
                <w:tcPr>
                  <w:tcW w:w="771" w:type="dxa"/>
                  <w:tcBorders>
                    <w:tl2br w:val="nil"/>
                    <w:tr2bl w:val="nil"/>
                  </w:tcBorders>
                  <w:vAlign w:val="center"/>
                </w:tcPr>
                <w:p w14:paraId="7BB4B2A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37141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16BCB376">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39229FC3">
                  <w:pPr>
                    <w:spacing w:line="280" w:lineRule="exact"/>
                    <w:ind w:firstLine="0" w:firstLineChars="0"/>
                    <w:jc w:val="center"/>
                    <w:rPr>
                      <w:color w:val="000000" w:themeColor="text1"/>
                    </w:rPr>
                  </w:pPr>
                </w:p>
              </w:tc>
              <w:tc>
                <w:tcPr>
                  <w:tcW w:w="8207" w:type="dxa"/>
                  <w:tcBorders>
                    <w:tl2br w:val="nil"/>
                    <w:tr2bl w:val="nil"/>
                  </w:tcBorders>
                  <w:vAlign w:val="center"/>
                </w:tcPr>
                <w:p w14:paraId="0EF8EEC4">
                  <w:pPr>
                    <w:widowControl/>
                    <w:spacing w:line="280" w:lineRule="exact"/>
                    <w:ind w:firstLine="420"/>
                    <w:jc w:val="left"/>
                    <w:rPr>
                      <w:color w:val="000000" w:themeColor="text1"/>
                      <w:kern w:val="0"/>
                      <w:sz w:val="21"/>
                      <w:szCs w:val="21"/>
                    </w:rPr>
                  </w:pPr>
                  <w:r>
                    <w:rPr>
                      <w:rFonts w:hint="eastAsia"/>
                      <w:color w:val="000000" w:themeColor="text1"/>
                      <w:kern w:val="0"/>
                      <w:sz w:val="21"/>
                      <w:szCs w:val="21"/>
                    </w:rPr>
                    <w:t>6、</w:t>
                  </w:r>
                  <w:r>
                    <w:rPr>
                      <w:rFonts w:hint="eastAsia"/>
                      <w:color w:val="000000" w:themeColor="text1"/>
                      <w:kern w:val="0"/>
                      <w:sz w:val="21"/>
                      <w:szCs w:val="21"/>
                      <w:lang w:val="zh-CN"/>
                    </w:rPr>
                    <w:t>在优先保护类耕地集中区域严格控制新建有色金属冶炼、石油加工、化工、焦化、电镀、制革、铅蓄电池等行业企业，防止对耕地造成污染</w:t>
                  </w:r>
                  <w:r>
                    <w:rPr>
                      <w:color w:val="000000" w:themeColor="text1"/>
                      <w:kern w:val="0"/>
                      <w:sz w:val="21"/>
                      <w:szCs w:val="21"/>
                      <w:lang w:val="zh-CN"/>
                    </w:rPr>
                    <w:t>。</w:t>
                  </w:r>
                </w:p>
              </w:tc>
              <w:tc>
                <w:tcPr>
                  <w:tcW w:w="2591" w:type="dxa"/>
                  <w:tcBorders>
                    <w:tl2br w:val="nil"/>
                    <w:tr2bl w:val="nil"/>
                  </w:tcBorders>
                  <w:vAlign w:val="center"/>
                </w:tcPr>
                <w:p w14:paraId="7AF5B91A">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本项目位于唐山市曹妃甸装备制造产业园区内，不</w:t>
                  </w:r>
                  <w:r>
                    <w:rPr>
                      <w:rFonts w:hint="eastAsia"/>
                      <w:color w:val="000000" w:themeColor="text1"/>
                      <w:kern w:val="0"/>
                      <w:sz w:val="21"/>
                      <w:szCs w:val="21"/>
                      <w:lang w:val="zh-CN"/>
                    </w:rPr>
                    <w:t>在优先保护类耕地集中区域</w:t>
                  </w:r>
                  <w:r>
                    <w:rPr>
                      <w:rFonts w:hint="eastAsia"/>
                      <w:color w:val="000000" w:themeColor="text1"/>
                      <w:kern w:val="0"/>
                      <w:sz w:val="21"/>
                      <w:szCs w:val="21"/>
                    </w:rPr>
                    <w:t>内。</w:t>
                  </w:r>
                </w:p>
              </w:tc>
              <w:tc>
                <w:tcPr>
                  <w:tcW w:w="771" w:type="dxa"/>
                  <w:tcBorders>
                    <w:tl2br w:val="nil"/>
                    <w:tr2bl w:val="nil"/>
                  </w:tcBorders>
                  <w:vAlign w:val="center"/>
                </w:tcPr>
                <w:p w14:paraId="08948C63">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4F56E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CCE927F">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44F64D9C">
                  <w:pPr>
                    <w:spacing w:line="280" w:lineRule="exact"/>
                    <w:ind w:firstLine="0" w:firstLineChars="0"/>
                    <w:jc w:val="center"/>
                    <w:rPr>
                      <w:color w:val="000000" w:themeColor="text1"/>
                    </w:rPr>
                  </w:pPr>
                </w:p>
              </w:tc>
              <w:tc>
                <w:tcPr>
                  <w:tcW w:w="8207" w:type="dxa"/>
                  <w:tcBorders>
                    <w:tl2br w:val="nil"/>
                    <w:tr2bl w:val="nil"/>
                  </w:tcBorders>
                  <w:vAlign w:val="center"/>
                </w:tcPr>
                <w:p w14:paraId="2C67C8BE">
                  <w:pPr>
                    <w:widowControl/>
                    <w:spacing w:line="280" w:lineRule="exact"/>
                    <w:ind w:firstLine="420"/>
                    <w:jc w:val="left"/>
                    <w:rPr>
                      <w:color w:val="000000" w:themeColor="text1"/>
                      <w:kern w:val="0"/>
                      <w:sz w:val="21"/>
                      <w:szCs w:val="21"/>
                    </w:rPr>
                  </w:pPr>
                  <w:r>
                    <w:rPr>
                      <w:rFonts w:hint="eastAsia"/>
                      <w:color w:val="000000" w:themeColor="text1"/>
                      <w:kern w:val="0"/>
                      <w:sz w:val="21"/>
                      <w:szCs w:val="21"/>
                    </w:rPr>
                    <w:t>7、</w:t>
                  </w:r>
                  <w:r>
                    <w:rPr>
                      <w:rFonts w:hint="eastAsia"/>
                      <w:color w:val="000000" w:themeColor="text1"/>
                      <w:kern w:val="0"/>
                      <w:sz w:val="21"/>
                      <w:szCs w:val="21"/>
                      <w:lang w:val="zh-CN"/>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color w:val="000000" w:themeColor="text1"/>
                      <w:kern w:val="0"/>
                      <w:sz w:val="21"/>
                      <w:szCs w:val="21"/>
                      <w:lang w:val="zh-CN"/>
                    </w:rPr>
                    <w:t>。</w:t>
                  </w:r>
                </w:p>
              </w:tc>
              <w:tc>
                <w:tcPr>
                  <w:tcW w:w="2591" w:type="dxa"/>
                  <w:tcBorders>
                    <w:tl2br w:val="nil"/>
                    <w:tr2bl w:val="nil"/>
                  </w:tcBorders>
                  <w:vAlign w:val="center"/>
                </w:tcPr>
                <w:p w14:paraId="7D5E490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本项目不属于“两高”项目。</w:t>
                  </w:r>
                </w:p>
              </w:tc>
              <w:tc>
                <w:tcPr>
                  <w:tcW w:w="771" w:type="dxa"/>
                  <w:tcBorders>
                    <w:tl2br w:val="nil"/>
                    <w:tr2bl w:val="nil"/>
                  </w:tcBorders>
                  <w:vAlign w:val="center"/>
                </w:tcPr>
                <w:p w14:paraId="77B20A88">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2FFFA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8E043BE">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6CD1BC42">
                  <w:pPr>
                    <w:spacing w:line="280" w:lineRule="exact"/>
                    <w:ind w:firstLine="0" w:firstLineChars="0"/>
                    <w:jc w:val="center"/>
                    <w:rPr>
                      <w:color w:val="000000" w:themeColor="text1"/>
                    </w:rPr>
                  </w:pPr>
                </w:p>
              </w:tc>
              <w:tc>
                <w:tcPr>
                  <w:tcW w:w="8207" w:type="dxa"/>
                  <w:tcBorders>
                    <w:tl2br w:val="nil"/>
                    <w:tr2bl w:val="nil"/>
                  </w:tcBorders>
                  <w:vAlign w:val="center"/>
                </w:tcPr>
                <w:p w14:paraId="2E68F24A">
                  <w:pPr>
                    <w:widowControl/>
                    <w:spacing w:line="280" w:lineRule="exact"/>
                    <w:ind w:firstLine="420"/>
                    <w:jc w:val="left"/>
                    <w:rPr>
                      <w:color w:val="000000" w:themeColor="text1"/>
                      <w:kern w:val="0"/>
                      <w:sz w:val="21"/>
                      <w:szCs w:val="21"/>
                    </w:rPr>
                  </w:pPr>
                  <w:r>
                    <w:rPr>
                      <w:rFonts w:hint="eastAsia"/>
                      <w:color w:val="000000" w:themeColor="text1"/>
                      <w:kern w:val="0"/>
                      <w:sz w:val="21"/>
                      <w:szCs w:val="21"/>
                    </w:rPr>
                    <w:t>8、</w:t>
                  </w:r>
                  <w:r>
                    <w:rPr>
                      <w:rFonts w:hint="eastAsia"/>
                      <w:color w:val="000000" w:themeColor="text1"/>
                      <w:kern w:val="0"/>
                      <w:sz w:val="21"/>
                      <w:szCs w:val="21"/>
                      <w:lang w:val="zh-CN"/>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r>
                    <w:rPr>
                      <w:color w:val="000000" w:themeColor="text1"/>
                      <w:kern w:val="0"/>
                      <w:sz w:val="21"/>
                      <w:szCs w:val="21"/>
                      <w:lang w:val="zh-CN"/>
                    </w:rPr>
                    <w:t>。</w:t>
                  </w:r>
                </w:p>
              </w:tc>
              <w:tc>
                <w:tcPr>
                  <w:tcW w:w="2591" w:type="dxa"/>
                  <w:tcBorders>
                    <w:tl2br w:val="nil"/>
                    <w:tr2bl w:val="nil"/>
                  </w:tcBorders>
                  <w:vAlign w:val="center"/>
                </w:tcPr>
                <w:p w14:paraId="3E06FE84">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本项目不属于</w:t>
                  </w:r>
                  <w:r>
                    <w:rPr>
                      <w:rFonts w:hint="eastAsia"/>
                      <w:color w:val="000000" w:themeColor="text1"/>
                      <w:kern w:val="0"/>
                      <w:sz w:val="21"/>
                      <w:szCs w:val="21"/>
                      <w:lang w:val="zh-CN"/>
                    </w:rPr>
                    <w:t>钢铁冶炼</w:t>
                  </w:r>
                  <w:r>
                    <w:rPr>
                      <w:rFonts w:hint="eastAsia"/>
                      <w:color w:val="000000" w:themeColor="text1"/>
                      <w:kern w:val="0"/>
                      <w:sz w:val="21"/>
                      <w:szCs w:val="21"/>
                    </w:rPr>
                    <w:t>项目。</w:t>
                  </w:r>
                </w:p>
              </w:tc>
              <w:tc>
                <w:tcPr>
                  <w:tcW w:w="771" w:type="dxa"/>
                  <w:tcBorders>
                    <w:tl2br w:val="nil"/>
                    <w:tr2bl w:val="nil"/>
                  </w:tcBorders>
                  <w:vAlign w:val="center"/>
                </w:tcPr>
                <w:p w14:paraId="33E22E08">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17C0F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F59C691">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1F5AF7BE">
                  <w:pPr>
                    <w:spacing w:line="280" w:lineRule="exact"/>
                    <w:ind w:firstLine="0" w:firstLineChars="0"/>
                    <w:jc w:val="center"/>
                    <w:rPr>
                      <w:color w:val="000000" w:themeColor="text1"/>
                    </w:rPr>
                  </w:pPr>
                </w:p>
              </w:tc>
              <w:tc>
                <w:tcPr>
                  <w:tcW w:w="8207" w:type="dxa"/>
                  <w:tcBorders>
                    <w:tl2br w:val="nil"/>
                    <w:tr2bl w:val="nil"/>
                  </w:tcBorders>
                  <w:vAlign w:val="center"/>
                </w:tcPr>
                <w:p w14:paraId="03AF668D">
                  <w:pPr>
                    <w:widowControl/>
                    <w:spacing w:line="280" w:lineRule="exact"/>
                    <w:ind w:firstLine="420"/>
                    <w:jc w:val="left"/>
                    <w:rPr>
                      <w:color w:val="000000" w:themeColor="text1"/>
                      <w:kern w:val="0"/>
                      <w:sz w:val="21"/>
                      <w:szCs w:val="21"/>
                    </w:rPr>
                  </w:pPr>
                  <w:r>
                    <w:rPr>
                      <w:rFonts w:hint="eastAsia"/>
                      <w:color w:val="000000" w:themeColor="text1"/>
                      <w:kern w:val="0"/>
                      <w:sz w:val="21"/>
                      <w:szCs w:val="21"/>
                    </w:rPr>
                    <w:t>9、</w:t>
                  </w:r>
                  <w:r>
                    <w:rPr>
                      <w:rFonts w:hint="eastAsia"/>
                      <w:color w:val="000000" w:themeColor="text1"/>
                      <w:kern w:val="0"/>
                      <w:sz w:val="21"/>
                      <w:szCs w:val="21"/>
                      <w:lang w:val="zh-CN"/>
                    </w:rPr>
                    <w:t>严格规范危化品管理，逐步退出人口聚集区内危化品的生产、储存、加工机构，加快实施重污染企业搬迁；加强居住区生态环境防护，建设封闭式石化园区，严格控制危化品仓储基地、运输路径等，减少对居民生活影响</w:t>
                  </w:r>
                  <w:r>
                    <w:rPr>
                      <w:color w:val="000000" w:themeColor="text1"/>
                      <w:kern w:val="0"/>
                      <w:sz w:val="21"/>
                      <w:szCs w:val="21"/>
                      <w:lang w:val="zh-CN"/>
                    </w:rPr>
                    <w:t>。</w:t>
                  </w:r>
                </w:p>
              </w:tc>
              <w:tc>
                <w:tcPr>
                  <w:tcW w:w="2591" w:type="dxa"/>
                  <w:tcBorders>
                    <w:tl2br w:val="nil"/>
                    <w:tr2bl w:val="nil"/>
                  </w:tcBorders>
                  <w:vAlign w:val="center"/>
                </w:tcPr>
                <w:p w14:paraId="0BAF9BDF">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rFonts w:hint="eastAsia"/>
                      <w:color w:val="000000" w:themeColor="text1"/>
                      <w:kern w:val="0"/>
                      <w:sz w:val="21"/>
                      <w:szCs w:val="21"/>
                      <w:lang w:val="zh-CN"/>
                    </w:rPr>
                    <w:t>危化品的生产、储存、加工机构。</w:t>
                  </w:r>
                </w:p>
              </w:tc>
              <w:tc>
                <w:tcPr>
                  <w:tcW w:w="771" w:type="dxa"/>
                  <w:tcBorders>
                    <w:tl2br w:val="nil"/>
                    <w:tr2bl w:val="nil"/>
                  </w:tcBorders>
                  <w:vAlign w:val="center"/>
                </w:tcPr>
                <w:p w14:paraId="01C3EFFF">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035C1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3DE092A9">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05592AB7">
                  <w:pPr>
                    <w:spacing w:line="280" w:lineRule="exact"/>
                    <w:ind w:firstLine="0" w:firstLineChars="0"/>
                    <w:jc w:val="center"/>
                    <w:rPr>
                      <w:color w:val="000000" w:themeColor="text1"/>
                    </w:rPr>
                  </w:pPr>
                </w:p>
              </w:tc>
              <w:tc>
                <w:tcPr>
                  <w:tcW w:w="8207" w:type="dxa"/>
                  <w:tcBorders>
                    <w:tl2br w:val="nil"/>
                    <w:tr2bl w:val="nil"/>
                  </w:tcBorders>
                  <w:vAlign w:val="center"/>
                </w:tcPr>
                <w:p w14:paraId="378169E2">
                  <w:pPr>
                    <w:widowControl/>
                    <w:spacing w:line="280" w:lineRule="exact"/>
                    <w:ind w:firstLine="420"/>
                    <w:jc w:val="left"/>
                    <w:rPr>
                      <w:color w:val="000000" w:themeColor="text1"/>
                      <w:kern w:val="0"/>
                      <w:sz w:val="21"/>
                      <w:szCs w:val="21"/>
                      <w:lang w:val="zh-CN"/>
                    </w:rPr>
                  </w:pPr>
                  <w:r>
                    <w:rPr>
                      <w:rFonts w:hint="eastAsia"/>
                      <w:color w:val="000000" w:themeColor="text1"/>
                      <w:kern w:val="0"/>
                      <w:sz w:val="21"/>
                      <w:szCs w:val="21"/>
                    </w:rPr>
                    <w:t>10、</w:t>
                  </w:r>
                  <w:r>
                    <w:rPr>
                      <w:rFonts w:hint="eastAsia"/>
                      <w:color w:val="000000" w:themeColor="text1"/>
                      <w:kern w:val="0"/>
                      <w:sz w:val="21"/>
                      <w:szCs w:val="21"/>
                      <w:lang w:val="zh-CN"/>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2591" w:type="dxa"/>
                  <w:tcBorders>
                    <w:tl2br w:val="nil"/>
                    <w:tr2bl w:val="nil"/>
                  </w:tcBorders>
                  <w:vAlign w:val="center"/>
                </w:tcPr>
                <w:p w14:paraId="624BB2F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本项目不属于上述过剩行业，不属于危险化学品生产企业，不属于化工项目。</w:t>
                  </w:r>
                </w:p>
              </w:tc>
              <w:tc>
                <w:tcPr>
                  <w:tcW w:w="771" w:type="dxa"/>
                  <w:tcBorders>
                    <w:tl2br w:val="nil"/>
                    <w:tr2bl w:val="nil"/>
                  </w:tcBorders>
                  <w:vAlign w:val="center"/>
                </w:tcPr>
                <w:p w14:paraId="42000EF0">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04F6F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1834187F">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31D4DD18">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16C2C3B6">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11、</w:t>
                  </w:r>
                  <w:r>
                    <w:rPr>
                      <w:rFonts w:hint="eastAsia"/>
                      <w:color w:val="000000" w:themeColor="text1"/>
                      <w:kern w:val="0"/>
                      <w:sz w:val="21"/>
                      <w:szCs w:val="21"/>
                      <w:lang w:val="zh-CN"/>
                    </w:rPr>
                    <w:t>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r>
                    <w:rPr>
                      <w:color w:val="000000" w:themeColor="text1"/>
                      <w:kern w:val="0"/>
                      <w:sz w:val="21"/>
                      <w:szCs w:val="21"/>
                      <w:lang w:val="zh-CN"/>
                    </w:rPr>
                    <w:t>。</w:t>
                  </w:r>
                </w:p>
              </w:tc>
              <w:tc>
                <w:tcPr>
                  <w:tcW w:w="2591" w:type="dxa"/>
                  <w:tcBorders>
                    <w:tl2br w:val="nil"/>
                    <w:tr2bl w:val="nil"/>
                  </w:tcBorders>
                  <w:vAlign w:val="center"/>
                </w:tcPr>
                <w:p w14:paraId="3BB7E810">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本项目不涉及烧结机、</w:t>
                  </w:r>
                  <w:r>
                    <w:rPr>
                      <w:rFonts w:hint="eastAsia"/>
                      <w:color w:val="000000" w:themeColor="text1"/>
                      <w:kern w:val="0"/>
                      <w:sz w:val="21"/>
                      <w:szCs w:val="21"/>
                      <w:lang w:val="zh-CN"/>
                    </w:rPr>
                    <w:t>球团竖炉</w:t>
                  </w:r>
                  <w:r>
                    <w:rPr>
                      <w:rFonts w:hint="eastAsia"/>
                      <w:color w:val="000000" w:themeColor="text1"/>
                      <w:kern w:val="0"/>
                      <w:sz w:val="21"/>
                      <w:szCs w:val="21"/>
                    </w:rPr>
                    <w:t>等。</w:t>
                  </w:r>
                </w:p>
              </w:tc>
              <w:tc>
                <w:tcPr>
                  <w:tcW w:w="771" w:type="dxa"/>
                  <w:tcBorders>
                    <w:tl2br w:val="nil"/>
                    <w:tr2bl w:val="nil"/>
                  </w:tcBorders>
                  <w:vAlign w:val="center"/>
                </w:tcPr>
                <w:p w14:paraId="37DCBFD1">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2E184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E9C3949">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70588C5F">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652BC33C">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12、</w:t>
                  </w:r>
                  <w:r>
                    <w:rPr>
                      <w:rFonts w:hint="eastAsia"/>
                      <w:color w:val="000000" w:themeColor="text1"/>
                      <w:kern w:val="0"/>
                      <w:sz w:val="21"/>
                      <w:szCs w:val="21"/>
                      <w:lang w:val="zh-CN"/>
                    </w:rPr>
                    <w:t>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tc>
              <w:tc>
                <w:tcPr>
                  <w:tcW w:w="2591" w:type="dxa"/>
                  <w:tcBorders>
                    <w:tl2br w:val="nil"/>
                    <w:tr2bl w:val="nil"/>
                  </w:tcBorders>
                  <w:vAlign w:val="center"/>
                </w:tcPr>
                <w:p w14:paraId="206A84A1">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本项目不涉及高炉、转炉、烧结机。</w:t>
                  </w:r>
                </w:p>
              </w:tc>
              <w:tc>
                <w:tcPr>
                  <w:tcW w:w="771" w:type="dxa"/>
                  <w:tcBorders>
                    <w:tl2br w:val="nil"/>
                    <w:tr2bl w:val="nil"/>
                  </w:tcBorders>
                  <w:vAlign w:val="center"/>
                </w:tcPr>
                <w:p w14:paraId="28163BA6">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4AB31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602DDA8">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2F428CB1">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328DD691">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13、</w:t>
                  </w:r>
                  <w:r>
                    <w:rPr>
                      <w:rFonts w:hint="eastAsia"/>
                      <w:color w:val="000000" w:themeColor="text1"/>
                      <w:kern w:val="0"/>
                      <w:sz w:val="21"/>
                      <w:szCs w:val="21"/>
                      <w:lang w:val="zh-CN"/>
                    </w:rPr>
                    <w:t>尚未配备脱硫装置的球团竖炉，立即停产淘汰，不再予以改造；烧结厂房实现全封闭</w:t>
                  </w:r>
                  <w:r>
                    <w:rPr>
                      <w:color w:val="000000" w:themeColor="text1"/>
                      <w:kern w:val="0"/>
                      <w:sz w:val="21"/>
                      <w:szCs w:val="21"/>
                      <w:lang w:val="zh-CN"/>
                    </w:rPr>
                    <w:t>。</w:t>
                  </w:r>
                </w:p>
              </w:tc>
              <w:tc>
                <w:tcPr>
                  <w:tcW w:w="2591" w:type="dxa"/>
                  <w:tcBorders>
                    <w:tl2br w:val="nil"/>
                    <w:tr2bl w:val="nil"/>
                  </w:tcBorders>
                  <w:vAlign w:val="center"/>
                </w:tcPr>
                <w:p w14:paraId="475BF236">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本项目不涉及</w:t>
                  </w:r>
                  <w:r>
                    <w:rPr>
                      <w:color w:val="000000" w:themeColor="text1"/>
                      <w:kern w:val="0"/>
                      <w:sz w:val="21"/>
                      <w:szCs w:val="21"/>
                      <w:lang w:val="zh-CN"/>
                    </w:rPr>
                    <w:t>球团竖炉</w:t>
                  </w:r>
                  <w:r>
                    <w:rPr>
                      <w:rFonts w:hint="eastAsia"/>
                      <w:color w:val="000000" w:themeColor="text1"/>
                      <w:kern w:val="0"/>
                      <w:sz w:val="21"/>
                      <w:szCs w:val="21"/>
                      <w:lang w:val="zh-CN"/>
                    </w:rPr>
                    <w:t>、</w:t>
                  </w:r>
                  <w:r>
                    <w:rPr>
                      <w:rFonts w:hint="eastAsia"/>
                      <w:color w:val="000000" w:themeColor="text1"/>
                      <w:kern w:val="0"/>
                      <w:sz w:val="21"/>
                      <w:szCs w:val="21"/>
                    </w:rPr>
                    <w:t>烧结厂房。</w:t>
                  </w:r>
                </w:p>
              </w:tc>
              <w:tc>
                <w:tcPr>
                  <w:tcW w:w="771" w:type="dxa"/>
                  <w:tcBorders>
                    <w:tl2br w:val="nil"/>
                    <w:tr2bl w:val="nil"/>
                  </w:tcBorders>
                  <w:vAlign w:val="center"/>
                </w:tcPr>
                <w:p w14:paraId="67BAEF74">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616B8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2CEB43E3">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2B788676">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052878EA">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14、</w:t>
                  </w:r>
                  <w:r>
                    <w:rPr>
                      <w:rFonts w:hint="eastAsia"/>
                      <w:color w:val="000000" w:themeColor="text1"/>
                      <w:kern w:val="0"/>
                      <w:sz w:val="21"/>
                      <w:szCs w:val="21"/>
                      <w:lang w:val="zh-CN"/>
                    </w:rPr>
                    <w:t>严禁备案和新建扩大产能的水泥熟料、平板玻璃项目。确有必要新建的，必须制定产能置换方案，实施产能置换。用于产能置换的生产线，必须在建设项目投产前关停并完成拆除退出</w:t>
                  </w:r>
                  <w:r>
                    <w:rPr>
                      <w:color w:val="000000" w:themeColor="text1"/>
                      <w:kern w:val="0"/>
                      <w:sz w:val="21"/>
                      <w:szCs w:val="21"/>
                      <w:lang w:val="zh-CN"/>
                    </w:rPr>
                    <w:t>。</w:t>
                  </w:r>
                </w:p>
              </w:tc>
              <w:tc>
                <w:tcPr>
                  <w:tcW w:w="2591" w:type="dxa"/>
                  <w:tcBorders>
                    <w:tl2br w:val="nil"/>
                    <w:tr2bl w:val="nil"/>
                  </w:tcBorders>
                  <w:vAlign w:val="center"/>
                </w:tcPr>
                <w:p w14:paraId="76BE1BD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kern w:val="0"/>
                      <w:sz w:val="21"/>
                      <w:szCs w:val="21"/>
                      <w:lang w:val="zh-CN"/>
                    </w:rPr>
                    <w:t>水泥熟料、平板玻璃项目</w:t>
                  </w:r>
                  <w:r>
                    <w:rPr>
                      <w:rFonts w:hint="eastAsia"/>
                      <w:color w:val="000000" w:themeColor="text1"/>
                      <w:kern w:val="0"/>
                      <w:sz w:val="21"/>
                      <w:szCs w:val="21"/>
                      <w:lang w:val="zh-CN"/>
                    </w:rPr>
                    <w:t>。</w:t>
                  </w:r>
                </w:p>
              </w:tc>
              <w:tc>
                <w:tcPr>
                  <w:tcW w:w="771" w:type="dxa"/>
                  <w:tcBorders>
                    <w:tl2br w:val="nil"/>
                    <w:tr2bl w:val="nil"/>
                  </w:tcBorders>
                  <w:vAlign w:val="center"/>
                </w:tcPr>
                <w:p w14:paraId="53D3081F">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307DC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4EA43E5">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58C20DB0">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61FD5E0D">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15、</w:t>
                  </w:r>
                  <w:r>
                    <w:rPr>
                      <w:rFonts w:hint="eastAsia"/>
                      <w:color w:val="000000" w:themeColor="text1"/>
                      <w:kern w:val="0"/>
                      <w:sz w:val="21"/>
                      <w:szCs w:val="21"/>
                      <w:lang w:val="zh-CN"/>
                    </w:rPr>
                    <w:t>引导和支持优势水泥熟料企业开展对单独粉磨企业的整合</w:t>
                  </w:r>
                  <w:r>
                    <w:rPr>
                      <w:color w:val="000000" w:themeColor="text1"/>
                      <w:kern w:val="0"/>
                      <w:sz w:val="21"/>
                      <w:szCs w:val="21"/>
                      <w:lang w:val="zh-CN"/>
                    </w:rPr>
                    <w:t>。</w:t>
                  </w:r>
                </w:p>
              </w:tc>
              <w:tc>
                <w:tcPr>
                  <w:tcW w:w="2591" w:type="dxa"/>
                  <w:tcBorders>
                    <w:tl2br w:val="nil"/>
                    <w:tr2bl w:val="nil"/>
                  </w:tcBorders>
                  <w:vAlign w:val="center"/>
                </w:tcPr>
                <w:p w14:paraId="3398108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kern w:val="0"/>
                      <w:sz w:val="21"/>
                      <w:szCs w:val="21"/>
                      <w:lang w:val="zh-CN"/>
                    </w:rPr>
                    <w:t>单独粉磨企业</w:t>
                  </w:r>
                  <w:r>
                    <w:rPr>
                      <w:rFonts w:hint="eastAsia"/>
                      <w:color w:val="000000" w:themeColor="text1"/>
                      <w:kern w:val="0"/>
                      <w:sz w:val="21"/>
                      <w:szCs w:val="21"/>
                      <w:lang w:val="zh-CN"/>
                    </w:rPr>
                    <w:t>。</w:t>
                  </w:r>
                </w:p>
              </w:tc>
              <w:tc>
                <w:tcPr>
                  <w:tcW w:w="771" w:type="dxa"/>
                  <w:tcBorders>
                    <w:tl2br w:val="nil"/>
                    <w:tr2bl w:val="nil"/>
                  </w:tcBorders>
                  <w:vAlign w:val="center"/>
                </w:tcPr>
                <w:p w14:paraId="0860F3D4">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029C1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29E564DA">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4BB29E8A">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3B9B9FA0">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16、</w:t>
                  </w:r>
                  <w:r>
                    <w:rPr>
                      <w:rFonts w:hint="eastAsia"/>
                      <w:color w:val="000000" w:themeColor="text1"/>
                      <w:kern w:val="0"/>
                      <w:sz w:val="21"/>
                      <w:szCs w:val="21"/>
                      <w:lang w:val="zh-CN"/>
                    </w:rPr>
                    <w:t>平板玻璃行业生产布局应满足《平板玻璃行业规范条件》要求</w:t>
                  </w:r>
                  <w:r>
                    <w:rPr>
                      <w:color w:val="000000" w:themeColor="text1"/>
                      <w:kern w:val="0"/>
                      <w:sz w:val="21"/>
                      <w:szCs w:val="21"/>
                      <w:lang w:val="zh-CN"/>
                    </w:rPr>
                    <w:t>。</w:t>
                  </w:r>
                </w:p>
              </w:tc>
              <w:tc>
                <w:tcPr>
                  <w:tcW w:w="2591" w:type="dxa"/>
                  <w:tcBorders>
                    <w:tl2br w:val="nil"/>
                    <w:tr2bl w:val="nil"/>
                  </w:tcBorders>
                  <w:vAlign w:val="center"/>
                </w:tcPr>
                <w:p w14:paraId="552A17F4">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kern w:val="0"/>
                      <w:sz w:val="21"/>
                      <w:szCs w:val="21"/>
                      <w:lang w:val="zh-CN"/>
                    </w:rPr>
                    <w:t>平板玻璃项目</w:t>
                  </w:r>
                  <w:r>
                    <w:rPr>
                      <w:rFonts w:hint="eastAsia"/>
                      <w:color w:val="000000" w:themeColor="text1"/>
                      <w:kern w:val="0"/>
                      <w:sz w:val="21"/>
                      <w:szCs w:val="21"/>
                      <w:lang w:val="zh-CN"/>
                    </w:rPr>
                    <w:t>。</w:t>
                  </w:r>
                </w:p>
              </w:tc>
              <w:tc>
                <w:tcPr>
                  <w:tcW w:w="771" w:type="dxa"/>
                  <w:tcBorders>
                    <w:tl2br w:val="nil"/>
                    <w:tr2bl w:val="nil"/>
                  </w:tcBorders>
                  <w:vAlign w:val="center"/>
                </w:tcPr>
                <w:p w14:paraId="24E6E95A">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2DB75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3F8F829D">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71D5F5FA">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6F3ABA13">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17、</w:t>
                  </w:r>
                  <w:r>
                    <w:rPr>
                      <w:rFonts w:hint="eastAsia"/>
                      <w:color w:val="000000" w:themeColor="text1"/>
                      <w:kern w:val="0"/>
                      <w:sz w:val="21"/>
                      <w:szCs w:val="21"/>
                      <w:lang w:val="zh-CN"/>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r>
                    <w:rPr>
                      <w:color w:val="000000" w:themeColor="text1"/>
                      <w:kern w:val="0"/>
                      <w:sz w:val="21"/>
                      <w:szCs w:val="21"/>
                      <w:lang w:val="zh-CN"/>
                    </w:rPr>
                    <w:t>。</w:t>
                  </w:r>
                </w:p>
              </w:tc>
              <w:tc>
                <w:tcPr>
                  <w:tcW w:w="2591" w:type="dxa"/>
                  <w:tcBorders>
                    <w:tl2br w:val="nil"/>
                    <w:tr2bl w:val="nil"/>
                  </w:tcBorders>
                  <w:vAlign w:val="center"/>
                </w:tcPr>
                <w:p w14:paraId="5C41DD9E">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本项目不属于上述项目。</w:t>
                  </w:r>
                </w:p>
              </w:tc>
              <w:tc>
                <w:tcPr>
                  <w:tcW w:w="771" w:type="dxa"/>
                  <w:tcBorders>
                    <w:tl2br w:val="nil"/>
                    <w:tr2bl w:val="nil"/>
                  </w:tcBorders>
                  <w:vAlign w:val="center"/>
                </w:tcPr>
                <w:p w14:paraId="38FBDA30">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33A63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4076A72A">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4F93AE0C">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vAlign w:val="center"/>
                </w:tcPr>
                <w:p w14:paraId="7E725F0C">
                  <w:pPr>
                    <w:widowControl/>
                    <w:spacing w:line="280" w:lineRule="exact"/>
                    <w:ind w:firstLine="420"/>
                    <w:jc w:val="left"/>
                    <w:rPr>
                      <w:color w:val="000000" w:themeColor="text1"/>
                      <w:kern w:val="0"/>
                      <w:sz w:val="21"/>
                      <w:szCs w:val="21"/>
                      <w:lang w:val="zh-CN"/>
                    </w:rPr>
                  </w:pPr>
                  <w:r>
                    <w:rPr>
                      <w:color w:val="000000" w:themeColor="text1"/>
                      <w:kern w:val="0"/>
                      <w:sz w:val="21"/>
                      <w:szCs w:val="21"/>
                      <w:lang w:val="zh-CN"/>
                    </w:rPr>
                    <w:t>18、</w:t>
                  </w:r>
                  <w:r>
                    <w:rPr>
                      <w:rFonts w:hint="eastAsia"/>
                      <w:color w:val="000000" w:themeColor="text1"/>
                      <w:kern w:val="0"/>
                      <w:sz w:val="21"/>
                      <w:szCs w:val="21"/>
                      <w:lang w:val="zh-CN"/>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r>
                    <w:rPr>
                      <w:color w:val="000000" w:themeColor="text1"/>
                      <w:kern w:val="0"/>
                      <w:sz w:val="21"/>
                      <w:szCs w:val="21"/>
                      <w:lang w:val="zh-CN"/>
                    </w:rPr>
                    <w:t>。</w:t>
                  </w:r>
                </w:p>
              </w:tc>
              <w:tc>
                <w:tcPr>
                  <w:tcW w:w="2591" w:type="dxa"/>
                  <w:tcBorders>
                    <w:tl2br w:val="nil"/>
                    <w:tr2bl w:val="nil"/>
                  </w:tcBorders>
                  <w:vAlign w:val="center"/>
                </w:tcPr>
                <w:p w14:paraId="31FD1A6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本项目不属于上述项目。</w:t>
                  </w:r>
                </w:p>
              </w:tc>
              <w:tc>
                <w:tcPr>
                  <w:tcW w:w="771" w:type="dxa"/>
                  <w:tcBorders>
                    <w:tl2br w:val="nil"/>
                    <w:tr2bl w:val="nil"/>
                  </w:tcBorders>
                  <w:vAlign w:val="center"/>
                </w:tcPr>
                <w:p w14:paraId="40119536">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rPr>
                    <w:t>符合</w:t>
                  </w:r>
                </w:p>
              </w:tc>
            </w:tr>
            <w:tr w14:paraId="37169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restart"/>
                  <w:tcBorders>
                    <w:tl2br w:val="nil"/>
                    <w:tr2bl w:val="nil"/>
                  </w:tcBorders>
                  <w:vAlign w:val="center"/>
                </w:tcPr>
                <w:p w14:paraId="45875400">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lang w:val="zh-CN"/>
                    </w:rPr>
                    <w:t>项目入园准入要求</w:t>
                  </w:r>
                </w:p>
              </w:tc>
              <w:tc>
                <w:tcPr>
                  <w:tcW w:w="773" w:type="dxa"/>
                  <w:vMerge w:val="restart"/>
                  <w:tcBorders>
                    <w:tl2br w:val="nil"/>
                    <w:tr2bl w:val="nil"/>
                  </w:tcBorders>
                  <w:vAlign w:val="center"/>
                </w:tcPr>
                <w:p w14:paraId="72022C74">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lang w:val="zh-CN"/>
                    </w:rPr>
                    <w:t>空间布局约束</w:t>
                  </w:r>
                </w:p>
              </w:tc>
              <w:tc>
                <w:tcPr>
                  <w:tcW w:w="8207" w:type="dxa"/>
                  <w:tcBorders>
                    <w:tl2br w:val="nil"/>
                    <w:tr2bl w:val="nil"/>
                  </w:tcBorders>
                  <w:shd w:val="clear" w:color="auto" w:fill="auto"/>
                  <w:vAlign w:val="center"/>
                </w:tcPr>
                <w:p w14:paraId="1F3037B9">
                  <w:pPr>
                    <w:tabs>
                      <w:tab w:val="left" w:pos="2517"/>
                    </w:tabs>
                    <w:spacing w:line="240" w:lineRule="auto"/>
                    <w:ind w:firstLine="444"/>
                    <w:rPr>
                      <w:rFonts w:ascii="宋体" w:hAnsi="宋体" w:cs="宋体"/>
                      <w:color w:val="000000" w:themeColor="text1"/>
                      <w:sz w:val="21"/>
                      <w:szCs w:val="21"/>
                      <w:lang w:val="zh-CN"/>
                    </w:rPr>
                  </w:pPr>
                  <w:r>
                    <w:rPr>
                      <w:rFonts w:eastAsia="Times New Roman"/>
                      <w:color w:val="000000" w:themeColor="text1"/>
                      <w:spacing w:val="6"/>
                      <w:sz w:val="21"/>
                      <w:szCs w:val="21"/>
                    </w:rPr>
                    <w:t>1</w:t>
                  </w:r>
                  <w:r>
                    <w:rPr>
                      <w:rFonts w:hint="eastAsia"/>
                      <w:color w:val="000000" w:themeColor="text1"/>
                      <w:spacing w:val="-15"/>
                      <w:sz w:val="21"/>
                      <w:szCs w:val="21"/>
                    </w:rPr>
                    <w:t>、</w:t>
                  </w:r>
                  <w:r>
                    <w:rPr>
                      <w:color w:val="000000" w:themeColor="text1"/>
                      <w:spacing w:val="6"/>
                      <w:sz w:val="21"/>
                      <w:szCs w:val="21"/>
                    </w:rPr>
                    <w:t>禁止资源消耗高、环境污染重、废物难处理、不符合国家、河北省、唐山市产业政策的落</w:t>
                  </w:r>
                  <w:r>
                    <w:rPr>
                      <w:color w:val="000000" w:themeColor="text1"/>
                      <w:spacing w:val="8"/>
                      <w:sz w:val="21"/>
                      <w:szCs w:val="21"/>
                    </w:rPr>
                    <w:t>后生产技术、工艺、装备和产品进入工业园区。</w:t>
                  </w:r>
                </w:p>
              </w:tc>
              <w:tc>
                <w:tcPr>
                  <w:tcW w:w="2591" w:type="dxa"/>
                  <w:tcBorders>
                    <w:tl2br w:val="nil"/>
                    <w:tr2bl w:val="nil"/>
                  </w:tcBorders>
                  <w:vAlign w:val="center"/>
                </w:tcPr>
                <w:p w14:paraId="613158DB">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本项目不属于</w:t>
                  </w:r>
                  <w:r>
                    <w:rPr>
                      <w:color w:val="000000" w:themeColor="text1"/>
                      <w:spacing w:val="6"/>
                      <w:sz w:val="21"/>
                      <w:szCs w:val="21"/>
                    </w:rPr>
                    <w:t>资源消耗高、环境污染重、废物难处理</w:t>
                  </w:r>
                  <w:r>
                    <w:rPr>
                      <w:rFonts w:hint="eastAsia"/>
                      <w:color w:val="000000" w:themeColor="text1"/>
                      <w:spacing w:val="6"/>
                      <w:sz w:val="21"/>
                      <w:szCs w:val="21"/>
                    </w:rPr>
                    <w:t>的项目，不属于</w:t>
                  </w:r>
                  <w:r>
                    <w:rPr>
                      <w:color w:val="000000" w:themeColor="text1"/>
                      <w:spacing w:val="6"/>
                      <w:sz w:val="21"/>
                      <w:szCs w:val="21"/>
                    </w:rPr>
                    <w:t>国家、河北省、唐山市产业政策</w:t>
                  </w:r>
                  <w:r>
                    <w:rPr>
                      <w:rFonts w:hint="eastAsia"/>
                      <w:color w:val="000000" w:themeColor="text1"/>
                      <w:spacing w:val="6"/>
                      <w:sz w:val="21"/>
                      <w:szCs w:val="21"/>
                    </w:rPr>
                    <w:t>的落后生产技术、工艺、装备和产品。</w:t>
                  </w:r>
                </w:p>
              </w:tc>
              <w:tc>
                <w:tcPr>
                  <w:tcW w:w="771" w:type="dxa"/>
                  <w:tcBorders>
                    <w:tl2br w:val="nil"/>
                    <w:tr2bl w:val="nil"/>
                  </w:tcBorders>
                  <w:vAlign w:val="center"/>
                </w:tcPr>
                <w:p w14:paraId="76EDA2F0">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4319A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18FA905B">
                  <w:pPr>
                    <w:spacing w:line="280" w:lineRule="exact"/>
                    <w:ind w:firstLine="0" w:firstLineChars="0"/>
                    <w:jc w:val="center"/>
                    <w:rPr>
                      <w:color w:val="000000" w:themeColor="text1"/>
                    </w:rPr>
                  </w:pPr>
                </w:p>
              </w:tc>
              <w:tc>
                <w:tcPr>
                  <w:tcW w:w="773" w:type="dxa"/>
                  <w:vMerge w:val="continue"/>
                  <w:tcBorders>
                    <w:tl2br w:val="nil"/>
                    <w:tr2bl w:val="nil"/>
                  </w:tcBorders>
                  <w:vAlign w:val="center"/>
                </w:tcPr>
                <w:p w14:paraId="191BA659">
                  <w:pPr>
                    <w:spacing w:line="280" w:lineRule="exact"/>
                    <w:ind w:firstLine="0" w:firstLineChars="0"/>
                    <w:jc w:val="center"/>
                    <w:rPr>
                      <w:color w:val="000000" w:themeColor="text1"/>
                    </w:rPr>
                  </w:pPr>
                </w:p>
              </w:tc>
              <w:tc>
                <w:tcPr>
                  <w:tcW w:w="8207" w:type="dxa"/>
                  <w:tcBorders>
                    <w:tl2br w:val="nil"/>
                    <w:tr2bl w:val="nil"/>
                  </w:tcBorders>
                  <w:shd w:val="clear" w:color="auto" w:fill="auto"/>
                  <w:vAlign w:val="center"/>
                </w:tcPr>
                <w:p w14:paraId="2E5B5871">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2</w:t>
                  </w:r>
                  <w:r>
                    <w:rPr>
                      <w:rFonts w:hint="eastAsia"/>
                      <w:color w:val="000000" w:themeColor="text1"/>
                      <w:spacing w:val="7"/>
                      <w:sz w:val="21"/>
                      <w:szCs w:val="21"/>
                      <w:lang w:eastAsia="zh-CN"/>
                    </w:rPr>
                    <w:t>、</w:t>
                  </w:r>
                  <w:r>
                    <w:rPr>
                      <w:color w:val="000000" w:themeColor="text1"/>
                      <w:spacing w:val="7"/>
                      <w:sz w:val="21"/>
                      <w:szCs w:val="21"/>
                      <w:lang w:eastAsia="zh-CN"/>
                    </w:rPr>
                    <w:t>加强企业入区管理，严格按照工业园区规划产业定位及产业布局安排入区项目，禁止不符</w:t>
                  </w:r>
                  <w:r>
                    <w:rPr>
                      <w:color w:val="000000" w:themeColor="text1"/>
                      <w:spacing w:val="10"/>
                      <w:sz w:val="21"/>
                      <w:szCs w:val="21"/>
                      <w:lang w:eastAsia="zh-CN"/>
                    </w:rPr>
                    <w:t>工业园区产业定位的项目入驻。合理安排工业园区发展时序，入驻企业选址与周围居民点的</w:t>
                  </w:r>
                  <w:r>
                    <w:rPr>
                      <w:color w:val="000000" w:themeColor="text1"/>
                      <w:spacing w:val="9"/>
                      <w:sz w:val="21"/>
                      <w:szCs w:val="21"/>
                      <w:lang w:eastAsia="zh-CN"/>
                    </w:rPr>
                    <w:t>距离应满足大气环境防护距离要求，生活空间周边禁止布局高噪声生产企业。</w:t>
                  </w:r>
                </w:p>
              </w:tc>
              <w:tc>
                <w:tcPr>
                  <w:tcW w:w="2591" w:type="dxa"/>
                  <w:tcBorders>
                    <w:tl2br w:val="nil"/>
                    <w:tr2bl w:val="nil"/>
                  </w:tcBorders>
                  <w:vAlign w:val="center"/>
                </w:tcPr>
                <w:p w14:paraId="677FFCDD">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本项目位于唐山市曹妃甸装备制造产业园区内，以原木加工厂的原木锯末为原料，生产生物质能源颗粒，</w:t>
                  </w:r>
                  <w:r>
                    <w:rPr>
                      <w:rFonts w:hint="eastAsia"/>
                      <w:color w:val="000000" w:themeColor="text1"/>
                      <w:sz w:val="21"/>
                      <w:szCs w:val="21"/>
                    </w:rPr>
                    <w:t>属于木材深加工的下游产业及关联产业，不属于装备制造园区禁止类和限制类项目</w:t>
                  </w:r>
                  <w:r>
                    <w:rPr>
                      <w:rFonts w:hint="eastAsia"/>
                      <w:color w:val="000000" w:themeColor="text1"/>
                      <w:kern w:val="0"/>
                      <w:sz w:val="21"/>
                      <w:szCs w:val="21"/>
                    </w:rPr>
                    <w:t>；本项目厂界外500m范围内无环境敏感目标</w:t>
                  </w:r>
                  <w:r>
                    <w:rPr>
                      <w:rFonts w:hint="eastAsia"/>
                      <w:color w:val="000000" w:themeColor="text1"/>
                      <w:sz w:val="21"/>
                      <w:szCs w:val="21"/>
                    </w:rPr>
                    <w:t>，采取环评提出的各项环保治理措施后，项目的实施不会对周边环境产生明显不利影响。</w:t>
                  </w:r>
                </w:p>
              </w:tc>
              <w:tc>
                <w:tcPr>
                  <w:tcW w:w="771" w:type="dxa"/>
                  <w:tcBorders>
                    <w:tl2br w:val="nil"/>
                    <w:tr2bl w:val="nil"/>
                  </w:tcBorders>
                  <w:vAlign w:val="center"/>
                </w:tcPr>
                <w:p w14:paraId="52566558">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31590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0DC2EF56">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1E447025">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shd w:val="clear" w:color="auto" w:fill="auto"/>
                  <w:vAlign w:val="center"/>
                </w:tcPr>
                <w:p w14:paraId="00768FE8">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3</w:t>
                  </w:r>
                  <w:r>
                    <w:rPr>
                      <w:rFonts w:hint="eastAsia" w:ascii="Times New Roman" w:hAnsi="Times New Roman" w:cs="Times New Roman"/>
                      <w:color w:val="000000" w:themeColor="text1"/>
                      <w:spacing w:val="-26"/>
                      <w:sz w:val="21"/>
                      <w:szCs w:val="21"/>
                      <w:lang w:eastAsia="zh-CN"/>
                    </w:rPr>
                    <w:t>、</w:t>
                  </w:r>
                  <w:r>
                    <w:rPr>
                      <w:color w:val="000000" w:themeColor="text1"/>
                      <w:spacing w:val="7"/>
                      <w:sz w:val="21"/>
                      <w:szCs w:val="21"/>
                      <w:lang w:eastAsia="zh-CN"/>
                    </w:rPr>
                    <w:t>县级以下一律不再建设新的园区，造纸、焦化、氮肥、有色金属</w:t>
                  </w:r>
                  <w:r>
                    <w:rPr>
                      <w:color w:val="000000" w:themeColor="text1"/>
                      <w:spacing w:val="6"/>
                      <w:sz w:val="21"/>
                      <w:szCs w:val="21"/>
                      <w:lang w:eastAsia="zh-CN"/>
                    </w:rPr>
                    <w:t>、印染、原料药制造、皮</w:t>
                  </w:r>
                  <w:r>
                    <w:rPr>
                      <w:color w:val="000000" w:themeColor="text1"/>
                      <w:spacing w:val="9"/>
                      <w:sz w:val="21"/>
                      <w:szCs w:val="21"/>
                      <w:lang w:eastAsia="zh-CN"/>
                    </w:rPr>
                    <w:t>革、农药、</w:t>
                  </w:r>
                  <w:r>
                    <w:rPr>
                      <w:color w:val="000000" w:themeColor="text1"/>
                      <w:spacing w:val="-57"/>
                      <w:sz w:val="21"/>
                      <w:szCs w:val="21"/>
                      <w:lang w:eastAsia="zh-CN"/>
                    </w:rPr>
                    <w:t xml:space="preserve"> </w:t>
                  </w:r>
                  <w:r>
                    <w:rPr>
                      <w:color w:val="000000" w:themeColor="text1"/>
                      <w:spacing w:val="9"/>
                      <w:sz w:val="21"/>
                      <w:szCs w:val="21"/>
                      <w:lang w:eastAsia="zh-CN"/>
                    </w:rPr>
                    <w:t>电镀、钢铁、石灰、平板玻璃、石化、化工等高污染工业项目必须入园进区，其他工业项目原则上也不在园区外布局，认定为化工重点监控点的企业项目除外。</w:t>
                  </w:r>
                </w:p>
              </w:tc>
              <w:tc>
                <w:tcPr>
                  <w:tcW w:w="2591" w:type="dxa"/>
                  <w:tcBorders>
                    <w:tl2br w:val="nil"/>
                    <w:tr2bl w:val="nil"/>
                  </w:tcBorders>
                  <w:vAlign w:val="center"/>
                </w:tcPr>
                <w:p w14:paraId="03DA5108">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本项目位于唐山市曹妃甸装备制造产业园区内，不属于上述</w:t>
                  </w:r>
                  <w:r>
                    <w:rPr>
                      <w:color w:val="000000" w:themeColor="text1"/>
                      <w:spacing w:val="9"/>
                      <w:sz w:val="21"/>
                      <w:szCs w:val="21"/>
                    </w:rPr>
                    <w:t>高污染工业项目</w:t>
                  </w:r>
                  <w:r>
                    <w:rPr>
                      <w:rFonts w:hint="eastAsia"/>
                      <w:color w:val="000000" w:themeColor="text1"/>
                      <w:spacing w:val="9"/>
                      <w:sz w:val="21"/>
                      <w:szCs w:val="21"/>
                    </w:rPr>
                    <w:t>。</w:t>
                  </w:r>
                </w:p>
              </w:tc>
              <w:tc>
                <w:tcPr>
                  <w:tcW w:w="771" w:type="dxa"/>
                  <w:tcBorders>
                    <w:tl2br w:val="nil"/>
                    <w:tr2bl w:val="nil"/>
                  </w:tcBorders>
                  <w:vAlign w:val="center"/>
                </w:tcPr>
                <w:p w14:paraId="69FC4B5F">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1E1EA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594D0FC9">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0F329F20">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shd w:val="clear" w:color="auto" w:fill="auto"/>
                  <w:vAlign w:val="center"/>
                </w:tcPr>
                <w:p w14:paraId="1F24C028">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4</w:t>
                  </w:r>
                  <w:r>
                    <w:rPr>
                      <w:rFonts w:hint="eastAsia" w:ascii="Times New Roman" w:hAnsi="Times New Roman" w:cs="Times New Roman"/>
                      <w:color w:val="000000" w:themeColor="text1"/>
                      <w:spacing w:val="-26"/>
                      <w:sz w:val="21"/>
                      <w:szCs w:val="21"/>
                      <w:lang w:eastAsia="zh-CN"/>
                    </w:rPr>
                    <w:t>、</w:t>
                  </w:r>
                  <w:r>
                    <w:rPr>
                      <w:color w:val="000000" w:themeColor="text1"/>
                      <w:spacing w:val="7"/>
                      <w:sz w:val="21"/>
                      <w:szCs w:val="21"/>
                      <w:lang w:eastAsia="zh-CN"/>
                    </w:rPr>
                    <w:t>新建、升级工业园区（工业集聚区）必须同步规划、建设污水、垃圾集中处</w:t>
                  </w:r>
                  <w:r>
                    <w:rPr>
                      <w:color w:val="000000" w:themeColor="text1"/>
                      <w:spacing w:val="6"/>
                      <w:sz w:val="21"/>
                      <w:szCs w:val="21"/>
                      <w:lang w:eastAsia="zh-CN"/>
                    </w:rPr>
                    <w:t>理等污染治理</w:t>
                  </w:r>
                  <w:r>
                    <w:rPr>
                      <w:color w:val="000000" w:themeColor="text1"/>
                      <w:spacing w:val="10"/>
                      <w:sz w:val="21"/>
                      <w:szCs w:val="21"/>
                      <w:lang w:eastAsia="zh-CN"/>
                    </w:rPr>
                    <w:t>设施。所有工业园区全部建成污水集中处理设施，并安装自动在线监控装置。加快完善工业园区</w:t>
                  </w:r>
                  <w:r>
                    <w:rPr>
                      <w:color w:val="000000" w:themeColor="text1"/>
                      <w:spacing w:val="9"/>
                      <w:sz w:val="21"/>
                      <w:szCs w:val="21"/>
                      <w:lang w:eastAsia="zh-CN"/>
                    </w:rPr>
                    <w:t>配套污水管网，推进“清污分流、雨污分流</w:t>
                  </w:r>
                  <w:r>
                    <w:rPr>
                      <w:color w:val="000000" w:themeColor="text1"/>
                      <w:spacing w:val="-58"/>
                      <w:sz w:val="21"/>
                      <w:szCs w:val="21"/>
                      <w:lang w:eastAsia="zh-CN"/>
                    </w:rPr>
                    <w:t xml:space="preserve"> </w:t>
                  </w:r>
                  <w:r>
                    <w:rPr>
                      <w:color w:val="000000" w:themeColor="text1"/>
                      <w:spacing w:val="9"/>
                      <w:sz w:val="21"/>
                      <w:szCs w:val="21"/>
                      <w:lang w:eastAsia="zh-CN"/>
                    </w:rPr>
                    <w:t>”，实现园区内工业企业废水统一收集，集中处理，</w:t>
                  </w:r>
                  <w:r>
                    <w:rPr>
                      <w:color w:val="000000" w:themeColor="text1"/>
                      <w:spacing w:val="10"/>
                      <w:sz w:val="21"/>
                      <w:szCs w:val="21"/>
                      <w:lang w:eastAsia="zh-CN"/>
                    </w:rPr>
                    <w:t>污水集中处理设施稳定达标运行。推进重点流域工业园区污水集中处理设施提标改造，推进工业</w:t>
                  </w:r>
                  <w:r>
                    <w:rPr>
                      <w:color w:val="000000" w:themeColor="text1"/>
                      <w:spacing w:val="8"/>
                      <w:sz w:val="21"/>
                      <w:szCs w:val="21"/>
                      <w:lang w:eastAsia="zh-CN"/>
                    </w:rPr>
                    <w:t>园区“一园一档</w:t>
                  </w:r>
                  <w:r>
                    <w:rPr>
                      <w:color w:val="000000" w:themeColor="text1"/>
                      <w:spacing w:val="-70"/>
                      <w:sz w:val="21"/>
                      <w:szCs w:val="21"/>
                      <w:lang w:eastAsia="zh-CN"/>
                    </w:rPr>
                    <w:t xml:space="preserve"> </w:t>
                  </w:r>
                  <w:r>
                    <w:rPr>
                      <w:color w:val="000000" w:themeColor="text1"/>
                      <w:spacing w:val="8"/>
                      <w:sz w:val="21"/>
                      <w:szCs w:val="21"/>
                      <w:lang w:eastAsia="zh-CN"/>
                    </w:rPr>
                    <w:t>”、“一企一册</w:t>
                  </w:r>
                  <w:r>
                    <w:rPr>
                      <w:color w:val="000000" w:themeColor="text1"/>
                      <w:spacing w:val="-71"/>
                      <w:sz w:val="21"/>
                      <w:szCs w:val="21"/>
                      <w:lang w:eastAsia="zh-CN"/>
                    </w:rPr>
                    <w:t xml:space="preserve"> </w:t>
                  </w:r>
                  <w:r>
                    <w:rPr>
                      <w:color w:val="000000" w:themeColor="text1"/>
                      <w:spacing w:val="8"/>
                      <w:sz w:val="21"/>
                      <w:szCs w:val="21"/>
                      <w:lang w:eastAsia="zh-CN"/>
                    </w:rPr>
                    <w:t>”环保管理制度建设，逐步规范完善园区水环境管理台账。</w:t>
                  </w:r>
                </w:p>
              </w:tc>
              <w:tc>
                <w:tcPr>
                  <w:tcW w:w="2591" w:type="dxa"/>
                  <w:tcBorders>
                    <w:tl2br w:val="nil"/>
                    <w:tr2bl w:val="nil"/>
                  </w:tcBorders>
                  <w:vAlign w:val="center"/>
                </w:tcPr>
                <w:p w14:paraId="49F986A5">
                  <w:pPr>
                    <w:spacing w:line="280" w:lineRule="exact"/>
                    <w:ind w:firstLine="0" w:firstLineChars="0"/>
                    <w:jc w:val="center"/>
                    <w:rPr>
                      <w:color w:val="000000" w:themeColor="text1"/>
                      <w:kern w:val="0"/>
                      <w:sz w:val="21"/>
                      <w:szCs w:val="21"/>
                      <w:lang w:val="zh-CN"/>
                    </w:rPr>
                  </w:pPr>
                  <w:r>
                    <w:rPr>
                      <w:rFonts w:hint="eastAsia"/>
                      <w:color w:val="000000" w:themeColor="text1"/>
                      <w:kern w:val="0"/>
                      <w:sz w:val="21"/>
                      <w:szCs w:val="21"/>
                      <w:lang w:val="zh-CN"/>
                    </w:rPr>
                    <w:t>本项目</w:t>
                  </w:r>
                  <w:r>
                    <w:rPr>
                      <w:rFonts w:hint="eastAsia"/>
                      <w:color w:val="000000" w:themeColor="text1"/>
                      <w:kern w:val="0"/>
                      <w:sz w:val="21"/>
                      <w:szCs w:val="21"/>
                    </w:rPr>
                    <w:t>生活污水排入市政污水管网，最终进入曹妃甸工业区装备制造区污水处理站处理；热风炉冷却过程排污水回用于冲厕用水再利用，不外排。</w:t>
                  </w:r>
                </w:p>
              </w:tc>
              <w:tc>
                <w:tcPr>
                  <w:tcW w:w="771" w:type="dxa"/>
                  <w:tcBorders>
                    <w:tl2br w:val="nil"/>
                    <w:tr2bl w:val="nil"/>
                  </w:tcBorders>
                  <w:vAlign w:val="center"/>
                </w:tcPr>
                <w:p w14:paraId="6ED1C2F3">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03653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97" w:type="dxa"/>
                  <w:vMerge w:val="continue"/>
                  <w:tcBorders>
                    <w:tl2br w:val="nil"/>
                    <w:tr2bl w:val="nil"/>
                  </w:tcBorders>
                  <w:vAlign w:val="center"/>
                </w:tcPr>
                <w:p w14:paraId="3DB45A6F">
                  <w:pPr>
                    <w:spacing w:line="280" w:lineRule="exact"/>
                    <w:ind w:firstLine="0" w:firstLineChars="0"/>
                    <w:jc w:val="center"/>
                    <w:rPr>
                      <w:color w:val="000000" w:themeColor="text1"/>
                      <w:kern w:val="0"/>
                      <w:sz w:val="21"/>
                      <w:szCs w:val="21"/>
                      <w:lang w:val="zh-CN"/>
                    </w:rPr>
                  </w:pPr>
                </w:p>
              </w:tc>
              <w:tc>
                <w:tcPr>
                  <w:tcW w:w="773" w:type="dxa"/>
                  <w:vMerge w:val="continue"/>
                  <w:tcBorders>
                    <w:tl2br w:val="nil"/>
                    <w:tr2bl w:val="nil"/>
                  </w:tcBorders>
                  <w:vAlign w:val="center"/>
                </w:tcPr>
                <w:p w14:paraId="2ACA4926">
                  <w:pPr>
                    <w:spacing w:line="280" w:lineRule="exact"/>
                    <w:ind w:firstLine="0" w:firstLineChars="0"/>
                    <w:jc w:val="center"/>
                    <w:rPr>
                      <w:color w:val="000000" w:themeColor="text1"/>
                      <w:kern w:val="0"/>
                      <w:sz w:val="21"/>
                      <w:szCs w:val="21"/>
                      <w:lang w:val="zh-CN"/>
                    </w:rPr>
                  </w:pPr>
                </w:p>
              </w:tc>
              <w:tc>
                <w:tcPr>
                  <w:tcW w:w="8207" w:type="dxa"/>
                  <w:tcBorders>
                    <w:tl2br w:val="nil"/>
                    <w:tr2bl w:val="nil"/>
                  </w:tcBorders>
                  <w:shd w:val="clear" w:color="auto" w:fill="auto"/>
                  <w:vAlign w:val="center"/>
                </w:tcPr>
                <w:p w14:paraId="59B4F031">
                  <w:pPr>
                    <w:pStyle w:val="65"/>
                    <w:spacing w:line="240" w:lineRule="auto"/>
                    <w:ind w:firstLine="448"/>
                    <w:rPr>
                      <w:color w:val="000000" w:themeColor="text1"/>
                      <w:sz w:val="21"/>
                      <w:szCs w:val="21"/>
                      <w:lang w:val="zh-CN" w:eastAsia="zh-CN"/>
                    </w:rPr>
                  </w:pPr>
                  <w:r>
                    <w:rPr>
                      <w:rFonts w:ascii="Times New Roman" w:hAnsi="Times New Roman" w:eastAsia="Times New Roman" w:cs="Times New Roman"/>
                      <w:color w:val="000000" w:themeColor="text1"/>
                      <w:spacing w:val="7"/>
                      <w:sz w:val="21"/>
                      <w:szCs w:val="21"/>
                      <w:lang w:eastAsia="zh-CN"/>
                    </w:rPr>
                    <w:t>5</w:t>
                  </w:r>
                  <w:r>
                    <w:rPr>
                      <w:rFonts w:hint="eastAsia" w:ascii="Times New Roman" w:hAnsi="Times New Roman" w:cs="Times New Roman"/>
                      <w:color w:val="000000" w:themeColor="text1"/>
                      <w:spacing w:val="-26"/>
                      <w:sz w:val="21"/>
                      <w:szCs w:val="21"/>
                      <w:lang w:eastAsia="zh-CN"/>
                    </w:rPr>
                    <w:t>、</w:t>
                  </w:r>
                  <w:r>
                    <w:rPr>
                      <w:color w:val="000000" w:themeColor="text1"/>
                      <w:spacing w:val="7"/>
                      <w:sz w:val="21"/>
                      <w:szCs w:val="21"/>
                      <w:lang w:eastAsia="zh-CN"/>
                    </w:rPr>
                    <w:t>新建涉高</w:t>
                  </w:r>
                  <w:r>
                    <w:rPr>
                      <w:rFonts w:ascii="Times New Roman" w:hAnsi="Times New Roman" w:eastAsia="Times New Roman" w:cs="Times New Roman"/>
                      <w:color w:val="000000" w:themeColor="text1"/>
                      <w:sz w:val="21"/>
                      <w:szCs w:val="21"/>
                      <w:lang w:eastAsia="zh-CN"/>
                    </w:rPr>
                    <w:t>VOCs</w:t>
                  </w:r>
                  <w:r>
                    <w:rPr>
                      <w:color w:val="000000" w:themeColor="text1"/>
                      <w:spacing w:val="7"/>
                      <w:sz w:val="21"/>
                      <w:szCs w:val="21"/>
                      <w:lang w:eastAsia="zh-CN"/>
                    </w:rPr>
                    <w:t>排放的建设项目，即石化、化工、包装印刷、工业涂装</w:t>
                  </w:r>
                  <w:r>
                    <w:rPr>
                      <w:color w:val="000000" w:themeColor="text1"/>
                      <w:spacing w:val="6"/>
                      <w:sz w:val="21"/>
                      <w:szCs w:val="21"/>
                      <w:lang w:eastAsia="zh-CN"/>
                    </w:rPr>
                    <w:t>等重点行业及其他</w:t>
                  </w:r>
                  <w:r>
                    <w:rPr>
                      <w:color w:val="000000" w:themeColor="text1"/>
                      <w:spacing w:val="10"/>
                      <w:sz w:val="21"/>
                      <w:szCs w:val="21"/>
                      <w:lang w:eastAsia="zh-CN"/>
                    </w:rPr>
                    <w:t>工业行业</w:t>
                  </w:r>
                  <w:r>
                    <w:rPr>
                      <w:rFonts w:ascii="Times New Roman" w:hAnsi="Times New Roman" w:eastAsia="Times New Roman" w:cs="Times New Roman"/>
                      <w:color w:val="000000" w:themeColor="text1"/>
                      <w:sz w:val="21"/>
                      <w:szCs w:val="21"/>
                      <w:lang w:eastAsia="zh-CN"/>
                    </w:rPr>
                    <w:t>VOCs</w:t>
                  </w:r>
                  <w:r>
                    <w:rPr>
                      <w:color w:val="000000" w:themeColor="text1"/>
                      <w:spacing w:val="10"/>
                      <w:sz w:val="21"/>
                      <w:szCs w:val="21"/>
                      <w:lang w:eastAsia="zh-CN"/>
                    </w:rPr>
                    <w:t>排放量大、排放强度高的新建项目，原则上要进入园区，认定为化工重点监控点</w:t>
                  </w:r>
                  <w:r>
                    <w:rPr>
                      <w:color w:val="000000" w:themeColor="text1"/>
                      <w:spacing w:val="7"/>
                      <w:sz w:val="21"/>
                      <w:szCs w:val="21"/>
                      <w:lang w:eastAsia="zh-CN"/>
                    </w:rPr>
                    <w:t>的企业项目除外。</w:t>
                  </w:r>
                </w:p>
              </w:tc>
              <w:tc>
                <w:tcPr>
                  <w:tcW w:w="2591" w:type="dxa"/>
                  <w:tcBorders>
                    <w:tl2br w:val="nil"/>
                    <w:tr2bl w:val="nil"/>
                  </w:tcBorders>
                  <w:vAlign w:val="center"/>
                </w:tcPr>
                <w:p w14:paraId="587FC575">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本项目位于唐山市曹妃甸装备制造产业园区内，不</w:t>
                  </w:r>
                  <w:r>
                    <w:rPr>
                      <w:color w:val="000000" w:themeColor="text1"/>
                      <w:spacing w:val="7"/>
                      <w:sz w:val="21"/>
                      <w:szCs w:val="21"/>
                    </w:rPr>
                    <w:t>涉高</w:t>
                  </w:r>
                  <w:r>
                    <w:rPr>
                      <w:rFonts w:eastAsia="Times New Roman"/>
                      <w:color w:val="000000" w:themeColor="text1"/>
                      <w:sz w:val="21"/>
                      <w:szCs w:val="21"/>
                    </w:rPr>
                    <w:t>VOCs</w:t>
                  </w:r>
                  <w:r>
                    <w:rPr>
                      <w:color w:val="000000" w:themeColor="text1"/>
                      <w:spacing w:val="7"/>
                      <w:sz w:val="21"/>
                      <w:szCs w:val="21"/>
                    </w:rPr>
                    <w:t>排放</w:t>
                  </w:r>
                  <w:r>
                    <w:rPr>
                      <w:rFonts w:hint="eastAsia"/>
                      <w:color w:val="000000" w:themeColor="text1"/>
                      <w:spacing w:val="7"/>
                      <w:sz w:val="21"/>
                      <w:szCs w:val="21"/>
                    </w:rPr>
                    <w:t>。</w:t>
                  </w:r>
                </w:p>
              </w:tc>
              <w:tc>
                <w:tcPr>
                  <w:tcW w:w="771" w:type="dxa"/>
                  <w:tcBorders>
                    <w:tl2br w:val="nil"/>
                    <w:tr2bl w:val="nil"/>
                  </w:tcBorders>
                  <w:vAlign w:val="center"/>
                </w:tcPr>
                <w:p w14:paraId="1D537C7E">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bl>
          <w:p w14:paraId="3183BC59">
            <w:pPr>
              <w:pStyle w:val="34"/>
              <w:spacing w:line="360" w:lineRule="auto"/>
              <w:rPr>
                <w:color w:val="000000" w:themeColor="text1"/>
              </w:rPr>
            </w:pPr>
            <w:r>
              <w:rPr>
                <w:color w:val="000000" w:themeColor="text1"/>
              </w:rPr>
              <w:t>表</w:t>
            </w:r>
            <w:r>
              <w:rPr>
                <w:rFonts w:hint="eastAsia"/>
                <w:color w:val="000000" w:themeColor="text1"/>
              </w:rPr>
              <w:t xml:space="preserve">6  </w:t>
            </w:r>
            <w:r>
              <w:rPr>
                <w:bCs/>
                <w:color w:val="000000" w:themeColor="text1"/>
              </w:rPr>
              <w:t>与</w:t>
            </w:r>
            <w:r>
              <w:rPr>
                <w:rFonts w:hint="eastAsia"/>
                <w:bCs/>
                <w:color w:val="000000" w:themeColor="text1"/>
              </w:rPr>
              <w:t>陆域环境管控单元生态环境准入清单符合</w:t>
            </w:r>
            <w:r>
              <w:rPr>
                <w:bCs/>
                <w:color w:val="000000" w:themeColor="text1"/>
              </w:rPr>
              <w:t>性分析</w:t>
            </w:r>
            <w:r>
              <w:rPr>
                <w:rFonts w:hint="eastAsia"/>
                <w:bCs/>
                <w:color w:val="000000" w:themeColor="text1"/>
              </w:rPr>
              <w:t>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7"/>
              <w:gridCol w:w="555"/>
              <w:gridCol w:w="570"/>
              <w:gridCol w:w="870"/>
              <w:gridCol w:w="1425"/>
              <w:gridCol w:w="525"/>
              <w:gridCol w:w="5181"/>
              <w:gridCol w:w="2599"/>
              <w:gridCol w:w="757"/>
            </w:tblGrid>
            <w:tr w14:paraId="76A8D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7" w:type="dxa"/>
                  <w:tcBorders>
                    <w:tl2br w:val="nil"/>
                    <w:tr2bl w:val="nil"/>
                  </w:tcBorders>
                  <w:vAlign w:val="center"/>
                </w:tcPr>
                <w:p w14:paraId="201CBE79">
                  <w:pPr>
                    <w:spacing w:line="280" w:lineRule="exact"/>
                    <w:ind w:firstLine="0" w:firstLineChars="0"/>
                    <w:jc w:val="center"/>
                    <w:rPr>
                      <w:b/>
                      <w:bCs/>
                      <w:color w:val="000000" w:themeColor="text1"/>
                      <w:kern w:val="0"/>
                      <w:sz w:val="21"/>
                      <w:szCs w:val="21"/>
                    </w:rPr>
                  </w:pPr>
                  <w:r>
                    <w:rPr>
                      <w:b/>
                      <w:bCs/>
                      <w:color w:val="000000" w:themeColor="text1"/>
                      <w:kern w:val="0"/>
                      <w:sz w:val="21"/>
                      <w:szCs w:val="21"/>
                    </w:rPr>
                    <w:t>编号</w:t>
                  </w:r>
                </w:p>
              </w:tc>
              <w:tc>
                <w:tcPr>
                  <w:tcW w:w="555" w:type="dxa"/>
                  <w:tcBorders>
                    <w:tl2br w:val="nil"/>
                    <w:tr2bl w:val="nil"/>
                  </w:tcBorders>
                  <w:vAlign w:val="center"/>
                </w:tcPr>
                <w:p w14:paraId="140EFF5A">
                  <w:pPr>
                    <w:spacing w:line="280" w:lineRule="exact"/>
                    <w:ind w:firstLine="0" w:firstLineChars="0"/>
                    <w:jc w:val="center"/>
                    <w:rPr>
                      <w:b/>
                      <w:bCs/>
                      <w:color w:val="000000" w:themeColor="text1"/>
                      <w:kern w:val="0"/>
                      <w:sz w:val="21"/>
                      <w:szCs w:val="21"/>
                    </w:rPr>
                  </w:pPr>
                  <w:r>
                    <w:rPr>
                      <w:b/>
                      <w:bCs/>
                      <w:color w:val="000000" w:themeColor="text1"/>
                      <w:kern w:val="0"/>
                      <w:sz w:val="21"/>
                      <w:szCs w:val="21"/>
                    </w:rPr>
                    <w:t>区县</w:t>
                  </w:r>
                </w:p>
              </w:tc>
              <w:tc>
                <w:tcPr>
                  <w:tcW w:w="570" w:type="dxa"/>
                  <w:tcBorders>
                    <w:tl2br w:val="nil"/>
                    <w:tr2bl w:val="nil"/>
                  </w:tcBorders>
                  <w:vAlign w:val="center"/>
                </w:tcPr>
                <w:p w14:paraId="4ADE95C3">
                  <w:pPr>
                    <w:spacing w:line="280" w:lineRule="exact"/>
                    <w:ind w:firstLine="0" w:firstLineChars="0"/>
                    <w:jc w:val="center"/>
                    <w:rPr>
                      <w:b/>
                      <w:bCs/>
                      <w:color w:val="000000" w:themeColor="text1"/>
                      <w:kern w:val="0"/>
                      <w:sz w:val="21"/>
                      <w:szCs w:val="21"/>
                    </w:rPr>
                  </w:pPr>
                  <w:r>
                    <w:rPr>
                      <w:b/>
                      <w:bCs/>
                      <w:color w:val="000000" w:themeColor="text1"/>
                      <w:kern w:val="0"/>
                      <w:sz w:val="21"/>
                      <w:szCs w:val="21"/>
                    </w:rPr>
                    <w:t>乡镇</w:t>
                  </w:r>
                </w:p>
              </w:tc>
              <w:tc>
                <w:tcPr>
                  <w:tcW w:w="870" w:type="dxa"/>
                  <w:tcBorders>
                    <w:tl2br w:val="nil"/>
                    <w:tr2bl w:val="nil"/>
                  </w:tcBorders>
                  <w:vAlign w:val="center"/>
                </w:tcPr>
                <w:p w14:paraId="0F944FD8">
                  <w:pPr>
                    <w:spacing w:line="280" w:lineRule="exact"/>
                    <w:ind w:firstLine="0" w:firstLineChars="0"/>
                    <w:jc w:val="center"/>
                    <w:rPr>
                      <w:b/>
                      <w:bCs/>
                      <w:color w:val="000000" w:themeColor="text1"/>
                      <w:kern w:val="0"/>
                      <w:sz w:val="21"/>
                      <w:szCs w:val="21"/>
                    </w:rPr>
                  </w:pPr>
                  <w:r>
                    <w:rPr>
                      <w:b/>
                      <w:bCs/>
                      <w:color w:val="000000" w:themeColor="text1"/>
                      <w:kern w:val="0"/>
                      <w:sz w:val="21"/>
                      <w:szCs w:val="21"/>
                    </w:rPr>
                    <w:t>单元类别</w:t>
                  </w:r>
                </w:p>
              </w:tc>
              <w:tc>
                <w:tcPr>
                  <w:tcW w:w="1425" w:type="dxa"/>
                  <w:tcBorders>
                    <w:tl2br w:val="nil"/>
                    <w:tr2bl w:val="nil"/>
                  </w:tcBorders>
                  <w:vAlign w:val="center"/>
                </w:tcPr>
                <w:p w14:paraId="5B44ECB5">
                  <w:pPr>
                    <w:spacing w:line="280" w:lineRule="exact"/>
                    <w:ind w:firstLine="0" w:firstLineChars="0"/>
                    <w:jc w:val="center"/>
                    <w:rPr>
                      <w:b/>
                      <w:bCs/>
                      <w:color w:val="000000" w:themeColor="text1"/>
                      <w:kern w:val="0"/>
                      <w:sz w:val="21"/>
                      <w:szCs w:val="21"/>
                    </w:rPr>
                  </w:pPr>
                  <w:r>
                    <w:rPr>
                      <w:b/>
                      <w:bCs/>
                      <w:color w:val="000000" w:themeColor="text1"/>
                      <w:kern w:val="0"/>
                      <w:sz w:val="21"/>
                      <w:szCs w:val="21"/>
                    </w:rPr>
                    <w:t>环境要素类别</w:t>
                  </w:r>
                </w:p>
              </w:tc>
              <w:tc>
                <w:tcPr>
                  <w:tcW w:w="525" w:type="dxa"/>
                  <w:tcBorders>
                    <w:tl2br w:val="nil"/>
                    <w:tr2bl w:val="nil"/>
                  </w:tcBorders>
                  <w:vAlign w:val="center"/>
                </w:tcPr>
                <w:p w14:paraId="12E1C752">
                  <w:pPr>
                    <w:spacing w:line="280" w:lineRule="exact"/>
                    <w:ind w:firstLine="0" w:firstLineChars="0"/>
                    <w:jc w:val="center"/>
                    <w:rPr>
                      <w:b/>
                      <w:bCs/>
                      <w:color w:val="000000" w:themeColor="text1"/>
                      <w:kern w:val="0"/>
                      <w:sz w:val="21"/>
                      <w:szCs w:val="21"/>
                    </w:rPr>
                  </w:pPr>
                  <w:r>
                    <w:rPr>
                      <w:b/>
                      <w:bCs/>
                      <w:color w:val="000000" w:themeColor="text1"/>
                      <w:kern w:val="0"/>
                      <w:sz w:val="21"/>
                      <w:szCs w:val="21"/>
                    </w:rPr>
                    <w:t>维度</w:t>
                  </w:r>
                </w:p>
              </w:tc>
              <w:tc>
                <w:tcPr>
                  <w:tcW w:w="5181" w:type="dxa"/>
                  <w:tcBorders>
                    <w:tl2br w:val="nil"/>
                    <w:tr2bl w:val="nil"/>
                  </w:tcBorders>
                  <w:vAlign w:val="center"/>
                </w:tcPr>
                <w:p w14:paraId="781F1D93">
                  <w:pPr>
                    <w:spacing w:line="280" w:lineRule="exact"/>
                    <w:ind w:firstLine="0" w:firstLineChars="0"/>
                    <w:jc w:val="center"/>
                    <w:rPr>
                      <w:b/>
                      <w:bCs/>
                      <w:color w:val="000000" w:themeColor="text1"/>
                      <w:kern w:val="0"/>
                      <w:sz w:val="21"/>
                      <w:szCs w:val="21"/>
                    </w:rPr>
                  </w:pPr>
                  <w:r>
                    <w:rPr>
                      <w:b/>
                      <w:bCs/>
                      <w:color w:val="000000" w:themeColor="text1"/>
                      <w:kern w:val="0"/>
                      <w:sz w:val="21"/>
                      <w:szCs w:val="21"/>
                    </w:rPr>
                    <w:t>管控措施</w:t>
                  </w:r>
                </w:p>
              </w:tc>
              <w:tc>
                <w:tcPr>
                  <w:tcW w:w="2599" w:type="dxa"/>
                  <w:tcBorders>
                    <w:tl2br w:val="nil"/>
                    <w:tr2bl w:val="nil"/>
                  </w:tcBorders>
                  <w:vAlign w:val="center"/>
                </w:tcPr>
                <w:p w14:paraId="53AF26C9">
                  <w:pPr>
                    <w:spacing w:line="280" w:lineRule="exact"/>
                    <w:ind w:firstLine="0" w:firstLineChars="0"/>
                    <w:jc w:val="center"/>
                    <w:rPr>
                      <w:b/>
                      <w:bCs/>
                      <w:color w:val="000000" w:themeColor="text1"/>
                      <w:kern w:val="0"/>
                      <w:sz w:val="21"/>
                      <w:szCs w:val="21"/>
                    </w:rPr>
                  </w:pPr>
                  <w:r>
                    <w:rPr>
                      <w:rFonts w:hint="eastAsia"/>
                      <w:b/>
                      <w:bCs/>
                      <w:color w:val="000000" w:themeColor="text1"/>
                      <w:kern w:val="0"/>
                      <w:sz w:val="21"/>
                      <w:szCs w:val="21"/>
                    </w:rPr>
                    <w:t>本</w:t>
                  </w:r>
                  <w:r>
                    <w:rPr>
                      <w:b/>
                      <w:bCs/>
                      <w:color w:val="000000" w:themeColor="text1"/>
                      <w:kern w:val="0"/>
                      <w:sz w:val="21"/>
                      <w:szCs w:val="21"/>
                    </w:rPr>
                    <w:t>项目情况</w:t>
                  </w:r>
                </w:p>
              </w:tc>
              <w:tc>
                <w:tcPr>
                  <w:tcW w:w="757" w:type="dxa"/>
                  <w:tcBorders>
                    <w:tl2br w:val="nil"/>
                    <w:tr2bl w:val="nil"/>
                  </w:tcBorders>
                  <w:vAlign w:val="center"/>
                </w:tcPr>
                <w:p w14:paraId="43765A25">
                  <w:pPr>
                    <w:spacing w:line="280" w:lineRule="exact"/>
                    <w:ind w:firstLine="0" w:firstLineChars="0"/>
                    <w:jc w:val="center"/>
                    <w:rPr>
                      <w:b/>
                      <w:bCs/>
                      <w:color w:val="000000" w:themeColor="text1"/>
                      <w:kern w:val="0"/>
                      <w:sz w:val="21"/>
                      <w:szCs w:val="21"/>
                    </w:rPr>
                  </w:pPr>
                  <w:r>
                    <w:rPr>
                      <w:b/>
                      <w:bCs/>
                      <w:color w:val="000000" w:themeColor="text1"/>
                      <w:kern w:val="0"/>
                      <w:sz w:val="21"/>
                      <w:szCs w:val="21"/>
                    </w:rPr>
                    <w:t>符合性</w:t>
                  </w:r>
                </w:p>
              </w:tc>
            </w:tr>
            <w:tr w14:paraId="5DEF4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restart"/>
                  <w:tcBorders>
                    <w:tl2br w:val="nil"/>
                    <w:tr2bl w:val="nil"/>
                  </w:tcBorders>
                  <w:vAlign w:val="center"/>
                </w:tcPr>
                <w:p w14:paraId="2CF40007">
                  <w:pPr>
                    <w:spacing w:line="240" w:lineRule="auto"/>
                    <w:ind w:right="37" w:firstLine="0" w:firstLineChars="0"/>
                    <w:jc w:val="center"/>
                    <w:rPr>
                      <w:color w:val="000000" w:themeColor="text1"/>
                      <w:kern w:val="0"/>
                      <w:sz w:val="21"/>
                      <w:szCs w:val="21"/>
                    </w:rPr>
                  </w:pPr>
                  <w:r>
                    <w:rPr>
                      <w:rFonts w:eastAsia="Times New Roman"/>
                      <w:color w:val="000000" w:themeColor="text1"/>
                      <w:sz w:val="21"/>
                      <w:szCs w:val="21"/>
                    </w:rPr>
                    <w:t>ZH</w:t>
                  </w:r>
                  <w:r>
                    <w:rPr>
                      <w:rFonts w:eastAsia="Times New Roman"/>
                      <w:color w:val="000000" w:themeColor="text1"/>
                      <w:spacing w:val="6"/>
                      <w:sz w:val="21"/>
                      <w:szCs w:val="21"/>
                    </w:rPr>
                    <w:t>130209</w:t>
                  </w:r>
                  <w:r>
                    <w:rPr>
                      <w:rFonts w:eastAsia="Times New Roman"/>
                      <w:color w:val="000000" w:themeColor="text1"/>
                      <w:spacing w:val="4"/>
                      <w:sz w:val="21"/>
                      <w:szCs w:val="21"/>
                    </w:rPr>
                    <w:t>20002</w:t>
                  </w:r>
                </w:p>
              </w:tc>
              <w:tc>
                <w:tcPr>
                  <w:tcW w:w="555" w:type="dxa"/>
                  <w:vMerge w:val="restart"/>
                  <w:tcBorders>
                    <w:tl2br w:val="nil"/>
                    <w:tr2bl w:val="nil"/>
                  </w:tcBorders>
                  <w:vAlign w:val="center"/>
                </w:tcPr>
                <w:p w14:paraId="6463E9EA">
                  <w:pPr>
                    <w:pStyle w:val="65"/>
                    <w:spacing w:line="240" w:lineRule="auto"/>
                    <w:ind w:right="72" w:firstLine="0" w:firstLineChars="0"/>
                    <w:jc w:val="center"/>
                    <w:rPr>
                      <w:rFonts w:ascii="Times New Roman" w:hAnsi="Times New Roman" w:cs="Times New Roman"/>
                      <w:color w:val="000000" w:themeColor="text1"/>
                      <w:kern w:val="0"/>
                      <w:sz w:val="21"/>
                      <w:szCs w:val="21"/>
                      <w:lang w:eastAsia="zh-CN"/>
                    </w:rPr>
                  </w:pPr>
                  <w:r>
                    <w:rPr>
                      <w:color w:val="000000" w:themeColor="text1"/>
                      <w:spacing w:val="5"/>
                      <w:sz w:val="21"/>
                      <w:szCs w:val="21"/>
                    </w:rPr>
                    <w:t>曹妃甸</w:t>
                  </w:r>
                  <w:r>
                    <w:rPr>
                      <w:color w:val="000000" w:themeColor="text1"/>
                      <w:sz w:val="21"/>
                      <w:szCs w:val="21"/>
                    </w:rPr>
                    <w:t>区</w:t>
                  </w:r>
                </w:p>
              </w:tc>
              <w:tc>
                <w:tcPr>
                  <w:tcW w:w="570" w:type="dxa"/>
                  <w:vMerge w:val="restart"/>
                  <w:tcBorders>
                    <w:tl2br w:val="nil"/>
                    <w:tr2bl w:val="nil"/>
                  </w:tcBorders>
                  <w:vAlign w:val="center"/>
                </w:tcPr>
                <w:p w14:paraId="4B87C60B">
                  <w:pPr>
                    <w:pStyle w:val="65"/>
                    <w:spacing w:line="240" w:lineRule="auto"/>
                    <w:ind w:firstLine="0" w:firstLineChars="0"/>
                    <w:jc w:val="center"/>
                    <w:rPr>
                      <w:rFonts w:ascii="Times New Roman" w:hAnsi="Times New Roman" w:cs="Times New Roman"/>
                      <w:color w:val="000000" w:themeColor="text1"/>
                      <w:kern w:val="0"/>
                      <w:sz w:val="21"/>
                      <w:szCs w:val="21"/>
                      <w:lang w:eastAsia="zh-CN"/>
                    </w:rPr>
                  </w:pPr>
                  <w:r>
                    <w:rPr>
                      <w:color w:val="000000" w:themeColor="text1"/>
                      <w:spacing w:val="4"/>
                      <w:sz w:val="21"/>
                      <w:szCs w:val="21"/>
                    </w:rPr>
                    <w:t>中山路街道</w:t>
                  </w:r>
                </w:p>
              </w:tc>
              <w:tc>
                <w:tcPr>
                  <w:tcW w:w="870" w:type="dxa"/>
                  <w:vMerge w:val="restart"/>
                  <w:tcBorders>
                    <w:tl2br w:val="nil"/>
                    <w:tr2bl w:val="nil"/>
                  </w:tcBorders>
                  <w:vAlign w:val="center"/>
                </w:tcPr>
                <w:p w14:paraId="22D7BF0B">
                  <w:pPr>
                    <w:widowControl/>
                    <w:spacing w:line="280" w:lineRule="exact"/>
                    <w:ind w:firstLine="0" w:firstLineChars="0"/>
                    <w:jc w:val="center"/>
                    <w:rPr>
                      <w:color w:val="000000" w:themeColor="text1"/>
                      <w:kern w:val="0"/>
                      <w:sz w:val="21"/>
                      <w:szCs w:val="21"/>
                    </w:rPr>
                  </w:pPr>
                  <w:r>
                    <w:rPr>
                      <w:color w:val="000000" w:themeColor="text1"/>
                      <w:kern w:val="0"/>
                      <w:sz w:val="21"/>
                      <w:szCs w:val="21"/>
                    </w:rPr>
                    <w:t>重点管控单元</w:t>
                  </w:r>
                </w:p>
              </w:tc>
              <w:tc>
                <w:tcPr>
                  <w:tcW w:w="1425" w:type="dxa"/>
                  <w:vMerge w:val="restart"/>
                  <w:tcBorders>
                    <w:tl2br w:val="nil"/>
                    <w:tr2bl w:val="nil"/>
                  </w:tcBorders>
                  <w:vAlign w:val="center"/>
                </w:tcPr>
                <w:p w14:paraId="33262BD0">
                  <w:pPr>
                    <w:widowControl/>
                    <w:spacing w:line="280" w:lineRule="exact"/>
                    <w:ind w:firstLine="0" w:firstLineChars="0"/>
                    <w:jc w:val="left"/>
                    <w:rPr>
                      <w:color w:val="000000" w:themeColor="text1"/>
                      <w:kern w:val="0"/>
                      <w:sz w:val="21"/>
                      <w:szCs w:val="21"/>
                    </w:rPr>
                  </w:pPr>
                  <w:r>
                    <w:rPr>
                      <w:color w:val="000000" w:themeColor="text1"/>
                      <w:kern w:val="0"/>
                      <w:sz w:val="21"/>
                      <w:szCs w:val="21"/>
                    </w:rPr>
                    <w:t>1、唐山曹妃甸 经济技术开发区</w:t>
                  </w:r>
                </w:p>
                <w:p w14:paraId="40E01F97">
                  <w:pPr>
                    <w:widowControl/>
                    <w:spacing w:line="280" w:lineRule="exact"/>
                    <w:ind w:firstLine="0" w:firstLineChars="0"/>
                    <w:jc w:val="left"/>
                    <w:rPr>
                      <w:color w:val="000000" w:themeColor="text1"/>
                      <w:kern w:val="0"/>
                      <w:sz w:val="21"/>
                      <w:szCs w:val="21"/>
                    </w:rPr>
                  </w:pPr>
                  <w:r>
                    <w:rPr>
                      <w:color w:val="000000" w:themeColor="text1"/>
                      <w:kern w:val="0"/>
                      <w:sz w:val="21"/>
                      <w:szCs w:val="21"/>
                    </w:rPr>
                    <w:t>2、大气环境高 排放重点管控区</w:t>
                  </w:r>
                </w:p>
                <w:p w14:paraId="16F5B6F6">
                  <w:pPr>
                    <w:widowControl/>
                    <w:spacing w:line="280" w:lineRule="exact"/>
                    <w:ind w:firstLine="0" w:firstLineChars="0"/>
                    <w:jc w:val="left"/>
                    <w:rPr>
                      <w:color w:val="000000" w:themeColor="text1"/>
                      <w:kern w:val="0"/>
                      <w:sz w:val="21"/>
                      <w:szCs w:val="21"/>
                    </w:rPr>
                  </w:pPr>
                  <w:r>
                    <w:rPr>
                      <w:color w:val="000000" w:themeColor="text1"/>
                      <w:kern w:val="0"/>
                      <w:sz w:val="21"/>
                      <w:szCs w:val="21"/>
                    </w:rPr>
                    <w:t>3、水环境工业污染重点管控区</w:t>
                  </w:r>
                </w:p>
                <w:p w14:paraId="495C815E">
                  <w:pPr>
                    <w:widowControl/>
                    <w:spacing w:line="280" w:lineRule="exact"/>
                    <w:ind w:firstLine="0" w:firstLineChars="0"/>
                    <w:jc w:val="left"/>
                    <w:rPr>
                      <w:color w:val="000000" w:themeColor="text1"/>
                      <w:kern w:val="0"/>
                      <w:sz w:val="21"/>
                      <w:szCs w:val="21"/>
                    </w:rPr>
                  </w:pPr>
                  <w:r>
                    <w:rPr>
                      <w:color w:val="000000" w:themeColor="text1"/>
                      <w:kern w:val="0"/>
                      <w:sz w:val="21"/>
                      <w:szCs w:val="21"/>
                    </w:rPr>
                    <w:t>4、土壤建设用 地污染风险重点管控区</w:t>
                  </w:r>
                </w:p>
                <w:p w14:paraId="5FBE6468">
                  <w:pPr>
                    <w:widowControl/>
                    <w:spacing w:line="280" w:lineRule="exact"/>
                    <w:ind w:firstLine="0" w:firstLineChars="0"/>
                    <w:jc w:val="left"/>
                    <w:rPr>
                      <w:color w:val="000000" w:themeColor="text1"/>
                      <w:kern w:val="0"/>
                      <w:sz w:val="21"/>
                      <w:szCs w:val="21"/>
                    </w:rPr>
                  </w:pPr>
                  <w:r>
                    <w:rPr>
                      <w:color w:val="000000" w:themeColor="text1"/>
                      <w:kern w:val="0"/>
                      <w:sz w:val="21"/>
                      <w:szCs w:val="21"/>
                    </w:rPr>
                    <w:t>5、禁燃区</w:t>
                  </w:r>
                </w:p>
                <w:p w14:paraId="5F9A3A2A">
                  <w:pPr>
                    <w:widowControl/>
                    <w:spacing w:line="280" w:lineRule="exact"/>
                    <w:ind w:firstLine="0" w:firstLineChars="0"/>
                    <w:jc w:val="left"/>
                    <w:rPr>
                      <w:color w:val="000000" w:themeColor="text1"/>
                      <w:kern w:val="0"/>
                      <w:sz w:val="21"/>
                      <w:szCs w:val="21"/>
                    </w:rPr>
                  </w:pPr>
                  <w:r>
                    <w:rPr>
                      <w:color w:val="000000" w:themeColor="text1"/>
                      <w:kern w:val="0"/>
                      <w:sz w:val="21"/>
                      <w:szCs w:val="21"/>
                    </w:rPr>
                    <w:t>6、地下水开采 重点管控区</w:t>
                  </w:r>
                </w:p>
                <w:p w14:paraId="70CE7674">
                  <w:pPr>
                    <w:widowControl/>
                    <w:spacing w:line="280" w:lineRule="exact"/>
                    <w:ind w:firstLine="0" w:firstLineChars="0"/>
                    <w:jc w:val="left"/>
                    <w:rPr>
                      <w:color w:val="000000" w:themeColor="text1"/>
                      <w:kern w:val="0"/>
                      <w:sz w:val="21"/>
                      <w:szCs w:val="21"/>
                    </w:rPr>
                  </w:pPr>
                  <w:r>
                    <w:rPr>
                      <w:color w:val="000000" w:themeColor="text1"/>
                      <w:kern w:val="0"/>
                      <w:sz w:val="21"/>
                      <w:szCs w:val="21"/>
                    </w:rPr>
                    <w:t>7、土地资源重 点管控区</w:t>
                  </w:r>
                </w:p>
              </w:tc>
              <w:tc>
                <w:tcPr>
                  <w:tcW w:w="525" w:type="dxa"/>
                  <w:tcBorders>
                    <w:tl2br w:val="nil"/>
                    <w:tr2bl w:val="nil"/>
                  </w:tcBorders>
                  <w:vAlign w:val="center"/>
                </w:tcPr>
                <w:p w14:paraId="607C5DB1">
                  <w:pPr>
                    <w:widowControl/>
                    <w:spacing w:line="280" w:lineRule="exact"/>
                    <w:ind w:firstLine="0" w:firstLineChars="0"/>
                    <w:jc w:val="center"/>
                    <w:rPr>
                      <w:color w:val="000000" w:themeColor="text1"/>
                      <w:kern w:val="0"/>
                      <w:sz w:val="21"/>
                      <w:szCs w:val="21"/>
                    </w:rPr>
                  </w:pPr>
                  <w:r>
                    <w:rPr>
                      <w:color w:val="000000" w:themeColor="text1"/>
                      <w:kern w:val="0"/>
                      <w:sz w:val="21"/>
                      <w:szCs w:val="21"/>
                    </w:rPr>
                    <w:t>空间布局约束</w:t>
                  </w:r>
                </w:p>
              </w:tc>
              <w:tc>
                <w:tcPr>
                  <w:tcW w:w="5181" w:type="dxa"/>
                  <w:tcBorders>
                    <w:tl2br w:val="nil"/>
                    <w:tr2bl w:val="nil"/>
                  </w:tcBorders>
                  <w:vAlign w:val="center"/>
                </w:tcPr>
                <w:p w14:paraId="07063EE8">
                  <w:pPr>
                    <w:widowControl/>
                    <w:spacing w:line="280" w:lineRule="exact"/>
                    <w:ind w:firstLine="420"/>
                    <w:jc w:val="left"/>
                    <w:rPr>
                      <w:color w:val="000000" w:themeColor="text1"/>
                      <w:kern w:val="0"/>
                      <w:sz w:val="21"/>
                      <w:szCs w:val="21"/>
                    </w:rPr>
                  </w:pPr>
                  <w:r>
                    <w:rPr>
                      <w:color w:val="000000" w:themeColor="text1"/>
                      <w:kern w:val="0"/>
                      <w:sz w:val="21"/>
                      <w:szCs w:val="21"/>
                    </w:rPr>
                    <w:t>1、禁止资源消耗高、环境污染重、废物难处理、不符合国家、河北省产业政策、行业准入条件和落后的生产技术、工艺、装备和产品入驻。</w:t>
                  </w:r>
                </w:p>
                <w:p w14:paraId="770CEFCF">
                  <w:pPr>
                    <w:widowControl/>
                    <w:spacing w:line="280" w:lineRule="exact"/>
                    <w:ind w:firstLine="420"/>
                    <w:jc w:val="left"/>
                    <w:rPr>
                      <w:color w:val="000000" w:themeColor="text1"/>
                      <w:kern w:val="0"/>
                      <w:sz w:val="21"/>
                      <w:szCs w:val="21"/>
                    </w:rPr>
                  </w:pPr>
                  <w:r>
                    <w:rPr>
                      <w:color w:val="000000" w:themeColor="text1"/>
                      <w:kern w:val="0"/>
                      <w:sz w:val="21"/>
                      <w:szCs w:val="21"/>
                    </w:rPr>
                    <w:t>2、优化石化产业基地内部产业链上下游项目的空间布局，尽量将产业链下游项目与上游项目靠近设置，缩短输送危险化学品的管道长度，最大限度减少氯等高风险物料管道敷设距离。</w:t>
                  </w:r>
                </w:p>
              </w:tc>
              <w:tc>
                <w:tcPr>
                  <w:tcW w:w="2599" w:type="dxa"/>
                  <w:tcBorders>
                    <w:tl2br w:val="nil"/>
                    <w:tr2bl w:val="nil"/>
                  </w:tcBorders>
                  <w:vAlign w:val="center"/>
                </w:tcPr>
                <w:p w14:paraId="4A198A5E">
                  <w:pPr>
                    <w:widowControl/>
                    <w:spacing w:line="240" w:lineRule="auto"/>
                    <w:ind w:firstLine="420"/>
                    <w:jc w:val="left"/>
                    <w:rPr>
                      <w:color w:val="000000" w:themeColor="text1"/>
                      <w:kern w:val="0"/>
                      <w:sz w:val="21"/>
                      <w:szCs w:val="21"/>
                    </w:rPr>
                  </w:pPr>
                  <w:r>
                    <w:rPr>
                      <w:rFonts w:hint="eastAsia"/>
                      <w:color w:val="000000" w:themeColor="text1"/>
                      <w:kern w:val="0"/>
                      <w:sz w:val="21"/>
                      <w:szCs w:val="21"/>
                    </w:rPr>
                    <w:t>1、本项目不属于</w:t>
                  </w:r>
                  <w:r>
                    <w:rPr>
                      <w:color w:val="000000" w:themeColor="text1"/>
                      <w:kern w:val="0"/>
                      <w:sz w:val="21"/>
                      <w:szCs w:val="21"/>
                    </w:rPr>
                    <w:t>资源消耗高、环境污染重、废物难处理</w:t>
                  </w:r>
                  <w:r>
                    <w:rPr>
                      <w:rFonts w:hint="eastAsia"/>
                      <w:color w:val="000000" w:themeColor="text1"/>
                      <w:kern w:val="0"/>
                      <w:sz w:val="21"/>
                      <w:szCs w:val="21"/>
                    </w:rPr>
                    <w:t>的项目，本项目符合</w:t>
                  </w:r>
                  <w:r>
                    <w:rPr>
                      <w:color w:val="000000" w:themeColor="text1"/>
                      <w:kern w:val="0"/>
                      <w:sz w:val="21"/>
                      <w:szCs w:val="21"/>
                    </w:rPr>
                    <w:t>国家、河北省产业政策、行业准入条件</w:t>
                  </w:r>
                  <w:r>
                    <w:rPr>
                      <w:rFonts w:hint="eastAsia"/>
                      <w:color w:val="000000" w:themeColor="text1"/>
                      <w:kern w:val="0"/>
                      <w:sz w:val="21"/>
                      <w:szCs w:val="21"/>
                    </w:rPr>
                    <w:t>，本项目不涉及</w:t>
                  </w:r>
                  <w:r>
                    <w:rPr>
                      <w:color w:val="000000" w:themeColor="text1"/>
                      <w:kern w:val="0"/>
                      <w:sz w:val="21"/>
                      <w:szCs w:val="21"/>
                    </w:rPr>
                    <w:t>落后的生产技术、工艺、装备和产品</w:t>
                  </w:r>
                  <w:r>
                    <w:rPr>
                      <w:rFonts w:hint="eastAsia"/>
                      <w:color w:val="000000" w:themeColor="text1"/>
                      <w:kern w:val="0"/>
                      <w:sz w:val="21"/>
                      <w:szCs w:val="21"/>
                    </w:rPr>
                    <w:t>。</w:t>
                  </w:r>
                </w:p>
                <w:p w14:paraId="571C4BC8">
                  <w:pPr>
                    <w:widowControl/>
                    <w:spacing w:line="240" w:lineRule="auto"/>
                    <w:ind w:firstLine="420"/>
                    <w:jc w:val="left"/>
                    <w:rPr>
                      <w:color w:val="000000" w:themeColor="text1"/>
                      <w:kern w:val="0"/>
                      <w:sz w:val="21"/>
                      <w:szCs w:val="21"/>
                    </w:rPr>
                  </w:pPr>
                  <w:r>
                    <w:rPr>
                      <w:rFonts w:hint="eastAsia"/>
                      <w:color w:val="000000" w:themeColor="text1"/>
                      <w:kern w:val="0"/>
                      <w:sz w:val="21"/>
                      <w:szCs w:val="21"/>
                    </w:rPr>
                    <w:t>2、本项目位于唐山市曹妃甸装备制造产业园区，不在</w:t>
                  </w:r>
                  <w:r>
                    <w:rPr>
                      <w:color w:val="000000" w:themeColor="text1"/>
                      <w:kern w:val="0"/>
                      <w:sz w:val="21"/>
                      <w:szCs w:val="21"/>
                    </w:rPr>
                    <w:t>石化产业基地内</w:t>
                  </w:r>
                  <w:r>
                    <w:rPr>
                      <w:rFonts w:hint="eastAsia"/>
                      <w:color w:val="000000" w:themeColor="text1"/>
                      <w:kern w:val="0"/>
                      <w:sz w:val="21"/>
                      <w:szCs w:val="21"/>
                    </w:rPr>
                    <w:t>。</w:t>
                  </w:r>
                </w:p>
              </w:tc>
              <w:tc>
                <w:tcPr>
                  <w:tcW w:w="757" w:type="dxa"/>
                  <w:tcBorders>
                    <w:tl2br w:val="nil"/>
                    <w:tr2bl w:val="nil"/>
                  </w:tcBorders>
                  <w:vAlign w:val="center"/>
                </w:tcPr>
                <w:p w14:paraId="405C94CF">
                  <w:pPr>
                    <w:spacing w:line="280" w:lineRule="exact"/>
                    <w:ind w:firstLine="0" w:firstLineChars="0"/>
                    <w:jc w:val="center"/>
                    <w:rPr>
                      <w:color w:val="000000" w:themeColor="text1"/>
                      <w:kern w:val="0"/>
                      <w:sz w:val="21"/>
                      <w:szCs w:val="21"/>
                    </w:rPr>
                  </w:pPr>
                  <w:r>
                    <w:rPr>
                      <w:color w:val="000000" w:themeColor="text1"/>
                      <w:kern w:val="0"/>
                      <w:sz w:val="21"/>
                      <w:szCs w:val="21"/>
                    </w:rPr>
                    <w:t>符合</w:t>
                  </w:r>
                </w:p>
              </w:tc>
            </w:tr>
            <w:tr w14:paraId="7E73F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continue"/>
                  <w:tcBorders>
                    <w:tl2br w:val="nil"/>
                    <w:tr2bl w:val="nil"/>
                  </w:tcBorders>
                  <w:vAlign w:val="center"/>
                </w:tcPr>
                <w:p w14:paraId="5B50A104">
                  <w:pPr>
                    <w:spacing w:line="280" w:lineRule="exact"/>
                    <w:ind w:firstLine="0" w:firstLineChars="0"/>
                    <w:jc w:val="center"/>
                    <w:rPr>
                      <w:color w:val="000000" w:themeColor="text1"/>
                      <w:sz w:val="21"/>
                      <w:szCs w:val="21"/>
                    </w:rPr>
                  </w:pPr>
                </w:p>
              </w:tc>
              <w:tc>
                <w:tcPr>
                  <w:tcW w:w="555" w:type="dxa"/>
                  <w:vMerge w:val="continue"/>
                  <w:tcBorders>
                    <w:tl2br w:val="nil"/>
                    <w:tr2bl w:val="nil"/>
                  </w:tcBorders>
                  <w:vAlign w:val="center"/>
                </w:tcPr>
                <w:p w14:paraId="322FFA9A">
                  <w:pPr>
                    <w:spacing w:line="280" w:lineRule="exact"/>
                    <w:ind w:firstLine="0" w:firstLineChars="0"/>
                    <w:jc w:val="center"/>
                    <w:rPr>
                      <w:color w:val="000000" w:themeColor="text1"/>
                      <w:sz w:val="21"/>
                      <w:szCs w:val="21"/>
                    </w:rPr>
                  </w:pPr>
                </w:p>
              </w:tc>
              <w:tc>
                <w:tcPr>
                  <w:tcW w:w="570" w:type="dxa"/>
                  <w:vMerge w:val="continue"/>
                  <w:tcBorders>
                    <w:tl2br w:val="nil"/>
                    <w:tr2bl w:val="nil"/>
                  </w:tcBorders>
                  <w:vAlign w:val="center"/>
                </w:tcPr>
                <w:p w14:paraId="41DE94C0">
                  <w:pPr>
                    <w:spacing w:line="280" w:lineRule="exact"/>
                    <w:ind w:firstLine="0" w:firstLineChars="0"/>
                    <w:jc w:val="center"/>
                    <w:rPr>
                      <w:color w:val="000000" w:themeColor="text1"/>
                      <w:sz w:val="21"/>
                      <w:szCs w:val="21"/>
                    </w:rPr>
                  </w:pPr>
                </w:p>
              </w:tc>
              <w:tc>
                <w:tcPr>
                  <w:tcW w:w="870" w:type="dxa"/>
                  <w:vMerge w:val="continue"/>
                  <w:tcBorders>
                    <w:tl2br w:val="nil"/>
                    <w:tr2bl w:val="nil"/>
                  </w:tcBorders>
                  <w:vAlign w:val="center"/>
                </w:tcPr>
                <w:p w14:paraId="7433478A">
                  <w:pPr>
                    <w:spacing w:line="280" w:lineRule="exact"/>
                    <w:ind w:firstLine="0" w:firstLineChars="0"/>
                    <w:jc w:val="center"/>
                    <w:rPr>
                      <w:color w:val="000000" w:themeColor="text1"/>
                      <w:sz w:val="21"/>
                      <w:szCs w:val="21"/>
                    </w:rPr>
                  </w:pPr>
                </w:p>
              </w:tc>
              <w:tc>
                <w:tcPr>
                  <w:tcW w:w="1425" w:type="dxa"/>
                  <w:vMerge w:val="continue"/>
                  <w:tcBorders>
                    <w:tl2br w:val="nil"/>
                    <w:tr2bl w:val="nil"/>
                  </w:tcBorders>
                  <w:vAlign w:val="center"/>
                </w:tcPr>
                <w:p w14:paraId="22E1FAB8">
                  <w:pPr>
                    <w:spacing w:line="280" w:lineRule="exact"/>
                    <w:ind w:firstLine="0" w:firstLineChars="0"/>
                    <w:jc w:val="center"/>
                    <w:rPr>
                      <w:color w:val="000000" w:themeColor="text1"/>
                      <w:sz w:val="21"/>
                      <w:szCs w:val="21"/>
                    </w:rPr>
                  </w:pPr>
                </w:p>
              </w:tc>
              <w:tc>
                <w:tcPr>
                  <w:tcW w:w="525" w:type="dxa"/>
                  <w:tcBorders>
                    <w:tl2br w:val="nil"/>
                    <w:tr2bl w:val="nil"/>
                  </w:tcBorders>
                  <w:vAlign w:val="center"/>
                </w:tcPr>
                <w:p w14:paraId="102D9088">
                  <w:pPr>
                    <w:spacing w:line="280" w:lineRule="exact"/>
                    <w:ind w:firstLine="0" w:firstLineChars="0"/>
                    <w:jc w:val="center"/>
                    <w:rPr>
                      <w:color w:val="000000" w:themeColor="text1"/>
                      <w:kern w:val="0"/>
                      <w:sz w:val="21"/>
                      <w:szCs w:val="21"/>
                    </w:rPr>
                  </w:pPr>
                  <w:r>
                    <w:rPr>
                      <w:color w:val="000000" w:themeColor="text1"/>
                      <w:kern w:val="0"/>
                      <w:sz w:val="21"/>
                      <w:szCs w:val="21"/>
                    </w:rPr>
                    <w:t>污染物排放管控</w:t>
                  </w:r>
                </w:p>
              </w:tc>
              <w:tc>
                <w:tcPr>
                  <w:tcW w:w="5181" w:type="dxa"/>
                  <w:tcBorders>
                    <w:tl2br w:val="nil"/>
                    <w:tr2bl w:val="nil"/>
                  </w:tcBorders>
                  <w:vAlign w:val="center"/>
                </w:tcPr>
                <w:p w14:paraId="6F525181">
                  <w:pPr>
                    <w:widowControl/>
                    <w:spacing w:line="280" w:lineRule="exact"/>
                    <w:ind w:firstLine="420"/>
                    <w:jc w:val="left"/>
                    <w:rPr>
                      <w:color w:val="000000" w:themeColor="text1"/>
                      <w:kern w:val="0"/>
                      <w:sz w:val="21"/>
                      <w:szCs w:val="21"/>
                    </w:rPr>
                  </w:pPr>
                  <w:r>
                    <w:rPr>
                      <w:color w:val="000000" w:themeColor="text1"/>
                      <w:kern w:val="0"/>
                      <w:sz w:val="21"/>
                      <w:szCs w:val="21"/>
                    </w:rPr>
                    <w:t>1、深化企业超低排放标准治理，加快“五大行业”全流程达标治理。钢铁、焦化、电力、水泥、平板玻璃等五大行业在点源达到超低排放的基础上强化无组织排放管理，完成全流程整治。</w:t>
                  </w:r>
                </w:p>
                <w:p w14:paraId="6CA7EB16">
                  <w:pPr>
                    <w:widowControl/>
                    <w:spacing w:line="280" w:lineRule="exact"/>
                    <w:ind w:firstLine="420"/>
                    <w:jc w:val="left"/>
                    <w:rPr>
                      <w:color w:val="000000" w:themeColor="text1"/>
                      <w:kern w:val="0"/>
                      <w:sz w:val="21"/>
                      <w:szCs w:val="21"/>
                    </w:rPr>
                  </w:pPr>
                  <w:r>
                    <w:rPr>
                      <w:color w:val="000000" w:themeColor="text1"/>
                      <w:kern w:val="0"/>
                      <w:sz w:val="21"/>
                      <w:szCs w:val="21"/>
                    </w:rPr>
                    <w:t>2、推进开发区内工业企业废水统一收集、集中处理，污水集中处理设施稳定达标运行，逐步提高工业园区监管水平，完善工业园区水污染防治工作台账。</w:t>
                  </w:r>
                </w:p>
              </w:tc>
              <w:tc>
                <w:tcPr>
                  <w:tcW w:w="2599" w:type="dxa"/>
                  <w:tcBorders>
                    <w:tl2br w:val="nil"/>
                    <w:tr2bl w:val="nil"/>
                  </w:tcBorders>
                  <w:vAlign w:val="center"/>
                </w:tcPr>
                <w:p w14:paraId="42B2879E">
                  <w:pPr>
                    <w:widowControl/>
                    <w:spacing w:line="240" w:lineRule="auto"/>
                    <w:ind w:firstLine="420"/>
                    <w:jc w:val="left"/>
                    <w:rPr>
                      <w:color w:val="000000" w:themeColor="text1"/>
                      <w:kern w:val="0"/>
                      <w:sz w:val="21"/>
                      <w:szCs w:val="21"/>
                    </w:rPr>
                  </w:pPr>
                  <w:r>
                    <w:rPr>
                      <w:rFonts w:hint="eastAsia"/>
                      <w:color w:val="000000" w:themeColor="text1"/>
                      <w:kern w:val="0"/>
                      <w:sz w:val="21"/>
                      <w:szCs w:val="21"/>
                    </w:rPr>
                    <w:t>1、本项目不属于</w:t>
                  </w:r>
                  <w:r>
                    <w:rPr>
                      <w:color w:val="000000" w:themeColor="text1"/>
                      <w:kern w:val="0"/>
                      <w:sz w:val="21"/>
                      <w:szCs w:val="21"/>
                    </w:rPr>
                    <w:t>钢铁、焦化、电力、水泥、平板玻璃等五大行业</w:t>
                  </w:r>
                  <w:r>
                    <w:rPr>
                      <w:rFonts w:hint="eastAsia"/>
                      <w:color w:val="000000" w:themeColor="text1"/>
                      <w:kern w:val="0"/>
                      <w:sz w:val="21"/>
                      <w:szCs w:val="21"/>
                    </w:rPr>
                    <w:t>。</w:t>
                  </w:r>
                </w:p>
                <w:p w14:paraId="25142BC3">
                  <w:pPr>
                    <w:widowControl/>
                    <w:spacing w:line="240" w:lineRule="auto"/>
                    <w:ind w:firstLine="420"/>
                    <w:jc w:val="left"/>
                    <w:rPr>
                      <w:color w:val="000000" w:themeColor="text1"/>
                      <w:kern w:val="0"/>
                      <w:sz w:val="21"/>
                      <w:szCs w:val="21"/>
                    </w:rPr>
                  </w:pPr>
                  <w:r>
                    <w:rPr>
                      <w:rFonts w:hint="eastAsia"/>
                      <w:color w:val="000000" w:themeColor="text1"/>
                      <w:kern w:val="0"/>
                      <w:sz w:val="21"/>
                      <w:szCs w:val="21"/>
                    </w:rPr>
                    <w:t>2、本项目生活污水排入市政污水管网，最终进入曹妃甸工业区装备制造区污水处理站处理；热风炉冷却过程排污水回用于冲厕用水再利用，不外排。</w:t>
                  </w:r>
                </w:p>
              </w:tc>
              <w:tc>
                <w:tcPr>
                  <w:tcW w:w="757" w:type="dxa"/>
                  <w:tcBorders>
                    <w:tl2br w:val="nil"/>
                    <w:tr2bl w:val="nil"/>
                  </w:tcBorders>
                  <w:vAlign w:val="center"/>
                </w:tcPr>
                <w:p w14:paraId="32479559">
                  <w:pPr>
                    <w:spacing w:line="280" w:lineRule="exact"/>
                    <w:ind w:firstLine="0" w:firstLineChars="0"/>
                    <w:jc w:val="center"/>
                    <w:rPr>
                      <w:color w:val="000000" w:themeColor="text1"/>
                      <w:kern w:val="0"/>
                      <w:sz w:val="21"/>
                      <w:szCs w:val="21"/>
                    </w:rPr>
                  </w:pPr>
                  <w:r>
                    <w:rPr>
                      <w:color w:val="000000" w:themeColor="text1"/>
                      <w:kern w:val="0"/>
                      <w:sz w:val="21"/>
                      <w:szCs w:val="21"/>
                    </w:rPr>
                    <w:t>符合</w:t>
                  </w:r>
                </w:p>
              </w:tc>
            </w:tr>
            <w:tr w14:paraId="01AFE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continue"/>
                  <w:tcBorders>
                    <w:tl2br w:val="nil"/>
                    <w:tr2bl w:val="nil"/>
                  </w:tcBorders>
                  <w:vAlign w:val="center"/>
                </w:tcPr>
                <w:p w14:paraId="59D2F99A">
                  <w:pPr>
                    <w:spacing w:line="280" w:lineRule="exact"/>
                    <w:ind w:firstLine="0" w:firstLineChars="0"/>
                    <w:jc w:val="center"/>
                    <w:rPr>
                      <w:color w:val="000000" w:themeColor="text1"/>
                      <w:kern w:val="0"/>
                      <w:sz w:val="21"/>
                      <w:szCs w:val="21"/>
                    </w:rPr>
                  </w:pPr>
                </w:p>
              </w:tc>
              <w:tc>
                <w:tcPr>
                  <w:tcW w:w="555" w:type="dxa"/>
                  <w:vMerge w:val="continue"/>
                  <w:tcBorders>
                    <w:tl2br w:val="nil"/>
                    <w:tr2bl w:val="nil"/>
                  </w:tcBorders>
                  <w:vAlign w:val="center"/>
                </w:tcPr>
                <w:p w14:paraId="588DC13A">
                  <w:pPr>
                    <w:spacing w:line="280" w:lineRule="exact"/>
                    <w:ind w:firstLine="0" w:firstLineChars="0"/>
                    <w:jc w:val="center"/>
                    <w:rPr>
                      <w:color w:val="000000" w:themeColor="text1"/>
                      <w:kern w:val="0"/>
                      <w:sz w:val="21"/>
                      <w:szCs w:val="21"/>
                    </w:rPr>
                  </w:pPr>
                </w:p>
              </w:tc>
              <w:tc>
                <w:tcPr>
                  <w:tcW w:w="570" w:type="dxa"/>
                  <w:vMerge w:val="continue"/>
                  <w:tcBorders>
                    <w:tl2br w:val="nil"/>
                    <w:tr2bl w:val="nil"/>
                  </w:tcBorders>
                  <w:vAlign w:val="center"/>
                </w:tcPr>
                <w:p w14:paraId="4E28FEBD">
                  <w:pPr>
                    <w:spacing w:line="280" w:lineRule="exact"/>
                    <w:ind w:firstLine="0" w:firstLineChars="0"/>
                    <w:jc w:val="center"/>
                    <w:rPr>
                      <w:color w:val="000000" w:themeColor="text1"/>
                      <w:kern w:val="0"/>
                      <w:sz w:val="21"/>
                      <w:szCs w:val="21"/>
                    </w:rPr>
                  </w:pPr>
                </w:p>
              </w:tc>
              <w:tc>
                <w:tcPr>
                  <w:tcW w:w="870" w:type="dxa"/>
                  <w:vMerge w:val="continue"/>
                  <w:tcBorders>
                    <w:tl2br w:val="nil"/>
                    <w:tr2bl w:val="nil"/>
                  </w:tcBorders>
                  <w:vAlign w:val="center"/>
                </w:tcPr>
                <w:p w14:paraId="57EB71E1">
                  <w:pPr>
                    <w:spacing w:line="280" w:lineRule="exact"/>
                    <w:ind w:firstLine="0" w:firstLineChars="0"/>
                    <w:jc w:val="center"/>
                    <w:rPr>
                      <w:color w:val="000000" w:themeColor="text1"/>
                      <w:kern w:val="0"/>
                      <w:sz w:val="21"/>
                      <w:szCs w:val="21"/>
                    </w:rPr>
                  </w:pPr>
                </w:p>
              </w:tc>
              <w:tc>
                <w:tcPr>
                  <w:tcW w:w="1425" w:type="dxa"/>
                  <w:vMerge w:val="continue"/>
                  <w:tcBorders>
                    <w:tl2br w:val="nil"/>
                    <w:tr2bl w:val="nil"/>
                  </w:tcBorders>
                  <w:vAlign w:val="center"/>
                </w:tcPr>
                <w:p w14:paraId="7BF3B5EB">
                  <w:pPr>
                    <w:spacing w:line="280" w:lineRule="exact"/>
                    <w:ind w:firstLine="0" w:firstLineChars="0"/>
                    <w:jc w:val="center"/>
                    <w:rPr>
                      <w:color w:val="000000" w:themeColor="text1"/>
                      <w:kern w:val="0"/>
                      <w:sz w:val="21"/>
                      <w:szCs w:val="21"/>
                    </w:rPr>
                  </w:pPr>
                </w:p>
              </w:tc>
              <w:tc>
                <w:tcPr>
                  <w:tcW w:w="525" w:type="dxa"/>
                  <w:tcBorders>
                    <w:tl2br w:val="nil"/>
                    <w:tr2bl w:val="nil"/>
                  </w:tcBorders>
                  <w:vAlign w:val="center"/>
                </w:tcPr>
                <w:p w14:paraId="5746C45A">
                  <w:pPr>
                    <w:spacing w:line="280" w:lineRule="exact"/>
                    <w:ind w:firstLine="0" w:firstLineChars="0"/>
                    <w:jc w:val="center"/>
                    <w:rPr>
                      <w:color w:val="000000" w:themeColor="text1"/>
                      <w:kern w:val="0"/>
                      <w:sz w:val="21"/>
                      <w:szCs w:val="21"/>
                    </w:rPr>
                  </w:pPr>
                  <w:r>
                    <w:rPr>
                      <w:color w:val="000000" w:themeColor="text1"/>
                      <w:kern w:val="0"/>
                      <w:sz w:val="21"/>
                      <w:szCs w:val="21"/>
                    </w:rPr>
                    <w:t>环境风险防控</w:t>
                  </w:r>
                </w:p>
              </w:tc>
              <w:tc>
                <w:tcPr>
                  <w:tcW w:w="5181" w:type="dxa"/>
                  <w:tcBorders>
                    <w:tl2br w:val="nil"/>
                    <w:tr2bl w:val="nil"/>
                  </w:tcBorders>
                  <w:vAlign w:val="center"/>
                </w:tcPr>
                <w:p w14:paraId="2C937FAE">
                  <w:pPr>
                    <w:widowControl/>
                    <w:numPr>
                      <w:ilvl w:val="0"/>
                      <w:numId w:val="3"/>
                    </w:numPr>
                    <w:spacing w:line="280" w:lineRule="exact"/>
                    <w:ind w:firstLine="420"/>
                    <w:rPr>
                      <w:color w:val="000000" w:themeColor="text1"/>
                      <w:kern w:val="0"/>
                      <w:sz w:val="21"/>
                      <w:szCs w:val="21"/>
                    </w:rPr>
                  </w:pPr>
                  <w:r>
                    <w:rPr>
                      <w:color w:val="000000" w:themeColor="text1"/>
                      <w:kern w:val="0"/>
                      <w:sz w:val="21"/>
                      <w:szCs w:val="21"/>
                    </w:rPr>
                    <w:t>石化产业基地应建设公共应急设施与企业三级防控体系相互连通，确保基地陆域事故废水不入海。</w:t>
                  </w:r>
                </w:p>
                <w:p w14:paraId="4D2347CE">
                  <w:pPr>
                    <w:widowControl/>
                    <w:numPr>
                      <w:ilvl w:val="0"/>
                      <w:numId w:val="3"/>
                    </w:numPr>
                    <w:spacing w:line="280" w:lineRule="exact"/>
                    <w:ind w:firstLine="420"/>
                    <w:rPr>
                      <w:color w:val="000000" w:themeColor="text1"/>
                      <w:kern w:val="0"/>
                      <w:sz w:val="21"/>
                      <w:szCs w:val="21"/>
                    </w:rPr>
                  </w:pPr>
                  <w:r>
                    <w:rPr>
                      <w:color w:val="000000" w:themeColor="text1"/>
                      <w:kern w:val="0"/>
                      <w:sz w:val="21"/>
                      <w:szCs w:val="21"/>
                    </w:rPr>
                    <w:t>石化产业基地光气及光气化产品项目生产区实行封闭式管理，采用“五重防护”措施，即工艺设计上确保光气安全和最小的光气在线量、一级安全隔离、二级安全隔离、监测监控与破坏体系、日常运行安全管理及风险应急体系等。</w:t>
                  </w:r>
                </w:p>
                <w:p w14:paraId="1BFA9C12">
                  <w:pPr>
                    <w:widowControl/>
                    <w:spacing w:line="280" w:lineRule="exact"/>
                    <w:ind w:firstLine="420"/>
                    <w:rPr>
                      <w:color w:val="000000" w:themeColor="text1"/>
                      <w:kern w:val="0"/>
                      <w:sz w:val="21"/>
                      <w:szCs w:val="21"/>
                    </w:rPr>
                  </w:pPr>
                  <w:r>
                    <w:rPr>
                      <w:color w:val="000000" w:themeColor="text1"/>
                      <w:kern w:val="0"/>
                      <w:sz w:val="21"/>
                      <w:szCs w:val="21"/>
                    </w:rPr>
                    <w:t>3、土壤污染重点监管单位应严格控制有毒有害物质排放，并按年度向所在地生态环境主管部门报告排放情况；建立土壤污染隐患排查制度，及时开展隐患排查， 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tc>
              <w:tc>
                <w:tcPr>
                  <w:tcW w:w="2599" w:type="dxa"/>
                  <w:tcBorders>
                    <w:tl2br w:val="nil"/>
                    <w:tr2bl w:val="nil"/>
                  </w:tcBorders>
                  <w:shd w:val="clear" w:color="auto" w:fill="auto"/>
                  <w:vAlign w:val="center"/>
                </w:tcPr>
                <w:p w14:paraId="388D07D2">
                  <w:pPr>
                    <w:widowControl/>
                    <w:spacing w:line="240" w:lineRule="auto"/>
                    <w:ind w:firstLine="420"/>
                    <w:jc w:val="left"/>
                    <w:rPr>
                      <w:color w:val="000000" w:themeColor="text1"/>
                      <w:kern w:val="0"/>
                      <w:sz w:val="21"/>
                      <w:szCs w:val="21"/>
                    </w:rPr>
                  </w:pPr>
                  <w:r>
                    <w:rPr>
                      <w:rFonts w:hint="eastAsia"/>
                      <w:color w:val="000000" w:themeColor="text1"/>
                      <w:kern w:val="0"/>
                      <w:sz w:val="21"/>
                      <w:szCs w:val="21"/>
                    </w:rPr>
                    <w:t>本项目位于唐山市曹妃甸装备制造产业园区，不属于石化产业基地。本企业不属于</w:t>
                  </w:r>
                  <w:r>
                    <w:rPr>
                      <w:color w:val="000000" w:themeColor="text1"/>
                      <w:kern w:val="0"/>
                      <w:sz w:val="21"/>
                      <w:szCs w:val="21"/>
                    </w:rPr>
                    <w:t>土壤污染重点监管单位</w:t>
                  </w:r>
                  <w:r>
                    <w:rPr>
                      <w:rFonts w:hint="eastAsia"/>
                      <w:color w:val="000000" w:themeColor="text1"/>
                      <w:kern w:val="0"/>
                      <w:sz w:val="21"/>
                      <w:szCs w:val="21"/>
                    </w:rPr>
                    <w:t>。</w:t>
                  </w:r>
                </w:p>
              </w:tc>
              <w:tc>
                <w:tcPr>
                  <w:tcW w:w="757" w:type="dxa"/>
                  <w:tcBorders>
                    <w:tl2br w:val="nil"/>
                    <w:tr2bl w:val="nil"/>
                  </w:tcBorders>
                  <w:shd w:val="clear" w:color="auto" w:fill="auto"/>
                  <w:vAlign w:val="center"/>
                </w:tcPr>
                <w:p w14:paraId="771BD246">
                  <w:pPr>
                    <w:spacing w:line="280" w:lineRule="exact"/>
                    <w:ind w:firstLine="0" w:firstLineChars="0"/>
                    <w:jc w:val="center"/>
                    <w:rPr>
                      <w:color w:val="000000" w:themeColor="text1"/>
                      <w:kern w:val="0"/>
                      <w:sz w:val="21"/>
                      <w:szCs w:val="21"/>
                    </w:rPr>
                  </w:pPr>
                  <w:r>
                    <w:rPr>
                      <w:rFonts w:hint="eastAsia"/>
                      <w:color w:val="000000" w:themeColor="text1"/>
                      <w:kern w:val="0"/>
                      <w:sz w:val="21"/>
                      <w:szCs w:val="21"/>
                    </w:rPr>
                    <w:t>符合</w:t>
                  </w:r>
                </w:p>
              </w:tc>
            </w:tr>
            <w:tr w14:paraId="6EFB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57" w:type="dxa"/>
                  <w:vMerge w:val="continue"/>
                  <w:tcBorders>
                    <w:tl2br w:val="nil"/>
                    <w:tr2bl w:val="nil"/>
                  </w:tcBorders>
                  <w:vAlign w:val="center"/>
                </w:tcPr>
                <w:p w14:paraId="483CFF0E">
                  <w:pPr>
                    <w:spacing w:line="280" w:lineRule="exact"/>
                    <w:ind w:firstLine="0" w:firstLineChars="0"/>
                    <w:jc w:val="center"/>
                    <w:rPr>
                      <w:color w:val="000000" w:themeColor="text1"/>
                      <w:kern w:val="0"/>
                      <w:sz w:val="21"/>
                      <w:szCs w:val="21"/>
                    </w:rPr>
                  </w:pPr>
                </w:p>
              </w:tc>
              <w:tc>
                <w:tcPr>
                  <w:tcW w:w="555" w:type="dxa"/>
                  <w:vMerge w:val="continue"/>
                  <w:tcBorders>
                    <w:tl2br w:val="nil"/>
                    <w:tr2bl w:val="nil"/>
                  </w:tcBorders>
                  <w:vAlign w:val="center"/>
                </w:tcPr>
                <w:p w14:paraId="12CAB9DE">
                  <w:pPr>
                    <w:spacing w:line="280" w:lineRule="exact"/>
                    <w:ind w:firstLine="0" w:firstLineChars="0"/>
                    <w:jc w:val="center"/>
                    <w:rPr>
                      <w:color w:val="000000" w:themeColor="text1"/>
                      <w:kern w:val="0"/>
                      <w:sz w:val="21"/>
                      <w:szCs w:val="21"/>
                    </w:rPr>
                  </w:pPr>
                </w:p>
              </w:tc>
              <w:tc>
                <w:tcPr>
                  <w:tcW w:w="570" w:type="dxa"/>
                  <w:vMerge w:val="continue"/>
                  <w:tcBorders>
                    <w:tl2br w:val="nil"/>
                    <w:tr2bl w:val="nil"/>
                  </w:tcBorders>
                  <w:vAlign w:val="center"/>
                </w:tcPr>
                <w:p w14:paraId="18C8A2E5">
                  <w:pPr>
                    <w:spacing w:line="280" w:lineRule="exact"/>
                    <w:ind w:firstLine="0" w:firstLineChars="0"/>
                    <w:jc w:val="center"/>
                    <w:rPr>
                      <w:color w:val="000000" w:themeColor="text1"/>
                      <w:kern w:val="0"/>
                      <w:sz w:val="21"/>
                      <w:szCs w:val="21"/>
                    </w:rPr>
                  </w:pPr>
                </w:p>
              </w:tc>
              <w:tc>
                <w:tcPr>
                  <w:tcW w:w="870" w:type="dxa"/>
                  <w:vMerge w:val="continue"/>
                  <w:tcBorders>
                    <w:tl2br w:val="nil"/>
                    <w:tr2bl w:val="nil"/>
                  </w:tcBorders>
                  <w:vAlign w:val="center"/>
                </w:tcPr>
                <w:p w14:paraId="782BAC66">
                  <w:pPr>
                    <w:spacing w:line="280" w:lineRule="exact"/>
                    <w:ind w:firstLine="0" w:firstLineChars="0"/>
                    <w:jc w:val="center"/>
                    <w:rPr>
                      <w:color w:val="000000" w:themeColor="text1"/>
                      <w:kern w:val="0"/>
                      <w:sz w:val="21"/>
                      <w:szCs w:val="21"/>
                    </w:rPr>
                  </w:pPr>
                </w:p>
              </w:tc>
              <w:tc>
                <w:tcPr>
                  <w:tcW w:w="1425" w:type="dxa"/>
                  <w:vMerge w:val="continue"/>
                  <w:tcBorders>
                    <w:tl2br w:val="nil"/>
                    <w:tr2bl w:val="nil"/>
                  </w:tcBorders>
                  <w:vAlign w:val="center"/>
                </w:tcPr>
                <w:p w14:paraId="05E32540">
                  <w:pPr>
                    <w:spacing w:line="280" w:lineRule="exact"/>
                    <w:ind w:firstLine="0" w:firstLineChars="0"/>
                    <w:jc w:val="center"/>
                    <w:rPr>
                      <w:color w:val="000000" w:themeColor="text1"/>
                      <w:kern w:val="0"/>
                      <w:sz w:val="21"/>
                      <w:szCs w:val="21"/>
                    </w:rPr>
                  </w:pPr>
                </w:p>
              </w:tc>
              <w:tc>
                <w:tcPr>
                  <w:tcW w:w="525" w:type="dxa"/>
                  <w:tcBorders>
                    <w:tl2br w:val="nil"/>
                    <w:tr2bl w:val="nil"/>
                  </w:tcBorders>
                  <w:vAlign w:val="center"/>
                </w:tcPr>
                <w:p w14:paraId="527BCE88">
                  <w:pPr>
                    <w:spacing w:line="280" w:lineRule="exact"/>
                    <w:ind w:firstLine="0" w:firstLineChars="0"/>
                    <w:jc w:val="center"/>
                    <w:rPr>
                      <w:color w:val="000000" w:themeColor="text1"/>
                      <w:kern w:val="0"/>
                      <w:sz w:val="21"/>
                      <w:szCs w:val="21"/>
                    </w:rPr>
                  </w:pPr>
                  <w:r>
                    <w:rPr>
                      <w:color w:val="000000" w:themeColor="text1"/>
                      <w:kern w:val="0"/>
                      <w:sz w:val="21"/>
                      <w:szCs w:val="21"/>
                    </w:rPr>
                    <w:t>资源利用效率要求</w:t>
                  </w:r>
                </w:p>
              </w:tc>
              <w:tc>
                <w:tcPr>
                  <w:tcW w:w="5181" w:type="dxa"/>
                  <w:tcBorders>
                    <w:tl2br w:val="nil"/>
                    <w:tr2bl w:val="nil"/>
                  </w:tcBorders>
                  <w:vAlign w:val="center"/>
                </w:tcPr>
                <w:p w14:paraId="04476300">
                  <w:pPr>
                    <w:widowControl/>
                    <w:spacing w:line="280" w:lineRule="exact"/>
                    <w:ind w:firstLine="420"/>
                    <w:jc w:val="left"/>
                    <w:rPr>
                      <w:color w:val="000000" w:themeColor="text1"/>
                      <w:kern w:val="0"/>
                      <w:sz w:val="21"/>
                      <w:szCs w:val="21"/>
                    </w:rPr>
                  </w:pPr>
                  <w:r>
                    <w:rPr>
                      <w:color w:val="000000" w:themeColor="text1"/>
                      <w:kern w:val="0"/>
                      <w:sz w:val="21"/>
                      <w:szCs w:val="21"/>
                    </w:rPr>
                    <w:t>1、禁燃区执行全市资源利用总体管控要求中禁燃区管控要求。</w:t>
                  </w:r>
                </w:p>
                <w:p w14:paraId="554FE98C">
                  <w:pPr>
                    <w:widowControl/>
                    <w:spacing w:line="280" w:lineRule="exact"/>
                    <w:ind w:firstLine="420"/>
                    <w:jc w:val="left"/>
                    <w:rPr>
                      <w:color w:val="000000" w:themeColor="text1"/>
                      <w:kern w:val="0"/>
                      <w:sz w:val="21"/>
                      <w:szCs w:val="21"/>
                    </w:rPr>
                  </w:pPr>
                  <w:r>
                    <w:rPr>
                      <w:color w:val="000000" w:themeColor="text1"/>
                      <w:kern w:val="0"/>
                      <w:sz w:val="21"/>
                      <w:szCs w:val="21"/>
                    </w:rPr>
                    <w:t>2、严控煤炭消费量，对钢铁、焦化、煤炭、电力等重点用煤行业加强煤耗管控，采取去产能、减少煤电机组出力和电煤消耗、推进可再生清洁能源代煤改造等 综合性削煤措施，充分利用天然气等各种清洁能源，促进天然气产业上中下游协调发展</w:t>
                  </w:r>
                  <w:r>
                    <w:rPr>
                      <w:rFonts w:hint="eastAsia"/>
                      <w:color w:val="000000" w:themeColor="text1"/>
                      <w:kern w:val="0"/>
                      <w:sz w:val="21"/>
                      <w:szCs w:val="21"/>
                    </w:rPr>
                    <w:t>。</w:t>
                  </w:r>
                </w:p>
                <w:p w14:paraId="12DE686B">
                  <w:pPr>
                    <w:widowControl/>
                    <w:spacing w:line="280" w:lineRule="exact"/>
                    <w:ind w:firstLine="420"/>
                    <w:jc w:val="left"/>
                    <w:rPr>
                      <w:color w:val="000000" w:themeColor="text1"/>
                      <w:kern w:val="0"/>
                      <w:sz w:val="21"/>
                      <w:szCs w:val="21"/>
                    </w:rPr>
                  </w:pPr>
                  <w:r>
                    <w:rPr>
                      <w:color w:val="000000" w:themeColor="text1"/>
                      <w:kern w:val="0"/>
                      <w:sz w:val="21"/>
                      <w:szCs w:val="21"/>
                    </w:rPr>
                    <w:t>3、中山路街道位于深层地下水限采区，执行全市资源利用总体管控要求中地下水限采区管控要求</w:t>
                  </w:r>
                  <w:r>
                    <w:rPr>
                      <w:rFonts w:hint="eastAsia"/>
                      <w:color w:val="000000" w:themeColor="text1"/>
                      <w:kern w:val="0"/>
                      <w:sz w:val="21"/>
                      <w:szCs w:val="21"/>
                    </w:rPr>
                    <w:t>。</w:t>
                  </w:r>
                </w:p>
                <w:p w14:paraId="2A1A77E8">
                  <w:pPr>
                    <w:widowControl/>
                    <w:spacing w:line="280" w:lineRule="exact"/>
                    <w:ind w:firstLine="420"/>
                    <w:jc w:val="left"/>
                    <w:rPr>
                      <w:color w:val="000000" w:themeColor="text1"/>
                      <w:kern w:val="0"/>
                      <w:sz w:val="21"/>
                      <w:szCs w:val="21"/>
                    </w:rPr>
                  </w:pPr>
                  <w:r>
                    <w:rPr>
                      <w:color w:val="000000" w:themeColor="text1"/>
                      <w:kern w:val="0"/>
                      <w:sz w:val="21"/>
                      <w:szCs w:val="21"/>
                    </w:rPr>
                    <w:t>4、城镇开发边界外区域，暂不开发建设，待土地性质调整后方可开发利用。</w:t>
                  </w:r>
                </w:p>
              </w:tc>
              <w:tc>
                <w:tcPr>
                  <w:tcW w:w="2599" w:type="dxa"/>
                  <w:tcBorders>
                    <w:tl2br w:val="nil"/>
                    <w:tr2bl w:val="nil"/>
                  </w:tcBorders>
                  <w:vAlign w:val="center"/>
                </w:tcPr>
                <w:p w14:paraId="253D26F8">
                  <w:pPr>
                    <w:widowControl/>
                    <w:spacing w:line="240" w:lineRule="auto"/>
                    <w:ind w:firstLine="420"/>
                    <w:jc w:val="left"/>
                    <w:rPr>
                      <w:color w:val="000000" w:themeColor="text1"/>
                      <w:kern w:val="0"/>
                      <w:sz w:val="21"/>
                      <w:szCs w:val="21"/>
                    </w:rPr>
                  </w:pPr>
                  <w:r>
                    <w:rPr>
                      <w:rFonts w:hint="eastAsia"/>
                      <w:color w:val="000000" w:themeColor="text1"/>
                      <w:kern w:val="0"/>
                      <w:sz w:val="21"/>
                      <w:szCs w:val="21"/>
                    </w:rPr>
                    <w:t>本项目位于唐山市曹妃甸装备制造产业园区，</w:t>
                  </w:r>
                  <w:r>
                    <w:rPr>
                      <w:rFonts w:hint="eastAsia"/>
                      <w:color w:val="000000" w:themeColor="text1"/>
                      <w:sz w:val="21"/>
                      <w:szCs w:val="21"/>
                    </w:rPr>
                    <w:t>生产用热采用热风炉燃烧自产生物质能源颗粒提供，不涉及燃煤。本项目用水由园区供水管网供给。</w:t>
                  </w:r>
                </w:p>
              </w:tc>
              <w:tc>
                <w:tcPr>
                  <w:tcW w:w="757" w:type="dxa"/>
                  <w:tcBorders>
                    <w:tl2br w:val="nil"/>
                    <w:tr2bl w:val="nil"/>
                  </w:tcBorders>
                  <w:vAlign w:val="center"/>
                </w:tcPr>
                <w:p w14:paraId="5DBA9812">
                  <w:pPr>
                    <w:spacing w:line="280" w:lineRule="exact"/>
                    <w:ind w:firstLine="0" w:firstLineChars="0"/>
                    <w:jc w:val="center"/>
                    <w:rPr>
                      <w:color w:val="000000" w:themeColor="text1"/>
                      <w:kern w:val="0"/>
                      <w:sz w:val="21"/>
                      <w:szCs w:val="21"/>
                    </w:rPr>
                  </w:pPr>
                  <w:r>
                    <w:rPr>
                      <w:color w:val="000000" w:themeColor="text1"/>
                      <w:kern w:val="0"/>
                      <w:sz w:val="21"/>
                      <w:szCs w:val="21"/>
                    </w:rPr>
                    <w:t>符合</w:t>
                  </w:r>
                </w:p>
              </w:tc>
            </w:tr>
          </w:tbl>
          <w:p w14:paraId="346F04F8">
            <w:pPr>
              <w:ind w:firstLine="480"/>
              <w:rPr>
                <w:color w:val="000000" w:themeColor="text1"/>
                <w:lang w:val="zh-CN"/>
              </w:rPr>
            </w:pPr>
            <w:r>
              <w:rPr>
                <w:rFonts w:hint="eastAsia"/>
                <w:color w:val="000000" w:themeColor="text1"/>
              </w:rPr>
              <w:t>根据上表</w:t>
            </w:r>
            <w:r>
              <w:rPr>
                <w:rFonts w:hint="eastAsia"/>
                <w:color w:val="000000" w:themeColor="text1"/>
                <w:lang w:val="zh-CN"/>
              </w:rPr>
              <w:t>，</w:t>
            </w:r>
            <w:r>
              <w:rPr>
                <w:rFonts w:hint="eastAsia"/>
                <w:color w:val="000000" w:themeColor="text1"/>
              </w:rPr>
              <w:t>本项目</w:t>
            </w:r>
            <w:r>
              <w:rPr>
                <w:rFonts w:hint="eastAsia"/>
                <w:color w:val="000000" w:themeColor="text1"/>
                <w:lang w:val="zh-CN"/>
              </w:rPr>
              <w:t>的建设符合</w:t>
            </w:r>
            <w:r>
              <w:rPr>
                <w:rFonts w:hint="eastAsia"/>
                <w:color w:val="000000" w:themeColor="text1"/>
              </w:rPr>
              <w:t>唐山市生态环境准入清单</w:t>
            </w:r>
            <w:r>
              <w:rPr>
                <w:color w:val="000000" w:themeColor="text1"/>
                <w:lang w:val="zh-CN"/>
              </w:rPr>
              <w:t>要求</w:t>
            </w:r>
            <w:r>
              <w:rPr>
                <w:rFonts w:hint="eastAsia"/>
                <w:color w:val="000000" w:themeColor="text1"/>
                <w:lang w:val="zh-CN"/>
              </w:rPr>
              <w:t>，</w:t>
            </w:r>
            <w:r>
              <w:rPr>
                <w:rFonts w:hint="eastAsia"/>
                <w:color w:val="000000" w:themeColor="text1"/>
              </w:rPr>
              <w:t>本项目与唐山市环境管控单元图位置关系见附图4</w:t>
            </w:r>
            <w:r>
              <w:rPr>
                <w:rFonts w:hint="eastAsia"/>
                <w:color w:val="000000" w:themeColor="text1"/>
                <w:lang w:val="zh-CN"/>
              </w:rPr>
              <w:t>。</w:t>
            </w:r>
          </w:p>
          <w:p w14:paraId="7A06D7E5">
            <w:pPr>
              <w:ind w:firstLine="480"/>
              <w:rPr>
                <w:color w:val="000000" w:themeColor="text1"/>
                <w:spacing w:val="-2"/>
              </w:rPr>
            </w:pPr>
            <w:r>
              <w:rPr>
                <w:rFonts w:hint="eastAsia"/>
                <w:color w:val="000000" w:themeColor="text1"/>
              </w:rPr>
              <w:t>综上所述，</w:t>
            </w:r>
            <w:r>
              <w:rPr>
                <w:color w:val="000000" w:themeColor="text1"/>
                <w:spacing w:val="-2"/>
              </w:rPr>
              <w:t>本项目的建设符合</w:t>
            </w:r>
            <w:r>
              <w:rPr>
                <w:rFonts w:eastAsia="Times New Roman"/>
                <w:color w:val="000000" w:themeColor="text1"/>
                <w:spacing w:val="-2"/>
              </w:rPr>
              <w:t>“</w:t>
            </w:r>
            <w:r>
              <w:rPr>
                <w:color w:val="000000" w:themeColor="text1"/>
                <w:spacing w:val="-2"/>
              </w:rPr>
              <w:t>三线一单</w:t>
            </w:r>
            <w:r>
              <w:rPr>
                <w:rFonts w:eastAsia="Times New Roman"/>
                <w:color w:val="000000" w:themeColor="text1"/>
                <w:spacing w:val="-2"/>
              </w:rPr>
              <w:t>”</w:t>
            </w:r>
            <w:r>
              <w:rPr>
                <w:color w:val="000000" w:themeColor="text1"/>
                <w:spacing w:val="-2"/>
              </w:rPr>
              <w:t>要求</w:t>
            </w:r>
            <w:r>
              <w:rPr>
                <w:rFonts w:hint="eastAsia"/>
                <w:color w:val="000000" w:themeColor="text1"/>
                <w:spacing w:val="-2"/>
              </w:rPr>
              <w:t>。</w:t>
            </w:r>
          </w:p>
          <w:p w14:paraId="667518CB">
            <w:pPr>
              <w:ind w:firstLine="482"/>
              <w:rPr>
                <w:b/>
                <w:bCs/>
                <w:color w:val="000000" w:themeColor="text1"/>
                <w:spacing w:val="-2"/>
              </w:rPr>
            </w:pPr>
            <w:r>
              <w:rPr>
                <w:rFonts w:hint="eastAsia"/>
                <w:b/>
                <w:bCs/>
                <w:color w:val="000000" w:themeColor="text1"/>
              </w:rPr>
              <w:t>4</w:t>
            </w:r>
            <w:r>
              <w:rPr>
                <w:rFonts w:hint="eastAsia"/>
                <w:b/>
                <w:bCs/>
                <w:color w:val="000000" w:themeColor="text1"/>
                <w:spacing w:val="-2"/>
              </w:rPr>
              <w:t>、</w:t>
            </w:r>
            <w:r>
              <w:rPr>
                <w:rFonts w:hint="eastAsia"/>
                <w:b/>
                <w:bCs/>
                <w:color w:val="000000" w:themeColor="text1"/>
              </w:rPr>
              <w:t>与《环境保护综合名录（2021年版）》符合性分析</w:t>
            </w:r>
          </w:p>
          <w:p w14:paraId="50C1480D">
            <w:pPr>
              <w:ind w:firstLine="480"/>
              <w:rPr>
                <w:color w:val="000000" w:themeColor="text1"/>
              </w:rPr>
            </w:pPr>
            <w:r>
              <w:rPr>
                <w:rFonts w:hint="eastAsia"/>
                <w:color w:val="000000" w:themeColor="text1"/>
              </w:rPr>
              <w:t>本项目产品不在《环境保护综合名录（2021年版）》（环办综合函[2021]495号）中“高污染”、“高环境风险”、“高污染、高环境风险”产品名录之列。</w:t>
            </w:r>
          </w:p>
          <w:p w14:paraId="3396DB40">
            <w:pPr>
              <w:ind w:firstLine="474"/>
              <w:rPr>
                <w:color w:val="000000" w:themeColor="text1"/>
                <w:spacing w:val="-2"/>
              </w:rPr>
            </w:pPr>
            <w:r>
              <w:rPr>
                <w:rFonts w:hint="eastAsia"/>
                <w:b/>
                <w:bCs/>
                <w:color w:val="000000" w:themeColor="text1"/>
                <w:spacing w:val="-2"/>
              </w:rPr>
              <w:t>5、</w:t>
            </w:r>
            <w:r>
              <w:rPr>
                <w:rFonts w:hint="eastAsia"/>
                <w:b/>
                <w:bCs/>
                <w:color w:val="000000" w:themeColor="text1"/>
              </w:rPr>
              <w:t>与其他相关文件符合性分析</w:t>
            </w:r>
          </w:p>
          <w:p w14:paraId="65D4B973">
            <w:pPr>
              <w:ind w:firstLine="480"/>
              <w:rPr>
                <w:color w:val="000000" w:themeColor="text1"/>
                <w:spacing w:val="-2"/>
              </w:rPr>
            </w:pPr>
            <w:r>
              <w:rPr>
                <w:rFonts w:hint="eastAsia"/>
                <w:color w:val="000000" w:themeColor="text1"/>
              </w:rPr>
              <w:t>本项目</w:t>
            </w:r>
            <w:r>
              <w:rPr>
                <w:rFonts w:hint="eastAsia"/>
                <w:color w:val="000000" w:themeColor="text1"/>
                <w:spacing w:val="-2"/>
              </w:rPr>
              <w:t>与</w:t>
            </w:r>
            <w:r>
              <w:rPr>
                <w:color w:val="000000" w:themeColor="text1"/>
                <w:spacing w:val="-4"/>
              </w:rPr>
              <w:t>《国务院关于印发</w:t>
            </w:r>
            <w:r>
              <w:rPr>
                <w:rFonts w:eastAsia="Times New Roman"/>
                <w:color w:val="000000" w:themeColor="text1"/>
                <w:spacing w:val="-4"/>
              </w:rPr>
              <w:t>&lt;</w:t>
            </w:r>
            <w:r>
              <w:rPr>
                <w:color w:val="000000" w:themeColor="text1"/>
                <w:spacing w:val="-4"/>
              </w:rPr>
              <w:t>空气质量持续改善行动计划</w:t>
            </w:r>
            <w:r>
              <w:rPr>
                <w:rFonts w:eastAsia="Times New Roman"/>
                <w:color w:val="000000" w:themeColor="text1"/>
                <w:spacing w:val="-4"/>
              </w:rPr>
              <w:t>&gt;</w:t>
            </w:r>
            <w:r>
              <w:rPr>
                <w:rFonts w:eastAsia="Times New Roman"/>
                <w:color w:val="000000" w:themeColor="text1"/>
                <w:spacing w:val="-31"/>
              </w:rPr>
              <w:t xml:space="preserve"> </w:t>
            </w:r>
            <w:r>
              <w:rPr>
                <w:color w:val="000000" w:themeColor="text1"/>
                <w:spacing w:val="-4"/>
              </w:rPr>
              <w:t>的通知》（国发</w:t>
            </w:r>
            <w:r>
              <w:rPr>
                <w:rFonts w:eastAsia="Times New Roman"/>
                <w:color w:val="000000" w:themeColor="text1"/>
                <w:spacing w:val="-4"/>
              </w:rPr>
              <w:t>[2023]24</w:t>
            </w:r>
            <w:r>
              <w:rPr>
                <w:color w:val="000000" w:themeColor="text1"/>
                <w:spacing w:val="-4"/>
              </w:rPr>
              <w:t>号）</w:t>
            </w:r>
            <w:r>
              <w:rPr>
                <w:rFonts w:hint="eastAsia"/>
                <w:color w:val="000000" w:themeColor="text1"/>
                <w:spacing w:val="-4"/>
              </w:rPr>
              <w:t>、《河北省2021年大气污染综合治理工作方案》（冀气领组[2021]2号）、《中共唐山市委办公室、唐山市人民政府办公室关于印发</w:t>
            </w:r>
            <w:r>
              <w:rPr>
                <w:rFonts w:eastAsia="Times New Roman"/>
                <w:color w:val="000000" w:themeColor="text1"/>
                <w:spacing w:val="-4"/>
              </w:rPr>
              <w:t>&lt;</w:t>
            </w:r>
            <w:r>
              <w:rPr>
                <w:rFonts w:hint="eastAsia"/>
                <w:color w:val="000000" w:themeColor="text1"/>
                <w:spacing w:val="-4"/>
              </w:rPr>
              <w:t>进一步推进唐山空气质量稳定“退后十”方案</w:t>
            </w:r>
            <w:r>
              <w:rPr>
                <w:rFonts w:eastAsia="Times New Roman"/>
                <w:color w:val="000000" w:themeColor="text1"/>
                <w:spacing w:val="-4"/>
              </w:rPr>
              <w:t>&gt;</w:t>
            </w:r>
            <w:r>
              <w:rPr>
                <w:rFonts w:hint="eastAsia"/>
                <w:color w:val="000000" w:themeColor="text1"/>
                <w:spacing w:val="-4"/>
              </w:rPr>
              <w:t>的通知》（唐办〔2023〕24号）、《唐山市2022年大气污染综合治理工作要点》、《工业炉窑大气污染综合治理方案》（环大气[2019]56号）、《河北省工业炉窑综合治理实施方案》（冀环大气〔2019〕607号）、《2019年“十项重点工作”工作方案》（唐办发[2019]3号）符合性分析见下表。</w:t>
            </w:r>
          </w:p>
          <w:p w14:paraId="57423091">
            <w:pPr>
              <w:ind w:firstLine="0" w:firstLineChars="0"/>
              <w:jc w:val="center"/>
              <w:rPr>
                <w:b/>
                <w:bCs/>
                <w:color w:val="000000" w:themeColor="text1"/>
                <w:spacing w:val="-2"/>
                <w:sz w:val="21"/>
                <w:szCs w:val="21"/>
              </w:rPr>
            </w:pPr>
          </w:p>
          <w:p w14:paraId="3BAE9BE2">
            <w:pPr>
              <w:ind w:firstLine="0" w:firstLineChars="0"/>
              <w:jc w:val="center"/>
              <w:rPr>
                <w:b/>
                <w:bCs/>
                <w:color w:val="000000" w:themeColor="text1"/>
                <w:spacing w:val="-2"/>
                <w:sz w:val="21"/>
                <w:szCs w:val="21"/>
              </w:rPr>
            </w:pPr>
          </w:p>
          <w:p w14:paraId="2B1D22E5">
            <w:pPr>
              <w:ind w:firstLine="0" w:firstLineChars="0"/>
              <w:jc w:val="center"/>
              <w:rPr>
                <w:b/>
                <w:bCs/>
                <w:color w:val="000000" w:themeColor="text1"/>
                <w:spacing w:val="-2"/>
                <w:sz w:val="21"/>
                <w:szCs w:val="21"/>
              </w:rPr>
            </w:pPr>
            <w:r>
              <w:rPr>
                <w:rFonts w:hint="eastAsia"/>
                <w:b/>
                <w:bCs/>
                <w:color w:val="000000" w:themeColor="text1"/>
                <w:spacing w:val="-2"/>
                <w:sz w:val="21"/>
                <w:szCs w:val="21"/>
              </w:rPr>
              <w:t>表7   本项目与</w:t>
            </w:r>
            <w:r>
              <w:rPr>
                <w:rFonts w:hint="eastAsia"/>
                <w:b/>
                <w:bCs/>
                <w:color w:val="000000" w:themeColor="text1"/>
                <w:sz w:val="21"/>
                <w:szCs w:val="21"/>
              </w:rPr>
              <w:t>其他相关文件符合性分析一览表</w:t>
            </w:r>
          </w:p>
          <w:tbl>
            <w:tblPr>
              <w:tblStyle w:val="25"/>
              <w:tblW w:w="130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35"/>
              <w:gridCol w:w="6171"/>
              <w:gridCol w:w="4020"/>
              <w:gridCol w:w="854"/>
            </w:tblGrid>
            <w:tr w14:paraId="3B9D7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87" w:type="dxa"/>
                  <w:tcBorders>
                    <w:tl2br w:val="nil"/>
                    <w:tr2bl w:val="nil"/>
                  </w:tcBorders>
                  <w:vAlign w:val="center"/>
                </w:tcPr>
                <w:p w14:paraId="18E50026">
                  <w:pPr>
                    <w:spacing w:line="240" w:lineRule="auto"/>
                    <w:ind w:firstLine="0" w:firstLineChars="0"/>
                    <w:jc w:val="center"/>
                    <w:rPr>
                      <w:b/>
                      <w:bCs/>
                      <w:color w:val="000000" w:themeColor="text1"/>
                      <w:sz w:val="21"/>
                      <w:szCs w:val="21"/>
                    </w:rPr>
                  </w:pPr>
                  <w:r>
                    <w:rPr>
                      <w:rFonts w:hint="eastAsia"/>
                      <w:b/>
                      <w:bCs/>
                      <w:color w:val="000000" w:themeColor="text1"/>
                      <w:sz w:val="21"/>
                      <w:szCs w:val="21"/>
                    </w:rPr>
                    <w:t>序号</w:t>
                  </w:r>
                </w:p>
              </w:tc>
              <w:tc>
                <w:tcPr>
                  <w:tcW w:w="7506" w:type="dxa"/>
                  <w:gridSpan w:val="2"/>
                  <w:tcBorders>
                    <w:tl2br w:val="nil"/>
                    <w:tr2bl w:val="nil"/>
                  </w:tcBorders>
                  <w:vAlign w:val="center"/>
                </w:tcPr>
                <w:p w14:paraId="2BAE8FCF">
                  <w:pPr>
                    <w:spacing w:line="240" w:lineRule="auto"/>
                    <w:ind w:firstLine="0" w:firstLineChars="0"/>
                    <w:jc w:val="center"/>
                    <w:rPr>
                      <w:b/>
                      <w:bCs/>
                      <w:color w:val="000000" w:themeColor="text1"/>
                      <w:sz w:val="21"/>
                      <w:szCs w:val="21"/>
                    </w:rPr>
                  </w:pPr>
                  <w:r>
                    <w:rPr>
                      <w:rFonts w:hint="eastAsia"/>
                      <w:b/>
                      <w:bCs/>
                      <w:color w:val="000000" w:themeColor="text1"/>
                      <w:sz w:val="21"/>
                      <w:szCs w:val="21"/>
                    </w:rPr>
                    <w:t>文件要求</w:t>
                  </w:r>
                </w:p>
              </w:tc>
              <w:tc>
                <w:tcPr>
                  <w:tcW w:w="4020" w:type="dxa"/>
                  <w:tcBorders>
                    <w:tl2br w:val="nil"/>
                    <w:tr2bl w:val="nil"/>
                  </w:tcBorders>
                  <w:vAlign w:val="center"/>
                </w:tcPr>
                <w:p w14:paraId="77C3CFD4">
                  <w:pPr>
                    <w:spacing w:line="240" w:lineRule="auto"/>
                    <w:ind w:firstLine="0" w:firstLineChars="0"/>
                    <w:jc w:val="center"/>
                    <w:rPr>
                      <w:b/>
                      <w:bCs/>
                      <w:color w:val="000000" w:themeColor="text1"/>
                      <w:sz w:val="21"/>
                      <w:szCs w:val="21"/>
                    </w:rPr>
                  </w:pPr>
                  <w:r>
                    <w:rPr>
                      <w:rFonts w:hint="eastAsia"/>
                      <w:b/>
                      <w:bCs/>
                      <w:color w:val="000000" w:themeColor="text1"/>
                      <w:sz w:val="21"/>
                      <w:szCs w:val="21"/>
                    </w:rPr>
                    <w:t>本项目情况</w:t>
                  </w:r>
                </w:p>
              </w:tc>
              <w:tc>
                <w:tcPr>
                  <w:tcW w:w="854" w:type="dxa"/>
                  <w:tcBorders>
                    <w:tl2br w:val="nil"/>
                    <w:tr2bl w:val="nil"/>
                  </w:tcBorders>
                  <w:vAlign w:val="center"/>
                </w:tcPr>
                <w:p w14:paraId="5AAFE547">
                  <w:pPr>
                    <w:spacing w:line="240" w:lineRule="auto"/>
                    <w:ind w:firstLine="0" w:firstLineChars="0"/>
                    <w:jc w:val="center"/>
                    <w:rPr>
                      <w:b/>
                      <w:bCs/>
                      <w:color w:val="000000" w:themeColor="text1"/>
                      <w:sz w:val="21"/>
                      <w:szCs w:val="21"/>
                    </w:rPr>
                  </w:pPr>
                  <w:r>
                    <w:rPr>
                      <w:rFonts w:hint="eastAsia"/>
                      <w:b/>
                      <w:bCs/>
                      <w:color w:val="000000" w:themeColor="text1"/>
                      <w:sz w:val="21"/>
                      <w:szCs w:val="21"/>
                    </w:rPr>
                    <w:t>符合性</w:t>
                  </w:r>
                </w:p>
              </w:tc>
            </w:tr>
            <w:tr w14:paraId="56876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4C256F4E">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1335" w:type="dxa"/>
                  <w:vMerge w:val="restart"/>
                  <w:tcBorders>
                    <w:tl2br w:val="nil"/>
                    <w:tr2bl w:val="nil"/>
                  </w:tcBorders>
                  <w:vAlign w:val="center"/>
                </w:tcPr>
                <w:p w14:paraId="54A31F10">
                  <w:pPr>
                    <w:spacing w:line="240" w:lineRule="auto"/>
                    <w:ind w:firstLine="0" w:firstLineChars="0"/>
                    <w:jc w:val="center"/>
                    <w:rPr>
                      <w:color w:val="000000" w:themeColor="text1"/>
                      <w:sz w:val="21"/>
                      <w:szCs w:val="21"/>
                    </w:rPr>
                  </w:pPr>
                  <w:r>
                    <w:rPr>
                      <w:rFonts w:hint="eastAsia"/>
                      <w:color w:val="000000" w:themeColor="text1"/>
                      <w:sz w:val="21"/>
                      <w:szCs w:val="21"/>
                    </w:rPr>
                    <w:t>《国务院关于印发&lt;空气质量持续改善行动计划&gt; 的通知》（国发[2023]24号）</w:t>
                  </w:r>
                </w:p>
              </w:tc>
              <w:tc>
                <w:tcPr>
                  <w:tcW w:w="6171" w:type="dxa"/>
                  <w:tcBorders>
                    <w:tl2br w:val="nil"/>
                    <w:tr2bl w:val="nil"/>
                  </w:tcBorders>
                  <w:vAlign w:val="center"/>
                </w:tcPr>
                <w:p w14:paraId="648D3783">
                  <w:pPr>
                    <w:spacing w:line="240" w:lineRule="auto"/>
                    <w:ind w:firstLine="0" w:firstLineChars="0"/>
                    <w:jc w:val="center"/>
                    <w:rPr>
                      <w:color w:val="000000" w:themeColor="text1"/>
                      <w:sz w:val="21"/>
                      <w:szCs w:val="21"/>
                    </w:rPr>
                  </w:pPr>
                  <w:r>
                    <w:rPr>
                      <w:rFonts w:hint="eastAsia"/>
                      <w:color w:val="000000" w:themeColor="text1"/>
                      <w:sz w:val="21"/>
                      <w:szCs w:val="21"/>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4020" w:type="dxa"/>
                  <w:tcBorders>
                    <w:tl2br w:val="nil"/>
                    <w:tr2bl w:val="nil"/>
                  </w:tcBorders>
                  <w:vAlign w:val="center"/>
                </w:tcPr>
                <w:p w14:paraId="28329BC1">
                  <w:pPr>
                    <w:spacing w:line="240" w:lineRule="auto"/>
                    <w:ind w:firstLine="0" w:firstLineChars="0"/>
                    <w:jc w:val="center"/>
                    <w:rPr>
                      <w:color w:val="000000" w:themeColor="text1"/>
                      <w:sz w:val="21"/>
                      <w:szCs w:val="21"/>
                    </w:rPr>
                  </w:pPr>
                  <w:r>
                    <w:rPr>
                      <w:rFonts w:hint="eastAsia"/>
                      <w:color w:val="000000" w:themeColor="text1"/>
                      <w:sz w:val="21"/>
                      <w:szCs w:val="21"/>
                    </w:rPr>
                    <w:t>本项目不属于高耗能、高排放、低水平项目，严格落实国家产业规划、产业政策、生态环境分区管控方案、规划环评、重点污染物总量控制等相关要求，进行环境影响评价工作，采用清洁运输方式；根据生态环境部《关于加强重点行业建设项目区域削减措施监督管理的通知》（环办环评[2020]36号）和唐山市生态环境局《转发&lt;河北省生态环境厅办公室关于做好主要污染物重点减排工程及建设项目总量指标管理的提示函&gt;的通知》(唐环评函[2024]32号)等文件规定，本项目不属于石化、煤化工、燃煤发电(含热电)、钢铁、有色金属冶炼、制浆造纸等六大重点行业，无需进行倍量削减；本项目不涉及产能置换。</w:t>
                  </w:r>
                </w:p>
              </w:tc>
              <w:tc>
                <w:tcPr>
                  <w:tcW w:w="854" w:type="dxa"/>
                  <w:tcBorders>
                    <w:tl2br w:val="nil"/>
                    <w:tr2bl w:val="nil"/>
                  </w:tcBorders>
                  <w:vAlign w:val="center"/>
                </w:tcPr>
                <w:p w14:paraId="71F55733">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1696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5DE02D69">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4F494899">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7D30DF55">
                  <w:pPr>
                    <w:spacing w:line="240" w:lineRule="auto"/>
                    <w:ind w:firstLine="0" w:firstLineChars="0"/>
                    <w:jc w:val="center"/>
                    <w:rPr>
                      <w:color w:val="000000" w:themeColor="text1"/>
                      <w:sz w:val="21"/>
                      <w:szCs w:val="21"/>
                    </w:rPr>
                  </w:pPr>
                  <w:r>
                    <w:rPr>
                      <w:rFonts w:hint="eastAsia"/>
                      <w:color w:val="000000" w:themeColor="text1"/>
                      <w:sz w:val="21"/>
                      <w:szCs w:val="21"/>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4020" w:type="dxa"/>
                  <w:tcBorders>
                    <w:tl2br w:val="nil"/>
                    <w:tr2bl w:val="nil"/>
                  </w:tcBorders>
                  <w:vAlign w:val="center"/>
                </w:tcPr>
                <w:p w14:paraId="36EF73B9">
                  <w:pPr>
                    <w:spacing w:line="240" w:lineRule="auto"/>
                    <w:ind w:firstLine="0" w:firstLineChars="0"/>
                    <w:jc w:val="center"/>
                    <w:rPr>
                      <w:color w:val="000000" w:themeColor="text1"/>
                      <w:sz w:val="21"/>
                      <w:szCs w:val="21"/>
                    </w:rPr>
                  </w:pPr>
                  <w:r>
                    <w:rPr>
                      <w:rFonts w:hint="eastAsia"/>
                      <w:color w:val="000000" w:themeColor="text1"/>
                      <w:sz w:val="21"/>
                      <w:szCs w:val="21"/>
                    </w:rPr>
                    <w:t>本项目不属于钢铁项目，不涉及新增钢铁产能。</w:t>
                  </w:r>
                </w:p>
              </w:tc>
              <w:tc>
                <w:tcPr>
                  <w:tcW w:w="854" w:type="dxa"/>
                  <w:tcBorders>
                    <w:tl2br w:val="nil"/>
                    <w:tr2bl w:val="nil"/>
                  </w:tcBorders>
                  <w:vAlign w:val="center"/>
                </w:tcPr>
                <w:p w14:paraId="4BD11A2B">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34FD5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71B751EA">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3406A3BF">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0F735C74">
                  <w:pPr>
                    <w:spacing w:line="240" w:lineRule="auto"/>
                    <w:ind w:firstLine="0" w:firstLineChars="0"/>
                    <w:jc w:val="center"/>
                    <w:rPr>
                      <w:color w:val="000000" w:themeColor="text1"/>
                      <w:sz w:val="21"/>
                      <w:szCs w:val="21"/>
                    </w:rPr>
                  </w:pPr>
                  <w:r>
                    <w:rPr>
                      <w:rFonts w:hint="eastAsia"/>
                      <w:color w:val="000000" w:themeColor="text1"/>
                      <w:sz w:val="21"/>
                      <w:szCs w:val="21"/>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4020" w:type="dxa"/>
                  <w:tcBorders>
                    <w:tl2br w:val="nil"/>
                    <w:tr2bl w:val="nil"/>
                  </w:tcBorders>
                  <w:vAlign w:val="center"/>
                </w:tcPr>
                <w:p w14:paraId="3D2228A8">
                  <w:pPr>
                    <w:spacing w:line="240" w:lineRule="auto"/>
                    <w:ind w:firstLine="0" w:firstLineChars="0"/>
                    <w:jc w:val="center"/>
                    <w:rPr>
                      <w:color w:val="000000" w:themeColor="text1"/>
                      <w:sz w:val="21"/>
                      <w:szCs w:val="21"/>
                    </w:rPr>
                  </w:pPr>
                  <w:r>
                    <w:rPr>
                      <w:rFonts w:hint="eastAsia"/>
                      <w:color w:val="000000" w:themeColor="text1"/>
                      <w:sz w:val="21"/>
                      <w:szCs w:val="21"/>
                    </w:rPr>
                    <w:t>本项目不涉及含VOCs原辅材料和产品。</w:t>
                  </w:r>
                </w:p>
              </w:tc>
              <w:tc>
                <w:tcPr>
                  <w:tcW w:w="854" w:type="dxa"/>
                  <w:tcBorders>
                    <w:tl2br w:val="nil"/>
                    <w:tr2bl w:val="nil"/>
                  </w:tcBorders>
                  <w:vAlign w:val="center"/>
                </w:tcPr>
                <w:p w14:paraId="5A64613D">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79338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0C4BF107">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0FE7534F">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07591EF8">
                  <w:pPr>
                    <w:spacing w:line="240" w:lineRule="auto"/>
                    <w:ind w:firstLine="0" w:firstLineChars="0"/>
                    <w:jc w:val="center"/>
                    <w:rPr>
                      <w:color w:val="000000" w:themeColor="text1"/>
                      <w:sz w:val="21"/>
                      <w:szCs w:val="21"/>
                    </w:rPr>
                  </w:pPr>
                  <w:r>
                    <w:rPr>
                      <w:rFonts w:hint="eastAsia"/>
                      <w:color w:val="000000" w:themeColor="text1"/>
                      <w:sz w:val="21"/>
                      <w:szCs w:val="21"/>
                    </w:rPr>
                    <w:t>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4020" w:type="dxa"/>
                  <w:tcBorders>
                    <w:tl2br w:val="nil"/>
                    <w:tr2bl w:val="nil"/>
                  </w:tcBorders>
                  <w:vAlign w:val="center"/>
                </w:tcPr>
                <w:p w14:paraId="5C40FD80">
                  <w:pPr>
                    <w:spacing w:line="240" w:lineRule="auto"/>
                    <w:ind w:firstLine="0" w:firstLineChars="0"/>
                    <w:jc w:val="center"/>
                    <w:rPr>
                      <w:color w:val="000000" w:themeColor="text1"/>
                      <w:sz w:val="21"/>
                      <w:szCs w:val="21"/>
                    </w:rPr>
                  </w:pPr>
                  <w:r>
                    <w:rPr>
                      <w:rFonts w:hint="eastAsia"/>
                      <w:color w:val="000000" w:themeColor="text1"/>
                      <w:sz w:val="21"/>
                      <w:szCs w:val="21"/>
                    </w:rPr>
                    <w:t>本项目不涉及限制类涉气行业工艺和装备、步进式烧结机和球团竖炉以及半封闭式硅锰合金、镍铁、高碳铬铁、高碳锰铁电炉，不属于钢铁、焦化、电解铝等产业。</w:t>
                  </w:r>
                </w:p>
              </w:tc>
              <w:tc>
                <w:tcPr>
                  <w:tcW w:w="854" w:type="dxa"/>
                  <w:tcBorders>
                    <w:tl2br w:val="nil"/>
                    <w:tr2bl w:val="nil"/>
                  </w:tcBorders>
                  <w:vAlign w:val="center"/>
                </w:tcPr>
                <w:p w14:paraId="2C614BDA">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1B487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78A06C20">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42DB5964">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3869F815">
                  <w:pPr>
                    <w:spacing w:line="240" w:lineRule="auto"/>
                    <w:ind w:firstLine="0" w:firstLineChars="0"/>
                    <w:jc w:val="center"/>
                    <w:rPr>
                      <w:color w:val="000000" w:themeColor="text1"/>
                      <w:sz w:val="21"/>
                      <w:szCs w:val="21"/>
                    </w:rPr>
                  </w:pPr>
                  <w:r>
                    <w:rPr>
                      <w:rFonts w:hint="eastAsia"/>
                      <w:color w:val="000000" w:themeColor="text1"/>
                      <w:sz w:val="21"/>
                      <w:szCs w:val="21"/>
                    </w:rPr>
                    <w:t>强化非道路移动源综合治理。加快推进铁路货场、物流园区、港口、机场、工矿企业内部作业车辆和机械新能源更新改造。</w:t>
                  </w:r>
                </w:p>
              </w:tc>
              <w:tc>
                <w:tcPr>
                  <w:tcW w:w="4020" w:type="dxa"/>
                  <w:tcBorders>
                    <w:tl2br w:val="nil"/>
                    <w:tr2bl w:val="nil"/>
                  </w:tcBorders>
                  <w:vAlign w:val="center"/>
                </w:tcPr>
                <w:p w14:paraId="40951A85">
                  <w:pPr>
                    <w:spacing w:line="240" w:lineRule="auto"/>
                    <w:ind w:firstLine="0" w:firstLineChars="0"/>
                    <w:jc w:val="center"/>
                    <w:rPr>
                      <w:color w:val="000000" w:themeColor="text1"/>
                      <w:sz w:val="21"/>
                      <w:szCs w:val="21"/>
                    </w:rPr>
                  </w:pPr>
                  <w:r>
                    <w:rPr>
                      <w:rFonts w:hint="eastAsia"/>
                      <w:color w:val="000000" w:themeColor="text1"/>
                      <w:sz w:val="21"/>
                      <w:szCs w:val="21"/>
                    </w:rPr>
                    <w:t>本项目非道路移动机械采用国四排放标准的铲车和叉车。</w:t>
                  </w:r>
                </w:p>
              </w:tc>
              <w:tc>
                <w:tcPr>
                  <w:tcW w:w="854" w:type="dxa"/>
                  <w:tcBorders>
                    <w:tl2br w:val="nil"/>
                    <w:tr2bl w:val="nil"/>
                  </w:tcBorders>
                  <w:vAlign w:val="center"/>
                </w:tcPr>
                <w:p w14:paraId="753B9495">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65E8F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continue"/>
                  <w:tcBorders>
                    <w:tl2br w:val="nil"/>
                    <w:tr2bl w:val="nil"/>
                  </w:tcBorders>
                  <w:vAlign w:val="center"/>
                </w:tcPr>
                <w:p w14:paraId="7209502F">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6864518B">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1AF96B4E">
                  <w:pPr>
                    <w:spacing w:line="240" w:lineRule="auto"/>
                    <w:ind w:firstLine="0" w:firstLineChars="0"/>
                    <w:jc w:val="center"/>
                    <w:rPr>
                      <w:color w:val="000000" w:themeColor="text1"/>
                      <w:sz w:val="21"/>
                      <w:szCs w:val="21"/>
                    </w:rPr>
                  </w:pPr>
                  <w:r>
                    <w:rPr>
                      <w:rFonts w:hint="eastAsia"/>
                      <w:color w:val="000000" w:themeColor="text1"/>
                      <w:sz w:val="21"/>
                      <w:szCs w:val="21"/>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4020" w:type="dxa"/>
                  <w:tcBorders>
                    <w:tl2br w:val="nil"/>
                    <w:tr2bl w:val="nil"/>
                  </w:tcBorders>
                  <w:vAlign w:val="center"/>
                </w:tcPr>
                <w:p w14:paraId="5D3FFDD5">
                  <w:pPr>
                    <w:spacing w:line="240" w:lineRule="auto"/>
                    <w:ind w:firstLine="0" w:firstLineChars="0"/>
                    <w:jc w:val="center"/>
                    <w:rPr>
                      <w:color w:val="000000" w:themeColor="text1"/>
                      <w:sz w:val="21"/>
                      <w:szCs w:val="21"/>
                    </w:rPr>
                  </w:pPr>
                  <w:r>
                    <w:rPr>
                      <w:rFonts w:hint="eastAsia"/>
                      <w:color w:val="000000" w:themeColor="text1"/>
                      <w:sz w:val="21"/>
                      <w:szCs w:val="21"/>
                    </w:rPr>
                    <w:t>本项目热风炉以自产生物质能源颗粒为燃料，生物质能源颗粒以原木锯末为原料，可实现固体废物的综合利用，生物质燃烧释放的CO</w:t>
                  </w:r>
                  <w:r>
                    <w:rPr>
                      <w:rFonts w:hint="eastAsia"/>
                      <w:color w:val="000000" w:themeColor="text1"/>
                      <w:sz w:val="21"/>
                      <w:szCs w:val="21"/>
                      <w:vertAlign w:val="subscript"/>
                    </w:rPr>
                    <w:t>2</w:t>
                  </w:r>
                  <w:r>
                    <w:rPr>
                      <w:rFonts w:hint="eastAsia"/>
                      <w:color w:val="000000" w:themeColor="text1"/>
                      <w:sz w:val="21"/>
                      <w:szCs w:val="21"/>
                    </w:rPr>
                    <w:t>源于植物生长阶段吸收的大气碳，理论上可被新生植物重新吸收，形成闭环，净碳排放接近零；锯末中</w:t>
                  </w:r>
                  <w:r>
                    <w:rPr>
                      <w:color w:val="000000" w:themeColor="text1"/>
                      <w:sz w:val="21"/>
                      <w:szCs w:val="21"/>
                    </w:rPr>
                    <w:t>硫、氮元素含量极低，在</w:t>
                  </w:r>
                  <w:r>
                    <w:rPr>
                      <w:rFonts w:hint="eastAsia"/>
                      <w:color w:val="000000" w:themeColor="text1"/>
                      <w:sz w:val="21"/>
                      <w:szCs w:val="21"/>
                    </w:rPr>
                    <w:t>80~</w:t>
                  </w:r>
                  <w:r>
                    <w:rPr>
                      <w:color w:val="000000" w:themeColor="text1"/>
                      <w:sz w:val="21"/>
                      <w:szCs w:val="21"/>
                    </w:rPr>
                    <w:t>1</w:t>
                  </w:r>
                  <w:r>
                    <w:rPr>
                      <w:rFonts w:hint="eastAsia"/>
                      <w:color w:val="000000" w:themeColor="text1"/>
                      <w:sz w:val="21"/>
                      <w:szCs w:val="21"/>
                    </w:rPr>
                    <w:t>1</w:t>
                  </w:r>
                  <w:r>
                    <w:rPr>
                      <w:color w:val="000000" w:themeColor="text1"/>
                      <w:sz w:val="21"/>
                      <w:szCs w:val="21"/>
                    </w:rPr>
                    <w:t>0℃的烘干温度条件下，配合热风炉采用配风系统（过量空气系数控制在</w:t>
                  </w:r>
                  <w:r>
                    <w:rPr>
                      <w:rFonts w:hint="eastAsia"/>
                      <w:color w:val="000000" w:themeColor="text1"/>
                      <w:sz w:val="21"/>
                      <w:szCs w:val="21"/>
                    </w:rPr>
                    <w:t>1.7</w:t>
                  </w:r>
                  <w:r>
                    <w:rPr>
                      <w:color w:val="000000" w:themeColor="text1"/>
                      <w:sz w:val="21"/>
                      <w:szCs w:val="21"/>
                    </w:rPr>
                    <w:t>），可确保燃料充分燃烧</w:t>
                  </w:r>
                  <w:r>
                    <w:rPr>
                      <w:rFonts w:hint="eastAsia"/>
                      <w:color w:val="000000" w:themeColor="text1"/>
                      <w:sz w:val="21"/>
                      <w:szCs w:val="21"/>
                    </w:rPr>
                    <w:t>，显著减少未燃尽炭黑生成，燃料燃烧产生的二氧化硫和氮氧化物排放量较低，颗粒物、汞经沙克龙除尘器+布袋除尘器处理后有组织排放，污染物排放标准执行严格的《工业炉窑大气污染物排放标准》（DB13/ 1640-2012）及《2019年“十项重点工作”工作方案》的通知（唐办发[2019]3号）中</w:t>
                  </w:r>
                  <w:r>
                    <w:rPr>
                      <w:rFonts w:hint="eastAsia"/>
                      <w:color w:val="000000" w:themeColor="text1"/>
                      <w:spacing w:val="-5"/>
                      <w:sz w:val="21"/>
                      <w:szCs w:val="21"/>
                    </w:rPr>
                    <w:t>排放限值，对周围环境影响较小，本项目生物质能源颗粒属于</w:t>
                  </w:r>
                  <w:r>
                    <w:rPr>
                      <w:rFonts w:hint="eastAsia"/>
                      <w:color w:val="000000" w:themeColor="text1"/>
                      <w:sz w:val="21"/>
                      <w:szCs w:val="21"/>
                    </w:rPr>
                    <w:t>清洁低碳能源。</w:t>
                  </w:r>
                </w:p>
              </w:tc>
              <w:tc>
                <w:tcPr>
                  <w:tcW w:w="854" w:type="dxa"/>
                  <w:tcBorders>
                    <w:tl2br w:val="nil"/>
                    <w:tr2bl w:val="nil"/>
                  </w:tcBorders>
                  <w:vAlign w:val="center"/>
                </w:tcPr>
                <w:p w14:paraId="492EC86C">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44E8F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tcBorders>
                    <w:tl2br w:val="nil"/>
                    <w:tr2bl w:val="nil"/>
                  </w:tcBorders>
                  <w:vAlign w:val="center"/>
                </w:tcPr>
                <w:p w14:paraId="40098A16">
                  <w:pPr>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335" w:type="dxa"/>
                  <w:tcBorders>
                    <w:tl2br w:val="nil"/>
                    <w:tr2bl w:val="nil"/>
                  </w:tcBorders>
                  <w:vAlign w:val="center"/>
                </w:tcPr>
                <w:p w14:paraId="4C8D7D46">
                  <w:pPr>
                    <w:spacing w:line="240" w:lineRule="auto"/>
                    <w:ind w:firstLine="0" w:firstLineChars="0"/>
                    <w:jc w:val="center"/>
                    <w:rPr>
                      <w:color w:val="000000" w:themeColor="text1"/>
                      <w:sz w:val="21"/>
                      <w:szCs w:val="21"/>
                    </w:rPr>
                  </w:pPr>
                  <w:r>
                    <w:rPr>
                      <w:rFonts w:hint="eastAsia"/>
                      <w:color w:val="000000" w:themeColor="text1"/>
                      <w:sz w:val="21"/>
                      <w:szCs w:val="21"/>
                    </w:rPr>
                    <w:t>《河北省2021年大气污染综合治理工作方案》（冀气领组[2021]2号）</w:t>
                  </w:r>
                </w:p>
              </w:tc>
              <w:tc>
                <w:tcPr>
                  <w:tcW w:w="6171" w:type="dxa"/>
                  <w:tcBorders>
                    <w:tl2br w:val="nil"/>
                    <w:tr2bl w:val="nil"/>
                  </w:tcBorders>
                  <w:shd w:val="clear" w:color="auto" w:fill="auto"/>
                  <w:vAlign w:val="center"/>
                </w:tcPr>
                <w:p w14:paraId="6C922A40">
                  <w:pPr>
                    <w:autoSpaceDE w:val="0"/>
                    <w:autoSpaceDN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严格落实生态保护红线、环境质量底线、资源利用上线、环境准入清单和产业准入政策</w:t>
                  </w:r>
                  <w:r>
                    <w:rPr>
                      <w:rFonts w:hint="eastAsia"/>
                      <w:snapToGrid w:val="0"/>
                      <w:color w:val="000000" w:themeColor="text1"/>
                      <w:kern w:val="0"/>
                      <w:sz w:val="21"/>
                      <w:szCs w:val="21"/>
                    </w:rPr>
                    <w:t>，</w:t>
                  </w:r>
                  <w:r>
                    <w:rPr>
                      <w:snapToGrid w:val="0"/>
                      <w:color w:val="000000" w:themeColor="text1"/>
                      <w:kern w:val="0"/>
                      <w:sz w:val="21"/>
                      <w:szCs w:val="21"/>
                    </w:rPr>
                    <w:t>严格落实钢铁、水泥、平板玻璃等行业产能置换政策</w:t>
                  </w:r>
                  <w:r>
                    <w:rPr>
                      <w:rFonts w:hint="eastAsia"/>
                      <w:snapToGrid w:val="0"/>
                      <w:color w:val="000000" w:themeColor="text1"/>
                      <w:kern w:val="0"/>
                      <w:sz w:val="21"/>
                      <w:szCs w:val="21"/>
                    </w:rPr>
                    <w:t>，</w:t>
                  </w:r>
                  <w:r>
                    <w:rPr>
                      <w:snapToGrid w:val="0"/>
                      <w:color w:val="000000" w:themeColor="text1"/>
                      <w:kern w:val="0"/>
                      <w:sz w:val="21"/>
                      <w:szCs w:val="21"/>
                    </w:rPr>
                    <w:t>严禁新增钢铁、焦化、铸造、水泥和平板玻璃等产能</w:t>
                  </w:r>
                  <w:r>
                    <w:rPr>
                      <w:rFonts w:hint="eastAsia"/>
                      <w:snapToGrid w:val="0"/>
                      <w:color w:val="000000" w:themeColor="text1"/>
                      <w:kern w:val="0"/>
                      <w:sz w:val="21"/>
                      <w:szCs w:val="21"/>
                    </w:rPr>
                    <w:t>，</w:t>
                  </w:r>
                  <w:r>
                    <w:rPr>
                      <w:snapToGrid w:val="0"/>
                      <w:color w:val="000000" w:themeColor="text1"/>
                      <w:kern w:val="0"/>
                      <w:sz w:val="21"/>
                      <w:szCs w:val="21"/>
                    </w:rPr>
                    <w:t>禁止新增化工园区。</w:t>
                  </w:r>
                </w:p>
              </w:tc>
              <w:tc>
                <w:tcPr>
                  <w:tcW w:w="4020" w:type="dxa"/>
                  <w:tcBorders>
                    <w:tl2br w:val="nil"/>
                    <w:tr2bl w:val="nil"/>
                  </w:tcBorders>
                  <w:shd w:val="clear" w:color="auto" w:fill="auto"/>
                  <w:vAlign w:val="center"/>
                </w:tcPr>
                <w:p w14:paraId="5AD7FC41">
                  <w:pPr>
                    <w:autoSpaceDE w:val="0"/>
                    <w:autoSpaceDN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本项目不在生态保护红线范围内，符合</w:t>
                  </w:r>
                  <w:r>
                    <w:rPr>
                      <w:snapToGrid w:val="0"/>
                      <w:color w:val="000000" w:themeColor="text1"/>
                      <w:kern w:val="0"/>
                      <w:sz w:val="21"/>
                      <w:szCs w:val="21"/>
                    </w:rPr>
                    <w:t>环境质量底线、资源利用上线</w:t>
                  </w:r>
                  <w:r>
                    <w:rPr>
                      <w:rFonts w:hint="eastAsia"/>
                      <w:snapToGrid w:val="0"/>
                      <w:color w:val="000000" w:themeColor="text1"/>
                      <w:kern w:val="0"/>
                      <w:sz w:val="21"/>
                      <w:szCs w:val="21"/>
                    </w:rPr>
                    <w:t>要求，不在园区环境准入负面清单范围内</w:t>
                  </w:r>
                  <w:r>
                    <w:rPr>
                      <w:rFonts w:hint="eastAsia"/>
                      <w:color w:val="000000" w:themeColor="text1"/>
                      <w:sz w:val="21"/>
                      <w:szCs w:val="21"/>
                    </w:rPr>
                    <w:t>；符合《产业结构调整指导目录（2024年本）》、《市场准入负面清单》（2025年版）、《河北省禁止投资的产业目录（2014版）》等产业政策要求；本项目不属于</w:t>
                  </w:r>
                  <w:r>
                    <w:rPr>
                      <w:snapToGrid w:val="0"/>
                      <w:color w:val="000000" w:themeColor="text1"/>
                      <w:kern w:val="0"/>
                      <w:sz w:val="21"/>
                      <w:szCs w:val="21"/>
                    </w:rPr>
                    <w:t>钢铁、焦化、铸造、水泥和平板玻璃等</w:t>
                  </w:r>
                  <w:r>
                    <w:rPr>
                      <w:rFonts w:hint="eastAsia"/>
                      <w:snapToGrid w:val="0"/>
                      <w:color w:val="000000" w:themeColor="text1"/>
                      <w:kern w:val="0"/>
                      <w:sz w:val="21"/>
                      <w:szCs w:val="21"/>
                    </w:rPr>
                    <w:t>行业。</w:t>
                  </w:r>
                </w:p>
              </w:tc>
              <w:tc>
                <w:tcPr>
                  <w:tcW w:w="854" w:type="dxa"/>
                  <w:tcBorders>
                    <w:tl2br w:val="nil"/>
                    <w:tr2bl w:val="nil"/>
                  </w:tcBorders>
                  <w:vAlign w:val="center"/>
                </w:tcPr>
                <w:p w14:paraId="47ADD4B5">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4D1C4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7" w:type="dxa"/>
                  <w:vMerge w:val="restart"/>
                  <w:tcBorders>
                    <w:tl2br w:val="nil"/>
                    <w:tr2bl w:val="nil"/>
                  </w:tcBorders>
                  <w:vAlign w:val="center"/>
                </w:tcPr>
                <w:p w14:paraId="3F7F6936">
                  <w:pPr>
                    <w:spacing w:line="240" w:lineRule="auto"/>
                    <w:ind w:firstLine="0" w:firstLineChars="0"/>
                    <w:jc w:val="center"/>
                    <w:rPr>
                      <w:color w:val="000000" w:themeColor="text1"/>
                      <w:sz w:val="21"/>
                      <w:szCs w:val="21"/>
                    </w:rPr>
                  </w:pPr>
                  <w:r>
                    <w:rPr>
                      <w:rFonts w:hint="eastAsia"/>
                      <w:color w:val="000000" w:themeColor="text1"/>
                      <w:sz w:val="21"/>
                      <w:szCs w:val="21"/>
                    </w:rPr>
                    <w:t>3</w:t>
                  </w:r>
                </w:p>
              </w:tc>
              <w:tc>
                <w:tcPr>
                  <w:tcW w:w="1335" w:type="dxa"/>
                  <w:vMerge w:val="restart"/>
                  <w:tcBorders>
                    <w:tl2br w:val="nil"/>
                    <w:tr2bl w:val="nil"/>
                  </w:tcBorders>
                  <w:vAlign w:val="center"/>
                </w:tcPr>
                <w:p w14:paraId="04180DA6">
                  <w:pPr>
                    <w:spacing w:line="240" w:lineRule="auto"/>
                    <w:ind w:firstLine="0" w:firstLineChars="0"/>
                    <w:jc w:val="center"/>
                    <w:rPr>
                      <w:color w:val="000000" w:themeColor="text1"/>
                      <w:sz w:val="21"/>
                      <w:szCs w:val="21"/>
                    </w:rPr>
                  </w:pPr>
                  <w:r>
                    <w:rPr>
                      <w:rFonts w:hint="eastAsia"/>
                      <w:color w:val="000000" w:themeColor="text1"/>
                      <w:sz w:val="21"/>
                      <w:szCs w:val="21"/>
                    </w:rPr>
                    <w:t>《中共唐山市委办公室、唐山市人民政府办公室关于印发&lt;进一步推进唐山空气质量稳定“退后十”方案&gt;的通知》（唐办〔2023〕24号）</w:t>
                  </w:r>
                </w:p>
              </w:tc>
              <w:tc>
                <w:tcPr>
                  <w:tcW w:w="6171" w:type="dxa"/>
                  <w:tcBorders>
                    <w:tl2br w:val="nil"/>
                    <w:tr2bl w:val="nil"/>
                  </w:tcBorders>
                  <w:shd w:val="clear" w:color="auto" w:fill="auto"/>
                  <w:vAlign w:val="center"/>
                </w:tcPr>
                <w:p w14:paraId="09C176D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调绿产业结构：推动传统产业转型。严格落实“三线一单”，调整优化不符合生态环境功能定位的传统产业布局、规模和结构，严格控制高耗能高排放项目。推进钢铁、焦化、水泥、平板玻璃等行业整合重组。严禁新增钢铁、焦化、水泥、平板玻璃等产能，依法推动独立焦化、独立石灰、独立球团逐步退出。深入实施钢铁、焦化、水泥、平板玻璃、火电、垃圾发电等六大重点行业环保绩效“创A”行动，建设一批绿色企业、绿色工厂和绿色园区，积极引导传统产业绿色化转型发展。</w:t>
                  </w:r>
                </w:p>
              </w:tc>
              <w:tc>
                <w:tcPr>
                  <w:tcW w:w="4020" w:type="dxa"/>
                  <w:tcBorders>
                    <w:tl2br w:val="nil"/>
                    <w:tr2bl w:val="nil"/>
                  </w:tcBorders>
                  <w:shd w:val="clear" w:color="auto" w:fill="auto"/>
                  <w:vAlign w:val="center"/>
                </w:tcPr>
                <w:p w14:paraId="1BA3D266">
                  <w:pPr>
                    <w:autoSpaceDE w:val="0"/>
                    <w:autoSpaceDN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本项目符合三线一单要求；以原木加工厂的原木锯末为原料，生产生物质能源颗粒，</w:t>
                  </w:r>
                  <w:r>
                    <w:rPr>
                      <w:rFonts w:hint="eastAsia"/>
                      <w:color w:val="000000" w:themeColor="text1"/>
                      <w:sz w:val="21"/>
                      <w:szCs w:val="21"/>
                    </w:rPr>
                    <w:t>属于木材深加工的下游产业及关联产业，不属于装备制造园区禁止类和限制类项目</w:t>
                  </w:r>
                  <w:r>
                    <w:rPr>
                      <w:rFonts w:hint="eastAsia"/>
                      <w:snapToGrid w:val="0"/>
                      <w:color w:val="000000" w:themeColor="text1"/>
                      <w:kern w:val="0"/>
                      <w:sz w:val="21"/>
                      <w:szCs w:val="21"/>
                    </w:rPr>
                    <w:t>；不属于高耗能高排放项目；不属于钢铁、焦化、水泥、平板玻璃、火电、垃圾发电等六大重点行业。</w:t>
                  </w:r>
                </w:p>
              </w:tc>
              <w:tc>
                <w:tcPr>
                  <w:tcW w:w="854" w:type="dxa"/>
                  <w:tcBorders>
                    <w:tl2br w:val="nil"/>
                    <w:tr2bl w:val="nil"/>
                  </w:tcBorders>
                  <w:vAlign w:val="center"/>
                </w:tcPr>
                <w:p w14:paraId="788CDFF9">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22F5E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6A8EF66B">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19C905D4">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6F7D5BF9">
                  <w:pPr>
                    <w:spacing w:line="240" w:lineRule="auto"/>
                    <w:ind w:firstLine="0" w:firstLineChars="0"/>
                    <w:jc w:val="center"/>
                    <w:rPr>
                      <w:color w:val="000000" w:themeColor="text1"/>
                      <w:sz w:val="21"/>
                      <w:szCs w:val="21"/>
                    </w:rPr>
                  </w:pPr>
                  <w:r>
                    <w:rPr>
                      <w:rFonts w:hint="eastAsia"/>
                      <w:color w:val="000000" w:themeColor="text1"/>
                      <w:sz w:val="21"/>
                      <w:szCs w:val="21"/>
                    </w:rPr>
                    <w:t>优化工业企业用能结构。着力优化工业用能结构、提升重点行业能源利用效率、重点产品能效水平，推进能源节约高效利用。优化工业能源和原料结构，推动企业循环式生产，促进减污降碳协同增效。严格执行节能审查制度，切实加强项目单位能耗、碳排放水平先进性审查。新建高耗能项目单位产品(产值)能耗要达到行业先进水平，主要用能设备达到国家规定的节能水平。到2025年，重点领域能效低于基准水平的产能全面退出，能效达到标杆水平的产能比例超过30%，粗钢、焦化、水泥、平板玻璃等重点工业产品单耗达到国内先进水平。</w:t>
                  </w:r>
                </w:p>
              </w:tc>
              <w:tc>
                <w:tcPr>
                  <w:tcW w:w="4020" w:type="dxa"/>
                  <w:tcBorders>
                    <w:tl2br w:val="nil"/>
                    <w:tr2bl w:val="nil"/>
                  </w:tcBorders>
                  <w:vAlign w:val="center"/>
                </w:tcPr>
                <w:p w14:paraId="553C75EB">
                  <w:pPr>
                    <w:spacing w:line="240" w:lineRule="auto"/>
                    <w:ind w:firstLine="0" w:firstLineChars="0"/>
                    <w:jc w:val="center"/>
                    <w:rPr>
                      <w:color w:val="000000" w:themeColor="text1"/>
                      <w:sz w:val="21"/>
                      <w:szCs w:val="21"/>
                    </w:rPr>
                  </w:pPr>
                  <w:r>
                    <w:rPr>
                      <w:rFonts w:hint="eastAsia"/>
                      <w:color w:val="000000" w:themeColor="text1"/>
                      <w:sz w:val="21"/>
                      <w:szCs w:val="21"/>
                    </w:rPr>
                    <w:t>本项目不属于高耗能项目，不属于粗钢、焦化、水泥、平板玻璃等重点工业。</w:t>
                  </w:r>
                </w:p>
              </w:tc>
              <w:tc>
                <w:tcPr>
                  <w:tcW w:w="854" w:type="dxa"/>
                  <w:tcBorders>
                    <w:tl2br w:val="nil"/>
                    <w:tr2bl w:val="nil"/>
                  </w:tcBorders>
                  <w:vAlign w:val="center"/>
                </w:tcPr>
                <w:p w14:paraId="2416C6AE">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33B20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restart"/>
                  <w:tcBorders>
                    <w:tl2br w:val="nil"/>
                    <w:tr2bl w:val="nil"/>
                  </w:tcBorders>
                  <w:vAlign w:val="center"/>
                </w:tcPr>
                <w:p w14:paraId="458CE48A">
                  <w:pPr>
                    <w:spacing w:line="240" w:lineRule="auto"/>
                    <w:ind w:firstLine="0" w:firstLineChars="0"/>
                    <w:jc w:val="center"/>
                    <w:rPr>
                      <w:color w:val="000000" w:themeColor="text1"/>
                      <w:sz w:val="21"/>
                      <w:szCs w:val="21"/>
                    </w:rPr>
                  </w:pPr>
                  <w:r>
                    <w:rPr>
                      <w:rFonts w:hint="eastAsia"/>
                      <w:color w:val="000000" w:themeColor="text1"/>
                      <w:sz w:val="21"/>
                      <w:szCs w:val="21"/>
                    </w:rPr>
                    <w:t>4</w:t>
                  </w:r>
                </w:p>
              </w:tc>
              <w:tc>
                <w:tcPr>
                  <w:tcW w:w="1335" w:type="dxa"/>
                  <w:vMerge w:val="restart"/>
                  <w:tcBorders>
                    <w:tl2br w:val="nil"/>
                    <w:tr2bl w:val="nil"/>
                  </w:tcBorders>
                  <w:vAlign w:val="center"/>
                </w:tcPr>
                <w:p w14:paraId="14D274E5">
                  <w:pPr>
                    <w:spacing w:line="240" w:lineRule="auto"/>
                    <w:ind w:firstLine="0" w:firstLineChars="0"/>
                    <w:jc w:val="center"/>
                    <w:rPr>
                      <w:color w:val="000000" w:themeColor="text1"/>
                      <w:sz w:val="21"/>
                      <w:szCs w:val="21"/>
                    </w:rPr>
                  </w:pPr>
                  <w:r>
                    <w:rPr>
                      <w:rFonts w:hint="eastAsia"/>
                      <w:color w:val="000000" w:themeColor="text1"/>
                      <w:sz w:val="21"/>
                      <w:szCs w:val="21"/>
                    </w:rPr>
                    <w:t>《唐山市2022年大气污染综合治理工作要点》</w:t>
                  </w:r>
                </w:p>
              </w:tc>
              <w:tc>
                <w:tcPr>
                  <w:tcW w:w="6171" w:type="dxa"/>
                  <w:tcBorders>
                    <w:tl2br w:val="nil"/>
                    <w:tr2bl w:val="nil"/>
                  </w:tcBorders>
                  <w:vAlign w:val="center"/>
                </w:tcPr>
                <w:p w14:paraId="2B788FFB">
                  <w:pPr>
                    <w:spacing w:line="240" w:lineRule="auto"/>
                    <w:ind w:firstLine="0" w:firstLineChars="0"/>
                    <w:jc w:val="center"/>
                    <w:rPr>
                      <w:color w:val="000000" w:themeColor="text1"/>
                      <w:sz w:val="21"/>
                      <w:szCs w:val="21"/>
                    </w:rPr>
                  </w:pPr>
                  <w:r>
                    <w:rPr>
                      <w:rFonts w:hint="eastAsia"/>
                      <w:color w:val="000000" w:themeColor="text1"/>
                      <w:sz w:val="21"/>
                      <w:szCs w:val="21"/>
                    </w:rPr>
                    <w:t>严控“两高”产业规模。以钢铁、焦化等行业企业为重点严格控制新增产能，遏制高耗能、高排放项目盲目发展。持续巩固去产能成果，严格落实产业准入条件，坚决防止反弹。完善固定资产投资项目产能减量置换调控机制。</w:t>
                  </w:r>
                </w:p>
              </w:tc>
              <w:tc>
                <w:tcPr>
                  <w:tcW w:w="4020" w:type="dxa"/>
                  <w:tcBorders>
                    <w:tl2br w:val="nil"/>
                    <w:tr2bl w:val="nil"/>
                  </w:tcBorders>
                  <w:vAlign w:val="center"/>
                </w:tcPr>
                <w:p w14:paraId="605E4B38">
                  <w:pPr>
                    <w:spacing w:line="240" w:lineRule="auto"/>
                    <w:ind w:firstLine="0" w:firstLineChars="0"/>
                    <w:jc w:val="center"/>
                    <w:rPr>
                      <w:color w:val="000000" w:themeColor="text1"/>
                      <w:sz w:val="21"/>
                      <w:szCs w:val="21"/>
                    </w:rPr>
                  </w:pPr>
                  <w:r>
                    <w:rPr>
                      <w:rFonts w:hint="eastAsia"/>
                      <w:color w:val="000000" w:themeColor="text1"/>
                      <w:sz w:val="21"/>
                      <w:szCs w:val="21"/>
                    </w:rPr>
                    <w:t>本项目不属于“两高”项目。</w:t>
                  </w:r>
                </w:p>
              </w:tc>
              <w:tc>
                <w:tcPr>
                  <w:tcW w:w="854" w:type="dxa"/>
                  <w:tcBorders>
                    <w:tl2br w:val="nil"/>
                    <w:tr2bl w:val="nil"/>
                  </w:tcBorders>
                  <w:vAlign w:val="center"/>
                </w:tcPr>
                <w:p w14:paraId="620FD3A7">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209FB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0174D6DB">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10B4A16D">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312DF177">
                  <w:pPr>
                    <w:spacing w:line="240" w:lineRule="auto"/>
                    <w:ind w:firstLine="0" w:firstLineChars="0"/>
                    <w:jc w:val="center"/>
                    <w:rPr>
                      <w:color w:val="000000" w:themeColor="text1"/>
                      <w:sz w:val="21"/>
                      <w:szCs w:val="21"/>
                    </w:rPr>
                  </w:pPr>
                  <w:r>
                    <w:rPr>
                      <w:rFonts w:hint="eastAsia"/>
                      <w:color w:val="000000" w:themeColor="text1"/>
                      <w:sz w:val="21"/>
                      <w:szCs w:val="21"/>
                    </w:rPr>
                    <w:t>提升工艺装备水平。对传统产业工艺装备实施高端化智能化、绿色化改造，年底前2座1000立方米以下高炉、10台100吨以下转炉力争实现升级改造，全市钢铁主体装备达到国内领先水平。聚焦钢铁、焦化、建材等重点行业，严格落实国家《高耗能行业重点领域能效标杆水平和基准水平(2021年版)》要求，稳妥有序推动冶金、建材、化工等重点行业改造升级和淘汰。</w:t>
                  </w:r>
                </w:p>
              </w:tc>
              <w:tc>
                <w:tcPr>
                  <w:tcW w:w="4020" w:type="dxa"/>
                  <w:tcBorders>
                    <w:tl2br w:val="nil"/>
                    <w:tr2bl w:val="nil"/>
                  </w:tcBorders>
                  <w:vAlign w:val="center"/>
                </w:tcPr>
                <w:p w14:paraId="3628A687">
                  <w:pPr>
                    <w:spacing w:line="240" w:lineRule="auto"/>
                    <w:ind w:firstLine="0" w:firstLineChars="0"/>
                    <w:jc w:val="center"/>
                    <w:rPr>
                      <w:color w:val="000000" w:themeColor="text1"/>
                      <w:sz w:val="21"/>
                      <w:szCs w:val="21"/>
                    </w:rPr>
                  </w:pPr>
                  <w:r>
                    <w:rPr>
                      <w:rFonts w:hint="eastAsia"/>
                      <w:color w:val="000000" w:themeColor="text1"/>
                      <w:sz w:val="21"/>
                      <w:szCs w:val="21"/>
                    </w:rPr>
                    <w:t>本项目不属于钢铁、焦化、建材等重点行业。</w:t>
                  </w:r>
                </w:p>
              </w:tc>
              <w:tc>
                <w:tcPr>
                  <w:tcW w:w="854" w:type="dxa"/>
                  <w:tcBorders>
                    <w:tl2br w:val="nil"/>
                    <w:tr2bl w:val="nil"/>
                  </w:tcBorders>
                  <w:vAlign w:val="center"/>
                </w:tcPr>
                <w:p w14:paraId="75B8EBE2">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14429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3E7257FC">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0D538986">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10CD3AB2">
                  <w:pPr>
                    <w:spacing w:line="240" w:lineRule="auto"/>
                    <w:ind w:firstLine="0" w:firstLineChars="0"/>
                    <w:jc w:val="center"/>
                    <w:rPr>
                      <w:color w:val="000000" w:themeColor="text1"/>
                      <w:sz w:val="21"/>
                      <w:szCs w:val="21"/>
                    </w:rPr>
                  </w:pPr>
                  <w:r>
                    <w:rPr>
                      <w:rFonts w:hint="eastAsia"/>
                      <w:color w:val="000000" w:themeColor="text1"/>
                      <w:sz w:val="21"/>
                      <w:szCs w:val="21"/>
                    </w:rPr>
                    <w:t>严格控制煤炭消费总量。落实煤炭减量要求，实施可再生能源替代，尽早实现能耗“双控”向碳排放总量和强度“双控”转变。合理控制工业领域化石能源消费，改扩建用煤项目实行煤炭消费减（等）量替代。</w:t>
                  </w:r>
                </w:p>
              </w:tc>
              <w:tc>
                <w:tcPr>
                  <w:tcW w:w="4020" w:type="dxa"/>
                  <w:tcBorders>
                    <w:tl2br w:val="nil"/>
                    <w:tr2bl w:val="nil"/>
                  </w:tcBorders>
                  <w:vAlign w:val="center"/>
                </w:tcPr>
                <w:p w14:paraId="0D638293">
                  <w:pPr>
                    <w:spacing w:line="240" w:lineRule="auto"/>
                    <w:ind w:firstLine="0" w:firstLineChars="0"/>
                    <w:jc w:val="center"/>
                    <w:rPr>
                      <w:color w:val="000000" w:themeColor="text1"/>
                      <w:sz w:val="21"/>
                      <w:szCs w:val="21"/>
                    </w:rPr>
                  </w:pPr>
                  <w:r>
                    <w:rPr>
                      <w:rFonts w:hint="eastAsia"/>
                      <w:color w:val="000000" w:themeColor="text1"/>
                      <w:sz w:val="21"/>
                      <w:szCs w:val="21"/>
                    </w:rPr>
                    <w:t>本项目不消耗煤炭能源。</w:t>
                  </w:r>
                </w:p>
              </w:tc>
              <w:tc>
                <w:tcPr>
                  <w:tcW w:w="854" w:type="dxa"/>
                  <w:tcBorders>
                    <w:tl2br w:val="nil"/>
                    <w:tr2bl w:val="nil"/>
                  </w:tcBorders>
                  <w:vAlign w:val="center"/>
                </w:tcPr>
                <w:p w14:paraId="40BB08FD">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4CD05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2E7D3875">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5886B648">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242E749D">
                  <w:pPr>
                    <w:spacing w:line="240" w:lineRule="auto"/>
                    <w:ind w:firstLine="0" w:firstLineChars="0"/>
                    <w:jc w:val="center"/>
                    <w:rPr>
                      <w:color w:val="000000" w:themeColor="text1"/>
                      <w:sz w:val="21"/>
                      <w:szCs w:val="21"/>
                    </w:rPr>
                  </w:pPr>
                  <w:r>
                    <w:rPr>
                      <w:rFonts w:hint="eastAsia"/>
                      <w:color w:val="000000" w:themeColor="text1"/>
                      <w:sz w:val="21"/>
                      <w:szCs w:val="21"/>
                    </w:rPr>
                    <w:t>强化非道路移动机械管理。对全市3.2万余合非道路移动机械建立动态数据库，加强各类场所机械环保信息编码登记管理。各县(市、区)修订并公布禁止使用高排放机械的区域，6月1日起，区域内禁止使用国二及以下排放标准的非道路移动机械。加快推进工矿企业、单位内部作业车辆和机械新能源化更新改造。</w:t>
                  </w:r>
                </w:p>
              </w:tc>
              <w:tc>
                <w:tcPr>
                  <w:tcW w:w="4020" w:type="dxa"/>
                  <w:tcBorders>
                    <w:tl2br w:val="nil"/>
                    <w:tr2bl w:val="nil"/>
                  </w:tcBorders>
                  <w:shd w:val="clear" w:color="auto" w:fill="auto"/>
                  <w:vAlign w:val="center"/>
                </w:tcPr>
                <w:p w14:paraId="61AD438B">
                  <w:pPr>
                    <w:spacing w:line="240" w:lineRule="auto"/>
                    <w:ind w:firstLine="0" w:firstLineChars="0"/>
                    <w:jc w:val="center"/>
                    <w:rPr>
                      <w:color w:val="000000" w:themeColor="text1"/>
                      <w:sz w:val="21"/>
                      <w:szCs w:val="21"/>
                    </w:rPr>
                  </w:pPr>
                  <w:r>
                    <w:rPr>
                      <w:rFonts w:hint="eastAsia"/>
                      <w:color w:val="000000" w:themeColor="text1"/>
                      <w:sz w:val="21"/>
                      <w:szCs w:val="21"/>
                    </w:rPr>
                    <w:t>本项目非道路移动机械采用国四排放标准的铲车和叉车。</w:t>
                  </w:r>
                </w:p>
              </w:tc>
              <w:tc>
                <w:tcPr>
                  <w:tcW w:w="854" w:type="dxa"/>
                  <w:tcBorders>
                    <w:tl2br w:val="nil"/>
                    <w:tr2bl w:val="nil"/>
                  </w:tcBorders>
                  <w:shd w:val="clear" w:color="auto" w:fill="auto"/>
                  <w:vAlign w:val="center"/>
                </w:tcPr>
                <w:p w14:paraId="1A23A9D0">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6C627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687" w:type="dxa"/>
                  <w:vMerge w:val="restart"/>
                  <w:tcBorders>
                    <w:tl2br w:val="nil"/>
                    <w:tr2bl w:val="nil"/>
                  </w:tcBorders>
                  <w:vAlign w:val="center"/>
                </w:tcPr>
                <w:p w14:paraId="283A75E1">
                  <w:pPr>
                    <w:spacing w:line="240" w:lineRule="auto"/>
                    <w:ind w:firstLine="0" w:firstLineChars="0"/>
                    <w:jc w:val="center"/>
                    <w:rPr>
                      <w:color w:val="000000" w:themeColor="text1"/>
                      <w:sz w:val="21"/>
                      <w:szCs w:val="21"/>
                    </w:rPr>
                  </w:pPr>
                  <w:r>
                    <w:rPr>
                      <w:rFonts w:hint="eastAsia"/>
                      <w:color w:val="000000" w:themeColor="text1"/>
                      <w:sz w:val="21"/>
                      <w:szCs w:val="21"/>
                    </w:rPr>
                    <w:t>5</w:t>
                  </w:r>
                </w:p>
              </w:tc>
              <w:tc>
                <w:tcPr>
                  <w:tcW w:w="1335" w:type="dxa"/>
                  <w:vMerge w:val="restart"/>
                  <w:tcBorders>
                    <w:tl2br w:val="nil"/>
                    <w:tr2bl w:val="nil"/>
                  </w:tcBorders>
                  <w:vAlign w:val="center"/>
                </w:tcPr>
                <w:p w14:paraId="357064EC">
                  <w:pPr>
                    <w:spacing w:line="240" w:lineRule="auto"/>
                    <w:ind w:firstLine="0" w:firstLineChars="0"/>
                    <w:jc w:val="center"/>
                    <w:rPr>
                      <w:color w:val="000000" w:themeColor="text1"/>
                      <w:sz w:val="21"/>
                      <w:szCs w:val="21"/>
                    </w:rPr>
                  </w:pPr>
                  <w:r>
                    <w:rPr>
                      <w:rFonts w:hint="eastAsia"/>
                      <w:color w:val="000000" w:themeColor="text1"/>
                      <w:sz w:val="21"/>
                      <w:szCs w:val="21"/>
                    </w:rPr>
                    <w:t>《工业炉窑大气污染综合治理方案》（环大气[2019]56号）</w:t>
                  </w:r>
                </w:p>
              </w:tc>
              <w:tc>
                <w:tcPr>
                  <w:tcW w:w="6171" w:type="dxa"/>
                  <w:tcBorders>
                    <w:tl2br w:val="nil"/>
                    <w:tr2bl w:val="nil"/>
                  </w:tcBorders>
                  <w:vAlign w:val="center"/>
                </w:tcPr>
                <w:p w14:paraId="59C2FF08">
                  <w:pPr>
                    <w:spacing w:line="240" w:lineRule="auto"/>
                    <w:ind w:firstLine="0" w:firstLineChars="0"/>
                    <w:jc w:val="center"/>
                    <w:rPr>
                      <w:color w:val="000000" w:themeColor="text1"/>
                      <w:sz w:val="21"/>
                      <w:szCs w:val="21"/>
                    </w:rPr>
                  </w:pPr>
                  <w:r>
                    <w:rPr>
                      <w:rFonts w:hint="eastAsia"/>
                      <w:color w:val="000000" w:themeColor="text1"/>
                      <w:sz w:val="21"/>
                      <w:szCs w:val="21"/>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4020" w:type="dxa"/>
                  <w:tcBorders>
                    <w:tl2br w:val="nil"/>
                    <w:tr2bl w:val="nil"/>
                  </w:tcBorders>
                  <w:shd w:val="clear" w:color="auto" w:fill="auto"/>
                  <w:vAlign w:val="center"/>
                </w:tcPr>
                <w:p w14:paraId="47A9E0B2">
                  <w:pPr>
                    <w:spacing w:line="240" w:lineRule="auto"/>
                    <w:ind w:firstLine="0" w:firstLineChars="0"/>
                    <w:jc w:val="center"/>
                    <w:rPr>
                      <w:color w:val="000000" w:themeColor="text1"/>
                      <w:sz w:val="21"/>
                      <w:szCs w:val="21"/>
                    </w:rPr>
                  </w:pPr>
                  <w:r>
                    <w:rPr>
                      <w:rFonts w:hint="eastAsia"/>
                      <w:color w:val="000000" w:themeColor="text1"/>
                      <w:sz w:val="21"/>
                      <w:szCs w:val="21"/>
                    </w:rPr>
                    <w:t>本项目位于唐山市曹妃甸装备制造产业园区内，热风炉燃烧自产生物质能源颗粒，燃料燃烧废气经沙克龙除尘器+布袋除尘器处理后由1根15m高排气筒排放；本项目不属于钢铁、焦化、电解铝、铸造、水泥和平板玻璃等行业；本项目不涉及燃料类煤气发生炉。</w:t>
                  </w:r>
                </w:p>
              </w:tc>
              <w:tc>
                <w:tcPr>
                  <w:tcW w:w="854" w:type="dxa"/>
                  <w:tcBorders>
                    <w:tl2br w:val="nil"/>
                    <w:tr2bl w:val="nil"/>
                  </w:tcBorders>
                  <w:shd w:val="clear" w:color="auto" w:fill="auto"/>
                  <w:vAlign w:val="center"/>
                </w:tcPr>
                <w:p w14:paraId="0862E58B">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E2D0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04B4BC1E">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0AEC10A2">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7868AF3A">
                  <w:pPr>
                    <w:spacing w:line="240" w:lineRule="auto"/>
                    <w:ind w:firstLine="420"/>
                    <w:jc w:val="left"/>
                    <w:rPr>
                      <w:color w:val="000000" w:themeColor="text1"/>
                      <w:sz w:val="21"/>
                      <w:szCs w:val="21"/>
                    </w:rPr>
                  </w:pPr>
                  <w:r>
                    <w:rPr>
                      <w:rFonts w:hint="eastAsia"/>
                      <w:color w:val="000000" w:themeColor="text1"/>
                      <w:sz w:val="21"/>
                      <w:szCs w:val="21"/>
                    </w:rPr>
                    <w:t>加快燃料清洁低碳化替代：</w:t>
                  </w:r>
                </w:p>
                <w:p w14:paraId="68957581">
                  <w:pPr>
                    <w:spacing w:line="240" w:lineRule="auto"/>
                    <w:ind w:firstLine="420"/>
                    <w:jc w:val="left"/>
                    <w:rPr>
                      <w:color w:val="000000" w:themeColor="text1"/>
                      <w:sz w:val="21"/>
                      <w:szCs w:val="21"/>
                    </w:rPr>
                  </w:pPr>
                  <w:r>
                    <w:rPr>
                      <w:rFonts w:hint="eastAsia"/>
                      <w:color w:val="000000" w:themeColor="text1"/>
                      <w:sz w:val="21"/>
                      <w:szCs w:val="21"/>
                    </w:rPr>
                    <w:t>1、对以煤、石油焦、渣油、重油等为燃料的工业炉窑，加快使用清洁低碳能源以及利用工厂余热、电厂热力等进行替代。重点区域禁止掺烧高硫石油焦（硫含量大于3%）。玻璃行业全面禁止掺烧高硫石油焦。</w:t>
                  </w:r>
                </w:p>
                <w:p w14:paraId="6C94CD24">
                  <w:pPr>
                    <w:spacing w:line="240" w:lineRule="auto"/>
                    <w:ind w:firstLine="420"/>
                    <w:jc w:val="left"/>
                    <w:rPr>
                      <w:color w:val="000000" w:themeColor="text1"/>
                      <w:sz w:val="21"/>
                      <w:szCs w:val="21"/>
                    </w:rPr>
                  </w:pPr>
                  <w:r>
                    <w:rPr>
                      <w:rFonts w:hint="eastAsia"/>
                      <w:color w:val="000000" w:themeColor="text1"/>
                      <w:sz w:val="21"/>
                      <w:szCs w:val="21"/>
                    </w:rPr>
                    <w:t>2、加大煤气发生炉淘汰力度。2020年年底前，重点区域淘汰炉膛直径3米以下燃料类煤气发生炉；集中使用煤气发生炉的工业园区，暂不具备改用天然气条件的，原则上应建设统一的清洁煤制气中心。</w:t>
                  </w:r>
                </w:p>
                <w:p w14:paraId="172B14F0">
                  <w:pPr>
                    <w:spacing w:line="240" w:lineRule="auto"/>
                    <w:ind w:firstLine="420"/>
                    <w:jc w:val="left"/>
                    <w:rPr>
                      <w:color w:val="000000" w:themeColor="text1"/>
                      <w:sz w:val="21"/>
                      <w:szCs w:val="21"/>
                    </w:rPr>
                  </w:pPr>
                  <w:r>
                    <w:rPr>
                      <w:rFonts w:hint="eastAsia"/>
                      <w:color w:val="000000" w:themeColor="text1"/>
                      <w:sz w:val="21"/>
                      <w:szCs w:val="21"/>
                    </w:rPr>
                    <w:t>3、加快淘汰燃煤工业炉窑。重点区域取缔燃煤热风炉，基本淘汰热电联产供热管网覆盖范围内的燃煤加热、烘干炉（窑）。加快推动铸造（10吨/小时及以下）、岩棉等行业冲天炉改为电炉。</w:t>
                  </w:r>
                </w:p>
              </w:tc>
              <w:tc>
                <w:tcPr>
                  <w:tcW w:w="4020" w:type="dxa"/>
                  <w:tcBorders>
                    <w:tl2br w:val="nil"/>
                    <w:tr2bl w:val="nil"/>
                  </w:tcBorders>
                  <w:shd w:val="clear" w:color="auto" w:fill="auto"/>
                  <w:vAlign w:val="center"/>
                </w:tcPr>
                <w:p w14:paraId="2CF43C32">
                  <w:pPr>
                    <w:spacing w:line="240" w:lineRule="auto"/>
                    <w:ind w:firstLine="0" w:firstLineChars="0"/>
                    <w:jc w:val="center"/>
                    <w:rPr>
                      <w:color w:val="000000" w:themeColor="text1"/>
                      <w:sz w:val="21"/>
                      <w:szCs w:val="21"/>
                    </w:rPr>
                  </w:pPr>
                  <w:r>
                    <w:rPr>
                      <w:rFonts w:hint="eastAsia"/>
                      <w:color w:val="000000" w:themeColor="text1"/>
                      <w:sz w:val="21"/>
                      <w:szCs w:val="21"/>
                    </w:rPr>
                    <w:t>本项目热风炉燃烧自产生物质能源颗粒，不涉及煤气发生炉及燃煤工业炉窑。</w:t>
                  </w:r>
                </w:p>
              </w:tc>
              <w:tc>
                <w:tcPr>
                  <w:tcW w:w="854" w:type="dxa"/>
                  <w:tcBorders>
                    <w:tl2br w:val="nil"/>
                    <w:tr2bl w:val="nil"/>
                  </w:tcBorders>
                  <w:shd w:val="clear" w:color="auto" w:fill="auto"/>
                  <w:vAlign w:val="center"/>
                </w:tcPr>
                <w:p w14:paraId="79F31BFF">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061CD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87" w:type="dxa"/>
                  <w:vMerge w:val="restart"/>
                  <w:tcBorders>
                    <w:tl2br w:val="nil"/>
                    <w:tr2bl w:val="nil"/>
                  </w:tcBorders>
                  <w:vAlign w:val="center"/>
                </w:tcPr>
                <w:p w14:paraId="54E7FE2D">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1335" w:type="dxa"/>
                  <w:vMerge w:val="restart"/>
                  <w:tcBorders>
                    <w:tl2br w:val="nil"/>
                    <w:tr2bl w:val="nil"/>
                  </w:tcBorders>
                  <w:vAlign w:val="center"/>
                </w:tcPr>
                <w:p w14:paraId="42396560">
                  <w:pPr>
                    <w:spacing w:line="240" w:lineRule="auto"/>
                    <w:ind w:firstLine="0" w:firstLineChars="0"/>
                    <w:jc w:val="center"/>
                    <w:rPr>
                      <w:color w:val="000000" w:themeColor="text1"/>
                      <w:sz w:val="21"/>
                      <w:szCs w:val="21"/>
                    </w:rPr>
                  </w:pPr>
                  <w:r>
                    <w:rPr>
                      <w:rFonts w:hint="eastAsia"/>
                      <w:color w:val="000000" w:themeColor="text1"/>
                      <w:sz w:val="21"/>
                      <w:szCs w:val="21"/>
                    </w:rPr>
                    <w:t>《河北省工业炉窑综合治理实施方案》（冀环大气〔2019〕607号）</w:t>
                  </w:r>
                </w:p>
              </w:tc>
              <w:tc>
                <w:tcPr>
                  <w:tcW w:w="6171" w:type="dxa"/>
                  <w:tcBorders>
                    <w:tl2br w:val="nil"/>
                    <w:tr2bl w:val="nil"/>
                  </w:tcBorders>
                  <w:vAlign w:val="center"/>
                </w:tcPr>
                <w:p w14:paraId="034495CD">
                  <w:pPr>
                    <w:spacing w:line="240" w:lineRule="auto"/>
                    <w:ind w:firstLine="0" w:firstLineChars="0"/>
                    <w:jc w:val="center"/>
                    <w:rPr>
                      <w:color w:val="000000" w:themeColor="text1"/>
                      <w:sz w:val="21"/>
                      <w:szCs w:val="21"/>
                    </w:rPr>
                  </w:pPr>
                  <w:r>
                    <w:rPr>
                      <w:rFonts w:hint="eastAsia"/>
                      <w:color w:val="000000" w:themeColor="text1"/>
                      <w:sz w:val="21"/>
                      <w:szCs w:val="21"/>
                    </w:rPr>
                    <w:t>落实产业政策，淘汰关闭一批炉窑。落实《产业结构调整指导目录》（2019年本），按照规定时限淘汰落后的工业炉窑。加大钢铁、焦化、玻璃、水泥等行业产能压减力度，加快1000立方米以下高炉和100吨以下转炉升级改造，2020年底前关停所有炭化室高度4.3米焦炉，2020年压减退出炼钢产能1400万吨，焦化产能200万吨、平板玻璃产能840万重量箱。加大煤气发生炉淘汰力度，2020年年底前淘汰炉膛直径3米以下的燃料类煤气发生炉。对热效率低下、敞开未封闭，装备简易落后、自动化程度低，布局分散、规模小、无组织排放突出，以及无治理设施或治理设施工艺落后的不达标工业炉窑，依法责令停业关闭。</w:t>
                  </w:r>
                </w:p>
              </w:tc>
              <w:tc>
                <w:tcPr>
                  <w:tcW w:w="4020" w:type="dxa"/>
                  <w:tcBorders>
                    <w:tl2br w:val="nil"/>
                    <w:tr2bl w:val="nil"/>
                  </w:tcBorders>
                  <w:shd w:val="clear" w:color="auto" w:fill="auto"/>
                  <w:vAlign w:val="center"/>
                </w:tcPr>
                <w:p w14:paraId="75C9D4A9">
                  <w:pPr>
                    <w:spacing w:line="240" w:lineRule="auto"/>
                    <w:ind w:firstLine="0" w:firstLineChars="0"/>
                    <w:jc w:val="center"/>
                    <w:rPr>
                      <w:color w:val="000000" w:themeColor="text1"/>
                      <w:sz w:val="21"/>
                      <w:szCs w:val="21"/>
                    </w:rPr>
                  </w:pPr>
                  <w:r>
                    <w:rPr>
                      <w:rFonts w:hint="eastAsia"/>
                      <w:color w:val="000000" w:themeColor="text1"/>
                      <w:sz w:val="21"/>
                      <w:szCs w:val="21"/>
                    </w:rPr>
                    <w:t>本项目不属于《产业结构调整指导目录（2024年本）》中鼓励类、限制类、淘汰类项目，属于允许类；不属于钢铁、焦化、玻璃、水泥等行业，不涉及高炉、转炉、焦炉、煤气发生炉；本项目热风炉燃烧自产生物质能源颗粒。</w:t>
                  </w:r>
                </w:p>
              </w:tc>
              <w:tc>
                <w:tcPr>
                  <w:tcW w:w="854" w:type="dxa"/>
                  <w:tcBorders>
                    <w:tl2br w:val="nil"/>
                    <w:tr2bl w:val="nil"/>
                  </w:tcBorders>
                  <w:shd w:val="clear" w:color="auto" w:fill="auto"/>
                  <w:vAlign w:val="center"/>
                </w:tcPr>
                <w:p w14:paraId="1E30511E">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453F3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1BF1B48A">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3D4F2465">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4F9E92E8">
                  <w:pPr>
                    <w:spacing w:line="240" w:lineRule="auto"/>
                    <w:ind w:firstLine="0" w:firstLineChars="0"/>
                    <w:jc w:val="center"/>
                    <w:rPr>
                      <w:color w:val="000000" w:themeColor="text1"/>
                      <w:sz w:val="21"/>
                      <w:szCs w:val="21"/>
                    </w:rPr>
                  </w:pPr>
                  <w:r>
                    <w:rPr>
                      <w:rFonts w:hint="eastAsia"/>
                      <w:color w:val="000000" w:themeColor="text1"/>
                      <w:sz w:val="21"/>
                      <w:szCs w:val="21"/>
                    </w:rPr>
                    <w:t>优化产业布局，推进企业搬迁改造。以钢铁、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新建园区应符合规划环评有关要求，按照主体功能区规划要求，充分考虑资源环境承载能力、环境风险等因素，加强环境基 础设施建设。</w:t>
                  </w:r>
                </w:p>
              </w:tc>
              <w:tc>
                <w:tcPr>
                  <w:tcW w:w="4020" w:type="dxa"/>
                  <w:tcBorders>
                    <w:tl2br w:val="nil"/>
                    <w:tr2bl w:val="nil"/>
                  </w:tcBorders>
                  <w:shd w:val="clear" w:color="auto" w:fill="auto"/>
                  <w:vAlign w:val="center"/>
                </w:tcPr>
                <w:p w14:paraId="1E197C52">
                  <w:pPr>
                    <w:spacing w:line="240" w:lineRule="auto"/>
                    <w:ind w:firstLine="0" w:firstLineChars="0"/>
                    <w:jc w:val="center"/>
                    <w:rPr>
                      <w:color w:val="000000" w:themeColor="text1"/>
                      <w:sz w:val="21"/>
                      <w:szCs w:val="21"/>
                    </w:rPr>
                  </w:pPr>
                  <w:r>
                    <w:rPr>
                      <w:rFonts w:hint="eastAsia"/>
                      <w:color w:val="000000" w:themeColor="text1"/>
                      <w:sz w:val="21"/>
                      <w:szCs w:val="21"/>
                    </w:rPr>
                    <w:t>本项目不属于钢铁、水泥、平板玻璃、焦化、化工、制药等行业；本项目符合国家产业政策、当地产业布局规划，本项目热风炉燃烧自产生物质能源颗粒，不涉及分散燃煤（燃重油等）炉窑。</w:t>
                  </w:r>
                </w:p>
              </w:tc>
              <w:tc>
                <w:tcPr>
                  <w:tcW w:w="854" w:type="dxa"/>
                  <w:tcBorders>
                    <w:tl2br w:val="nil"/>
                    <w:tr2bl w:val="nil"/>
                  </w:tcBorders>
                  <w:shd w:val="clear" w:color="auto" w:fill="auto"/>
                  <w:vAlign w:val="center"/>
                </w:tcPr>
                <w:p w14:paraId="031A560E">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6E174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vMerge w:val="continue"/>
                  <w:tcBorders>
                    <w:tl2br w:val="nil"/>
                    <w:tr2bl w:val="nil"/>
                  </w:tcBorders>
                  <w:vAlign w:val="center"/>
                </w:tcPr>
                <w:p w14:paraId="6539ABCB">
                  <w:pPr>
                    <w:spacing w:line="240" w:lineRule="auto"/>
                    <w:ind w:firstLine="0" w:firstLineChars="0"/>
                    <w:jc w:val="center"/>
                    <w:rPr>
                      <w:color w:val="000000" w:themeColor="text1"/>
                      <w:sz w:val="21"/>
                      <w:szCs w:val="21"/>
                    </w:rPr>
                  </w:pPr>
                </w:p>
              </w:tc>
              <w:tc>
                <w:tcPr>
                  <w:tcW w:w="1335" w:type="dxa"/>
                  <w:vMerge w:val="continue"/>
                  <w:tcBorders>
                    <w:tl2br w:val="nil"/>
                    <w:tr2bl w:val="nil"/>
                  </w:tcBorders>
                  <w:vAlign w:val="center"/>
                </w:tcPr>
                <w:p w14:paraId="39093C68">
                  <w:pPr>
                    <w:spacing w:line="240" w:lineRule="auto"/>
                    <w:ind w:firstLine="0" w:firstLineChars="0"/>
                    <w:jc w:val="center"/>
                    <w:rPr>
                      <w:color w:val="000000" w:themeColor="text1"/>
                      <w:sz w:val="21"/>
                      <w:szCs w:val="21"/>
                    </w:rPr>
                  </w:pPr>
                </w:p>
              </w:tc>
              <w:tc>
                <w:tcPr>
                  <w:tcW w:w="6171" w:type="dxa"/>
                  <w:tcBorders>
                    <w:tl2br w:val="nil"/>
                    <w:tr2bl w:val="nil"/>
                  </w:tcBorders>
                  <w:vAlign w:val="center"/>
                </w:tcPr>
                <w:p w14:paraId="3C543B2C">
                  <w:pPr>
                    <w:spacing w:line="240" w:lineRule="auto"/>
                    <w:ind w:firstLine="0" w:firstLineChars="0"/>
                    <w:jc w:val="center"/>
                    <w:rPr>
                      <w:color w:val="000000" w:themeColor="text1"/>
                      <w:sz w:val="21"/>
                      <w:szCs w:val="21"/>
                    </w:rPr>
                  </w:pPr>
                  <w:r>
                    <w:rPr>
                      <w:rFonts w:hint="eastAsia"/>
                      <w:color w:val="000000" w:themeColor="text1"/>
                      <w:sz w:val="21"/>
                      <w:szCs w:val="21"/>
                    </w:rPr>
                    <w:t>加快燃料清洁低碳化替代，优化用能结构。对以煤、石油焦、渣油、重油等为燃料的工业炉窑，加快使用清洁低碳能源以及利用工厂余热、电厂热力等进行替代，全省禁止掺烧高硫石油焦(硫含量大于3%)。玻璃行业全面禁止掺烧高硫石油焦。2020年底前，基本取缔燃煤热风炉、钢铁行业燃煤供热锅炉，有色行业基本淘汰燃煤干燥窑、燃煤反射炉、以煤为燃料的熔铅锅和电铅锅，基本淘汰热电联产供热管网覆盖范围内的燃煤加热、烘干炉（密）。在集中供热和热电联产不能覆盖的地区，鼓励具备条件的工业炉窑煤改气、电等清洁能源，加快推动铸造（10吨/小时及以下）、岩棉等行业冲天炉改为电炉，企业改造前应落实气源、电源，严格落实以气定改原则，煤改气替代必须签订供用气合同，清洁能源优先保障</w:t>
                  </w:r>
                  <w:r>
                    <w:rPr>
                      <w:rFonts w:hint="eastAsia"/>
                      <w:color w:val="000000" w:themeColor="text1"/>
                      <w:sz w:val="21"/>
                      <w:szCs w:val="21"/>
                      <w:lang w:eastAsia="zh-CN"/>
                    </w:rPr>
                    <w:t>战略性新兴产业</w:t>
                  </w:r>
                  <w:r>
                    <w:rPr>
                      <w:rFonts w:hint="eastAsia"/>
                      <w:color w:val="000000" w:themeColor="text1"/>
                      <w:sz w:val="21"/>
                      <w:szCs w:val="21"/>
                    </w:rPr>
                    <w:t>、高新技术产业和传统特色产业发展。集中使用煤气发生炉的工业园区，暂不具备改用天然气条件的，原则上应建设统一的清洁煤制气中心。</w:t>
                  </w:r>
                </w:p>
              </w:tc>
              <w:tc>
                <w:tcPr>
                  <w:tcW w:w="4020" w:type="dxa"/>
                  <w:tcBorders>
                    <w:tl2br w:val="nil"/>
                    <w:tr2bl w:val="nil"/>
                  </w:tcBorders>
                  <w:shd w:val="clear" w:color="auto" w:fill="auto"/>
                  <w:vAlign w:val="center"/>
                </w:tcPr>
                <w:p w14:paraId="3C7E1EB9">
                  <w:pPr>
                    <w:spacing w:line="240" w:lineRule="auto"/>
                    <w:ind w:firstLine="0" w:firstLineChars="0"/>
                    <w:jc w:val="center"/>
                    <w:rPr>
                      <w:color w:val="000000" w:themeColor="text1"/>
                      <w:sz w:val="21"/>
                      <w:szCs w:val="21"/>
                    </w:rPr>
                  </w:pPr>
                  <w:r>
                    <w:rPr>
                      <w:rFonts w:hint="eastAsia"/>
                      <w:color w:val="000000" w:themeColor="text1"/>
                      <w:sz w:val="21"/>
                      <w:szCs w:val="21"/>
                    </w:rPr>
                    <w:t>本项目热风炉以自产生物质能源颗粒为燃料，不涉及以煤、石油焦、渣油、重油等为燃料的工业炉窑。生物质能源颗粒以原木锯末为原料，可实现固体废物的综合利用，生物质燃烧释放的CO</w:t>
                  </w:r>
                  <w:r>
                    <w:rPr>
                      <w:rFonts w:hint="eastAsia"/>
                      <w:color w:val="000000" w:themeColor="text1"/>
                      <w:sz w:val="21"/>
                      <w:szCs w:val="21"/>
                      <w:vertAlign w:val="subscript"/>
                    </w:rPr>
                    <w:t>2</w:t>
                  </w:r>
                  <w:r>
                    <w:rPr>
                      <w:rFonts w:hint="eastAsia"/>
                      <w:color w:val="000000" w:themeColor="text1"/>
                      <w:sz w:val="21"/>
                      <w:szCs w:val="21"/>
                    </w:rPr>
                    <w:t>源于植物生长阶段吸收的大气碳，理论上可被新生植物重新吸收，形成闭环，净碳排放接近零；锯末中</w:t>
                  </w:r>
                  <w:r>
                    <w:rPr>
                      <w:color w:val="000000" w:themeColor="text1"/>
                      <w:sz w:val="21"/>
                      <w:szCs w:val="21"/>
                    </w:rPr>
                    <w:t>硫、氮元素含量极低，在</w:t>
                  </w:r>
                  <w:r>
                    <w:rPr>
                      <w:rFonts w:hint="eastAsia"/>
                      <w:color w:val="000000" w:themeColor="text1"/>
                      <w:sz w:val="21"/>
                      <w:szCs w:val="21"/>
                    </w:rPr>
                    <w:t>80~</w:t>
                  </w:r>
                  <w:r>
                    <w:rPr>
                      <w:color w:val="000000" w:themeColor="text1"/>
                      <w:sz w:val="21"/>
                      <w:szCs w:val="21"/>
                    </w:rPr>
                    <w:t>1</w:t>
                  </w:r>
                  <w:r>
                    <w:rPr>
                      <w:rFonts w:hint="eastAsia"/>
                      <w:color w:val="000000" w:themeColor="text1"/>
                      <w:sz w:val="21"/>
                      <w:szCs w:val="21"/>
                    </w:rPr>
                    <w:t>1</w:t>
                  </w:r>
                  <w:r>
                    <w:rPr>
                      <w:color w:val="000000" w:themeColor="text1"/>
                      <w:sz w:val="21"/>
                      <w:szCs w:val="21"/>
                    </w:rPr>
                    <w:t>0℃的烘干温度条件下，配合热风炉采用配风系统（过量空气系数控制在</w:t>
                  </w:r>
                  <w:r>
                    <w:rPr>
                      <w:rFonts w:hint="eastAsia"/>
                      <w:color w:val="000000" w:themeColor="text1"/>
                      <w:sz w:val="21"/>
                      <w:szCs w:val="21"/>
                    </w:rPr>
                    <w:t>1.7</w:t>
                  </w:r>
                  <w:r>
                    <w:rPr>
                      <w:color w:val="000000" w:themeColor="text1"/>
                      <w:sz w:val="21"/>
                      <w:szCs w:val="21"/>
                    </w:rPr>
                    <w:t>），可确保燃料充分燃烧</w:t>
                  </w:r>
                  <w:r>
                    <w:rPr>
                      <w:rFonts w:hint="eastAsia"/>
                      <w:color w:val="000000" w:themeColor="text1"/>
                      <w:sz w:val="21"/>
                      <w:szCs w:val="21"/>
                    </w:rPr>
                    <w:t>，显著减少未燃尽炭黑生成，燃料燃烧产生的二氧化硫和氮氧化物排放量较低，颗粒物、汞经沙克龙除尘器+布袋除尘器处理后有组织排放，污染物排放标准执行严格的《工业炉窑大气污染物排放标准》（DB13/ 1640-2012）及《2019年“十项重点工作”工作方案》的通知（唐办发[2019]3号）中</w:t>
                  </w:r>
                  <w:r>
                    <w:rPr>
                      <w:rFonts w:hint="eastAsia"/>
                      <w:color w:val="000000" w:themeColor="text1"/>
                      <w:spacing w:val="-5"/>
                      <w:sz w:val="21"/>
                      <w:szCs w:val="21"/>
                    </w:rPr>
                    <w:t>排放限值，对周围环境影响较小，本项目生物质能源颗粒属于</w:t>
                  </w:r>
                  <w:r>
                    <w:rPr>
                      <w:rFonts w:hint="eastAsia"/>
                      <w:color w:val="000000" w:themeColor="text1"/>
                      <w:sz w:val="21"/>
                      <w:szCs w:val="21"/>
                    </w:rPr>
                    <w:t>清洁低碳能源。</w:t>
                  </w:r>
                </w:p>
              </w:tc>
              <w:tc>
                <w:tcPr>
                  <w:tcW w:w="854" w:type="dxa"/>
                  <w:tcBorders>
                    <w:tl2br w:val="nil"/>
                    <w:tr2bl w:val="nil"/>
                  </w:tcBorders>
                  <w:shd w:val="clear" w:color="auto" w:fill="auto"/>
                  <w:vAlign w:val="center"/>
                </w:tcPr>
                <w:p w14:paraId="3856F748">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r w14:paraId="12038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87" w:type="dxa"/>
                  <w:tcBorders>
                    <w:tl2br w:val="nil"/>
                    <w:tr2bl w:val="nil"/>
                  </w:tcBorders>
                  <w:vAlign w:val="center"/>
                </w:tcPr>
                <w:p w14:paraId="58025FED">
                  <w:pPr>
                    <w:spacing w:line="240" w:lineRule="auto"/>
                    <w:ind w:firstLine="0" w:firstLineChars="0"/>
                    <w:jc w:val="center"/>
                    <w:rPr>
                      <w:color w:val="000000" w:themeColor="text1"/>
                      <w:sz w:val="21"/>
                      <w:szCs w:val="21"/>
                    </w:rPr>
                  </w:pPr>
                  <w:r>
                    <w:rPr>
                      <w:rFonts w:hint="eastAsia"/>
                      <w:color w:val="000000" w:themeColor="text1"/>
                      <w:sz w:val="21"/>
                      <w:szCs w:val="21"/>
                    </w:rPr>
                    <w:t>7</w:t>
                  </w:r>
                </w:p>
              </w:tc>
              <w:tc>
                <w:tcPr>
                  <w:tcW w:w="1335" w:type="dxa"/>
                  <w:tcBorders>
                    <w:tl2br w:val="nil"/>
                    <w:tr2bl w:val="nil"/>
                  </w:tcBorders>
                  <w:vAlign w:val="center"/>
                </w:tcPr>
                <w:p w14:paraId="417AE812">
                  <w:pPr>
                    <w:spacing w:line="240" w:lineRule="auto"/>
                    <w:ind w:firstLine="0" w:firstLineChars="0"/>
                    <w:jc w:val="center"/>
                    <w:rPr>
                      <w:color w:val="000000" w:themeColor="text1"/>
                      <w:sz w:val="21"/>
                      <w:szCs w:val="21"/>
                    </w:rPr>
                  </w:pPr>
                  <w:r>
                    <w:rPr>
                      <w:rFonts w:hint="eastAsia"/>
                      <w:color w:val="000000" w:themeColor="text1"/>
                      <w:sz w:val="21"/>
                      <w:szCs w:val="21"/>
                    </w:rPr>
                    <w:t>《2019年“十项重点工作”工作方案》（唐办发[2019]3号）</w:t>
                  </w:r>
                </w:p>
              </w:tc>
              <w:tc>
                <w:tcPr>
                  <w:tcW w:w="6171" w:type="dxa"/>
                  <w:tcBorders>
                    <w:tl2br w:val="nil"/>
                    <w:tr2bl w:val="nil"/>
                  </w:tcBorders>
                  <w:vAlign w:val="center"/>
                </w:tcPr>
                <w:p w14:paraId="350EACB7">
                  <w:pPr>
                    <w:spacing w:line="240" w:lineRule="auto"/>
                    <w:ind w:firstLine="0" w:firstLineChars="0"/>
                    <w:jc w:val="center"/>
                    <w:rPr>
                      <w:color w:val="000000" w:themeColor="text1"/>
                      <w:sz w:val="21"/>
                      <w:szCs w:val="21"/>
                    </w:rPr>
                  </w:pPr>
                  <w:r>
                    <w:rPr>
                      <w:rFonts w:hint="eastAsia"/>
                      <w:color w:val="000000" w:themeColor="text1"/>
                      <w:sz w:val="21"/>
                      <w:szCs w:val="21"/>
                    </w:rPr>
                    <w:t>开展工业窑炉拉网式排查，分类建立管理清单。严格排放标准要求，强化无组织排放监管，加大对不达标工业窑炉的淘汰力度。在资源落实的前提下，鼓励工业炉窑使用电、天然气等清洁能源或由周边热电厂供热，实现能源清洁化。</w:t>
                  </w:r>
                </w:p>
              </w:tc>
              <w:tc>
                <w:tcPr>
                  <w:tcW w:w="4020" w:type="dxa"/>
                  <w:tcBorders>
                    <w:tl2br w:val="nil"/>
                    <w:tr2bl w:val="nil"/>
                  </w:tcBorders>
                  <w:shd w:val="clear" w:color="auto" w:fill="auto"/>
                  <w:vAlign w:val="center"/>
                </w:tcPr>
                <w:p w14:paraId="33D71AC9">
                  <w:pPr>
                    <w:spacing w:line="240" w:lineRule="auto"/>
                    <w:ind w:firstLine="0" w:firstLineChars="0"/>
                    <w:jc w:val="center"/>
                    <w:rPr>
                      <w:color w:val="000000" w:themeColor="text1"/>
                      <w:sz w:val="21"/>
                      <w:szCs w:val="21"/>
                    </w:rPr>
                  </w:pPr>
                  <w:r>
                    <w:rPr>
                      <w:color w:val="000000" w:themeColor="text1"/>
                      <w:sz w:val="21"/>
                      <w:szCs w:val="2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r>
                    <w:rPr>
                      <w:rFonts w:hint="eastAsia"/>
                      <w:color w:val="000000" w:themeColor="text1"/>
                      <w:sz w:val="21"/>
                      <w:szCs w:val="21"/>
                    </w:rPr>
                    <w:t>。</w:t>
                  </w:r>
                </w:p>
              </w:tc>
              <w:tc>
                <w:tcPr>
                  <w:tcW w:w="854" w:type="dxa"/>
                  <w:tcBorders>
                    <w:tl2br w:val="nil"/>
                    <w:tr2bl w:val="nil"/>
                  </w:tcBorders>
                  <w:shd w:val="clear" w:color="auto" w:fill="auto"/>
                  <w:vAlign w:val="center"/>
                </w:tcPr>
                <w:p w14:paraId="061BBEFE">
                  <w:pPr>
                    <w:spacing w:line="240" w:lineRule="auto"/>
                    <w:ind w:firstLine="0" w:firstLineChars="0"/>
                    <w:jc w:val="center"/>
                    <w:rPr>
                      <w:color w:val="000000" w:themeColor="text1"/>
                      <w:sz w:val="21"/>
                      <w:szCs w:val="21"/>
                    </w:rPr>
                  </w:pPr>
                  <w:r>
                    <w:rPr>
                      <w:rFonts w:hint="eastAsia"/>
                      <w:color w:val="000000" w:themeColor="text1"/>
                      <w:sz w:val="21"/>
                      <w:szCs w:val="21"/>
                    </w:rPr>
                    <w:t>符合</w:t>
                  </w:r>
                </w:p>
              </w:tc>
            </w:tr>
          </w:tbl>
          <w:p w14:paraId="2F21CDB8">
            <w:pPr>
              <w:pStyle w:val="15"/>
              <w:ind w:left="0" w:leftChars="0" w:right="1680" w:firstLine="0" w:firstLineChars="0"/>
              <w:rPr>
                <w:color w:val="000000" w:themeColor="text1"/>
                <w:lang w:val="zh-CN"/>
              </w:rPr>
            </w:pPr>
          </w:p>
        </w:tc>
      </w:tr>
    </w:tbl>
    <w:p w14:paraId="513BB6FB">
      <w:pPr>
        <w:pStyle w:val="21"/>
        <w:ind w:firstLine="0" w:firstLineChars="0"/>
        <w:jc w:val="center"/>
        <w:rPr>
          <w:rFonts w:ascii="黑体" w:hAnsi="黑体" w:eastAsia="黑体"/>
          <w:snapToGrid w:val="0"/>
          <w:color w:val="000000" w:themeColor="text1"/>
          <w:sz w:val="30"/>
          <w:szCs w:val="30"/>
        </w:rPr>
        <w:sectPr>
          <w:pgSz w:w="16838" w:h="11906" w:orient="landscape"/>
          <w:pgMar w:top="1417" w:right="1440" w:bottom="1247" w:left="1440" w:header="851" w:footer="992" w:gutter="0"/>
          <w:cols w:space="425" w:num="1"/>
          <w:docGrid w:type="lines" w:linePitch="312" w:charSpace="0"/>
        </w:sectPr>
      </w:pPr>
    </w:p>
    <w:p w14:paraId="1A3A7645">
      <w:pPr>
        <w:pStyle w:val="2"/>
        <w:numPr>
          <w:ilvl w:val="0"/>
          <w:numId w:val="4"/>
        </w:numPr>
        <w:rPr>
          <w:color w:val="000000" w:themeColor="text1"/>
        </w:rPr>
      </w:pPr>
      <w:bookmarkStart w:id="3" w:name="_Toc13373"/>
      <w:r>
        <w:rPr>
          <w:rFonts w:hint="eastAsia"/>
          <w:color w:val="000000" w:themeColor="text1"/>
        </w:rPr>
        <w:t>建设项目工程分析</w:t>
      </w:r>
      <w:bookmarkEnd w:id="3"/>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298"/>
      </w:tblGrid>
      <w:tr w14:paraId="41995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tcBorders>
              <w:tl2br w:val="nil"/>
              <w:tr2bl w:val="nil"/>
            </w:tcBorders>
            <w:vAlign w:val="center"/>
          </w:tcPr>
          <w:p w14:paraId="68B8304D">
            <w:pPr>
              <w:spacing w:line="240" w:lineRule="auto"/>
              <w:ind w:firstLine="0" w:firstLineChars="0"/>
              <w:jc w:val="center"/>
              <w:rPr>
                <w:color w:val="000000" w:themeColor="text1"/>
              </w:rPr>
            </w:pPr>
            <w:r>
              <w:rPr>
                <w:color w:val="000000" w:themeColor="text1"/>
              </w:rPr>
              <w:t>建设内容</w:t>
            </w:r>
          </w:p>
        </w:tc>
        <w:tc>
          <w:tcPr>
            <w:tcW w:w="8298" w:type="dxa"/>
            <w:tcBorders>
              <w:tl2br w:val="nil"/>
              <w:tr2bl w:val="nil"/>
            </w:tcBorders>
          </w:tcPr>
          <w:p w14:paraId="6F05F418">
            <w:pPr>
              <w:autoSpaceDE w:val="0"/>
              <w:autoSpaceDN w:val="0"/>
              <w:adjustRightInd w:val="0"/>
              <w:ind w:firstLine="0" w:firstLineChars="0"/>
              <w:rPr>
                <w:b/>
                <w:bCs/>
                <w:color w:val="000000" w:themeColor="text1"/>
              </w:rPr>
            </w:pPr>
            <w:r>
              <w:rPr>
                <w:color w:val="000000" w:themeColor="text1"/>
              </w:rPr>
              <w:t>一、</w:t>
            </w:r>
            <w:r>
              <w:rPr>
                <w:b/>
                <w:bCs/>
                <w:color w:val="000000" w:themeColor="text1"/>
              </w:rPr>
              <w:t>项目由来</w:t>
            </w:r>
          </w:p>
          <w:p w14:paraId="580E3F42">
            <w:pPr>
              <w:ind w:firstLine="480"/>
              <w:rPr>
                <w:color w:val="000000" w:themeColor="text1"/>
              </w:rPr>
            </w:pPr>
            <w:r>
              <w:rPr>
                <w:rFonts w:hint="eastAsia"/>
                <w:color w:val="000000" w:themeColor="text1"/>
              </w:rPr>
              <w:t>唐山祥昇能源科技有限公司于2025年01月07日在唐山市曹妃甸区行政审批局进行了备案，备案内容为：项目拟租用唐山曹妃甸木业股份有限公司9号</w:t>
            </w:r>
            <w:r>
              <w:rPr>
                <w:color w:val="000000" w:themeColor="text1"/>
              </w:rPr>
              <w:t>厂房</w:t>
            </w:r>
            <w:r>
              <w:rPr>
                <w:rFonts w:hint="eastAsia"/>
                <w:color w:val="000000" w:themeColor="text1"/>
              </w:rPr>
              <w:t>及堆场</w:t>
            </w:r>
            <w:r>
              <w:rPr>
                <w:color w:val="000000" w:themeColor="text1"/>
              </w:rPr>
              <w:t>，</w:t>
            </w:r>
            <w:r>
              <w:rPr>
                <w:rFonts w:hint="eastAsia"/>
                <w:color w:val="000000" w:themeColor="text1"/>
              </w:rPr>
              <w:t>厂房总建筑面积5695.43m</w:t>
            </w:r>
            <w:r>
              <w:rPr>
                <w:rFonts w:hint="eastAsia"/>
                <w:color w:val="000000" w:themeColor="text1"/>
                <w:vertAlign w:val="superscript"/>
              </w:rPr>
              <w:t>2</w:t>
            </w:r>
            <w:r>
              <w:rPr>
                <w:rFonts w:hint="eastAsia"/>
                <w:color w:val="000000" w:themeColor="text1"/>
              </w:rPr>
              <w:t>，堆场面积5347.45m</w:t>
            </w:r>
            <w:r>
              <w:rPr>
                <w:rFonts w:hint="eastAsia"/>
                <w:color w:val="000000" w:themeColor="text1"/>
                <w:vertAlign w:val="superscript"/>
              </w:rPr>
              <w:t>2</w:t>
            </w:r>
            <w:r>
              <w:rPr>
                <w:rFonts w:hint="eastAsia"/>
                <w:color w:val="000000" w:themeColor="text1"/>
              </w:rPr>
              <w:t>。购置多片锯、圆木锯、生物质颗粒机、烘干机等设备及相关配套辅助设施等。项目建成后，达到年产生物质能源颗粒10000吨，年处理木废30000方的规模，年产木托盘料5000方的规模</w:t>
            </w:r>
            <w:r>
              <w:rPr>
                <w:color w:val="000000" w:themeColor="text1"/>
              </w:rPr>
              <w:t>。</w:t>
            </w:r>
          </w:p>
          <w:p w14:paraId="32F6E6A6">
            <w:pPr>
              <w:ind w:firstLine="480"/>
              <w:rPr>
                <w:color w:val="000000" w:themeColor="text1"/>
              </w:rPr>
            </w:pPr>
            <w:r>
              <w:rPr>
                <w:rFonts w:hint="eastAsia"/>
                <w:color w:val="000000" w:themeColor="text1"/>
              </w:rPr>
              <w:t>由于建设单位生产计划发生变化，同时结合市场需求，决定不再生产木托盘料，仅生产生物质能源颗粒，多片锯、圆木锯为木托盘料生产设备，不再购置。</w:t>
            </w:r>
          </w:p>
          <w:p w14:paraId="17AE6D34">
            <w:pPr>
              <w:ind w:firstLine="480"/>
              <w:rPr>
                <w:color w:val="000000" w:themeColor="text1"/>
              </w:rPr>
            </w:pPr>
            <w:r>
              <w:rPr>
                <w:rFonts w:hint="eastAsia"/>
                <w:color w:val="000000" w:themeColor="text1"/>
              </w:rPr>
              <w:t>本次评价建设内容及规模为：项目拟租用唐山曹妃甸木业股份有限公司9号</w:t>
            </w:r>
            <w:r>
              <w:rPr>
                <w:color w:val="000000" w:themeColor="text1"/>
              </w:rPr>
              <w:t>厂房</w:t>
            </w:r>
            <w:r>
              <w:rPr>
                <w:rFonts w:hint="eastAsia"/>
                <w:color w:val="000000" w:themeColor="text1"/>
              </w:rPr>
              <w:t>及堆场</w:t>
            </w:r>
            <w:r>
              <w:rPr>
                <w:color w:val="000000" w:themeColor="text1"/>
              </w:rPr>
              <w:t>，</w:t>
            </w:r>
            <w:r>
              <w:rPr>
                <w:rFonts w:hint="eastAsia"/>
                <w:color w:val="000000" w:themeColor="text1"/>
              </w:rPr>
              <w:t>厂房总建筑面积5695.43m</w:t>
            </w:r>
            <w:r>
              <w:rPr>
                <w:rFonts w:hint="eastAsia"/>
                <w:color w:val="000000" w:themeColor="text1"/>
                <w:vertAlign w:val="superscript"/>
              </w:rPr>
              <w:t>2</w:t>
            </w:r>
            <w:r>
              <w:rPr>
                <w:rFonts w:hint="eastAsia"/>
                <w:color w:val="000000" w:themeColor="text1"/>
              </w:rPr>
              <w:t>，堆场面积5347.45m</w:t>
            </w:r>
            <w:r>
              <w:rPr>
                <w:rFonts w:hint="eastAsia"/>
                <w:color w:val="000000" w:themeColor="text1"/>
                <w:vertAlign w:val="superscript"/>
              </w:rPr>
              <w:t>2</w:t>
            </w:r>
            <w:r>
              <w:rPr>
                <w:rFonts w:hint="eastAsia"/>
                <w:color w:val="000000" w:themeColor="text1"/>
              </w:rPr>
              <w:t>。购置生物质颗粒机、烘干机等设备及相关配套辅助设施等，以原木加工厂的锯末（木废）为原料，生产生物质能源颗粒。项目建成后，达到年产生物质能源颗粒10000吨，年处理木废30000方的规模</w:t>
            </w:r>
            <w:r>
              <w:rPr>
                <w:color w:val="000000" w:themeColor="text1"/>
              </w:rPr>
              <w:t>。</w:t>
            </w:r>
            <w:r>
              <w:rPr>
                <w:rFonts w:hint="eastAsia"/>
                <w:color w:val="000000" w:themeColor="text1"/>
              </w:rPr>
              <w:t>企业不再生产木托盘料，取消备案中年产木托盘料5000方的规模。</w:t>
            </w:r>
          </w:p>
          <w:p w14:paraId="0B895E11">
            <w:pPr>
              <w:ind w:firstLine="480"/>
              <w:rPr>
                <w:color w:val="000000" w:themeColor="text1"/>
              </w:rPr>
            </w:pPr>
            <w:r>
              <w:rPr>
                <w:rFonts w:hint="eastAsia"/>
                <w:color w:val="000000" w:themeColor="text1"/>
              </w:rPr>
              <w:t>曹妃甸工业区内集聚了众多木材加工企业，每年产生大量的木废料。本项目的实施将有效解决区域木废处置难题，通过资源化利用技术将木材加工废弃物转化为高附加值产品，既缓解了工业区固体废物处置压力，又创造了新的经济效益。项目建设符合国家循环经济发展战略，能够完善区域绿色产业链条，实现废弃物资源化的目的，达到经济效益与环境效益的双赢，对推进工业区生态文明建设和可持续发展具有重要作用。</w:t>
            </w:r>
          </w:p>
          <w:p w14:paraId="7C52256D">
            <w:pPr>
              <w:ind w:firstLine="480"/>
              <w:rPr>
                <w:color w:val="000000" w:themeColor="text1"/>
              </w:rPr>
            </w:pPr>
            <w:r>
              <w:rPr>
                <w:color w:val="000000" w:themeColor="text1"/>
              </w:rPr>
              <w:t>根据《中华人民共和国环境保护法》、《中华人民共和国环境影响评价法》、《建设项目环境保护管理条例》（国务院第682号令）的要求，以及《建设项目环境影响评价分类管理名录》（2021年版）（部令第16号）等环保法律法规的相关规定，该项目属于“</w:t>
            </w:r>
            <w:r>
              <w:rPr>
                <w:rFonts w:hint="eastAsia"/>
                <w:color w:val="000000" w:themeColor="text1"/>
              </w:rPr>
              <w:t>二十二、石油、煤炭及其他燃料加工业25—43、生物质燃料加工254—生物质致密成型燃料加工</w:t>
            </w:r>
            <w:r>
              <w:rPr>
                <w:color w:val="000000" w:themeColor="text1"/>
              </w:rPr>
              <w:t>”之列，应编制环境影响报告表。</w:t>
            </w:r>
            <w:r>
              <w:rPr>
                <w:rFonts w:hint="eastAsia"/>
                <w:color w:val="000000" w:themeColor="text1"/>
              </w:rPr>
              <w:t>唐山祥昇能源科技有限公司</w:t>
            </w:r>
            <w:r>
              <w:rPr>
                <w:color w:val="000000" w:themeColor="text1"/>
              </w:rPr>
              <w:t>委托我公司承担该项目的环境影响报告表的编制工作，接受委托后，我单位立即开展了现场踏勘、资料收集等工作，并根据国家、省、市有关环保政策、法规及</w:t>
            </w:r>
            <w:r>
              <w:rPr>
                <w:rFonts w:hint="eastAsia"/>
                <w:color w:val="000000" w:themeColor="text1"/>
              </w:rPr>
              <w:t>唐山市生态环境局曹妃甸区分局、唐山市曹妃甸区行政审批局</w:t>
            </w:r>
            <w:r>
              <w:rPr>
                <w:color w:val="000000" w:themeColor="text1"/>
              </w:rPr>
              <w:t>要求，从本项目及周边环境实际出发，分析项目建设与运营对环境的影响，编制完成了本项目环境影响报告表。</w:t>
            </w:r>
          </w:p>
          <w:p w14:paraId="6222811F">
            <w:pPr>
              <w:ind w:firstLine="0" w:firstLineChars="0"/>
              <w:rPr>
                <w:b/>
                <w:bCs/>
                <w:color w:val="000000" w:themeColor="text1"/>
              </w:rPr>
            </w:pPr>
            <w:r>
              <w:rPr>
                <w:color w:val="000000" w:themeColor="text1"/>
              </w:rPr>
              <w:t>二</w:t>
            </w:r>
            <w:r>
              <w:rPr>
                <w:b/>
                <w:bCs/>
                <w:color w:val="000000" w:themeColor="text1"/>
              </w:rPr>
              <w:t>、本项目工程概况</w:t>
            </w:r>
          </w:p>
          <w:p w14:paraId="5A711970">
            <w:pPr>
              <w:ind w:firstLine="480"/>
              <w:rPr>
                <w:color w:val="000000" w:themeColor="text1"/>
              </w:rPr>
            </w:pPr>
            <w:r>
              <w:rPr>
                <w:color w:val="000000" w:themeColor="text1"/>
              </w:rPr>
              <w:t>1、项目名称：</w:t>
            </w:r>
            <w:r>
              <w:rPr>
                <w:rFonts w:hint="eastAsia"/>
                <w:color w:val="000000" w:themeColor="text1"/>
              </w:rPr>
              <w:t>木托盘料部件加工、生物质能源加工项目</w:t>
            </w:r>
            <w:r>
              <w:rPr>
                <w:color w:val="000000" w:themeColor="text1"/>
              </w:rPr>
              <w:t>。</w:t>
            </w:r>
          </w:p>
          <w:p w14:paraId="46579E4A">
            <w:pPr>
              <w:ind w:firstLine="480"/>
              <w:rPr>
                <w:color w:val="000000" w:themeColor="text1"/>
              </w:rPr>
            </w:pPr>
            <w:r>
              <w:rPr>
                <w:color w:val="000000" w:themeColor="text1"/>
              </w:rPr>
              <w:t>2、建设单位：</w:t>
            </w:r>
            <w:r>
              <w:rPr>
                <w:rFonts w:hint="eastAsia"/>
                <w:color w:val="000000" w:themeColor="text1"/>
              </w:rPr>
              <w:t>唐山祥昇能源科技有限公司</w:t>
            </w:r>
            <w:r>
              <w:rPr>
                <w:color w:val="000000" w:themeColor="text1"/>
              </w:rPr>
              <w:t>。</w:t>
            </w:r>
          </w:p>
          <w:p w14:paraId="6019AE17">
            <w:pPr>
              <w:ind w:firstLine="480"/>
              <w:rPr>
                <w:color w:val="000000" w:themeColor="text1"/>
              </w:rPr>
            </w:pPr>
            <w:r>
              <w:rPr>
                <w:color w:val="000000" w:themeColor="text1"/>
              </w:rPr>
              <w:t>3、建设性质：新建。</w:t>
            </w:r>
          </w:p>
          <w:p w14:paraId="573FF90A">
            <w:pPr>
              <w:ind w:firstLine="480"/>
              <w:rPr>
                <w:color w:val="000000" w:themeColor="text1"/>
                <w:sz w:val="21"/>
                <w:szCs w:val="21"/>
              </w:rPr>
            </w:pPr>
            <w:r>
              <w:rPr>
                <w:color w:val="000000" w:themeColor="text1"/>
              </w:rPr>
              <w:t>4、建设地点：</w:t>
            </w:r>
            <w:r>
              <w:rPr>
                <w:rFonts w:hint="eastAsia"/>
                <w:color w:val="000000" w:themeColor="text1"/>
              </w:rPr>
              <w:t>唐山市曹妃甸装备制造产业园区唐山曹妃甸木业股份有限公司厂区内</w:t>
            </w:r>
            <w:r>
              <w:rPr>
                <w:color w:val="000000" w:themeColor="text1"/>
              </w:rPr>
              <w:t>。</w:t>
            </w:r>
          </w:p>
          <w:p w14:paraId="467F4354">
            <w:pPr>
              <w:ind w:firstLine="480"/>
              <w:rPr>
                <w:color w:val="000000" w:themeColor="text1"/>
              </w:rPr>
            </w:pPr>
            <w:r>
              <w:rPr>
                <w:color w:val="000000" w:themeColor="text1"/>
              </w:rPr>
              <w:t>5、项目组成：本项目</w:t>
            </w:r>
            <w:r>
              <w:rPr>
                <w:color w:val="000000" w:themeColor="text1"/>
                <w:spacing w:val="-2"/>
              </w:rPr>
              <w:t>租赁</w:t>
            </w:r>
            <w:r>
              <w:rPr>
                <w:rFonts w:hint="eastAsia"/>
                <w:color w:val="000000" w:themeColor="text1"/>
              </w:rPr>
              <w:t>唐山曹妃甸木业股份有限公司9号</w:t>
            </w:r>
            <w:r>
              <w:rPr>
                <w:color w:val="000000" w:themeColor="text1"/>
              </w:rPr>
              <w:t>厂房</w:t>
            </w:r>
            <w:r>
              <w:rPr>
                <w:rFonts w:hint="eastAsia"/>
                <w:color w:val="000000" w:themeColor="text1"/>
              </w:rPr>
              <w:t>及堆场（目前均为闲置状态），购置生物质颗粒机、烘干机等设备及相关配套辅助设施等，以原木加工厂的锯末（木废）为原料，生产生物质能源颗粒。项目建成后，年处理木废30000方，年产生物质能源颗粒10000吨</w:t>
            </w:r>
            <w:r>
              <w:rPr>
                <w:color w:val="000000" w:themeColor="text1"/>
              </w:rPr>
              <w:t>。</w:t>
            </w:r>
            <w:r>
              <w:rPr>
                <w:rFonts w:hint="eastAsia"/>
                <w:color w:val="000000" w:themeColor="text1"/>
              </w:rPr>
              <w:t>企业不再生产木托盘料，取消备案中年产木托盘料5000方的规模。</w:t>
            </w:r>
          </w:p>
          <w:p w14:paraId="0375B918">
            <w:pPr>
              <w:ind w:firstLine="480"/>
              <w:rPr>
                <w:color w:val="000000" w:themeColor="text1"/>
              </w:rPr>
            </w:pPr>
            <w:r>
              <w:rPr>
                <w:color w:val="000000" w:themeColor="text1"/>
              </w:rPr>
              <w:t>本项目主要建构筑物情况见表</w:t>
            </w:r>
            <w:r>
              <w:rPr>
                <w:rFonts w:hint="eastAsia"/>
                <w:color w:val="000000" w:themeColor="text1"/>
              </w:rPr>
              <w:t>8</w:t>
            </w:r>
            <w:r>
              <w:rPr>
                <w:color w:val="000000" w:themeColor="text1"/>
              </w:rPr>
              <w:t>，</w:t>
            </w:r>
            <w:r>
              <w:rPr>
                <w:rFonts w:hint="eastAsia"/>
                <w:color w:val="000000" w:themeColor="text1"/>
              </w:rPr>
              <w:t>项目组成</w:t>
            </w:r>
            <w:r>
              <w:rPr>
                <w:color w:val="000000" w:themeColor="text1"/>
              </w:rPr>
              <w:t>见表</w:t>
            </w:r>
            <w:r>
              <w:rPr>
                <w:rFonts w:hint="eastAsia"/>
                <w:color w:val="000000" w:themeColor="text1"/>
              </w:rPr>
              <w:t>9</w:t>
            </w:r>
            <w:r>
              <w:rPr>
                <w:color w:val="000000" w:themeColor="text1"/>
              </w:rPr>
              <w:t>。</w:t>
            </w:r>
          </w:p>
          <w:p w14:paraId="62CBD17C">
            <w:pPr>
              <w:pStyle w:val="34"/>
              <w:rPr>
                <w:color w:val="000000" w:themeColor="text1"/>
              </w:rPr>
            </w:pPr>
            <w:r>
              <w:rPr>
                <w:color w:val="000000" w:themeColor="text1"/>
              </w:rPr>
              <w:t>表</w:t>
            </w:r>
            <w:r>
              <w:rPr>
                <w:rFonts w:hint="eastAsia"/>
                <w:color w:val="000000" w:themeColor="text1"/>
              </w:rPr>
              <w:t>8</w:t>
            </w:r>
            <w:r>
              <w:rPr>
                <w:color w:val="000000" w:themeColor="text1"/>
              </w:rPr>
              <w:t xml:space="preserve">  本项目主要建、构筑物一览表</w:t>
            </w:r>
          </w:p>
          <w:tbl>
            <w:tblPr>
              <w:tblStyle w:val="25"/>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00"/>
              <w:gridCol w:w="975"/>
              <w:gridCol w:w="975"/>
              <w:gridCol w:w="1283"/>
              <w:gridCol w:w="1185"/>
              <w:gridCol w:w="2145"/>
            </w:tblGrid>
            <w:tr w14:paraId="34CDC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4" w:type="dxa"/>
                  <w:tcBorders>
                    <w:tl2br w:val="nil"/>
                    <w:tr2bl w:val="nil"/>
                  </w:tcBorders>
                  <w:vAlign w:val="center"/>
                </w:tcPr>
                <w:p w14:paraId="61F4AFDE">
                  <w:pPr>
                    <w:pStyle w:val="35"/>
                    <w:ind w:left="0" w:leftChars="0" w:right="0" w:rightChars="0"/>
                    <w:rPr>
                      <w:b/>
                      <w:bCs/>
                      <w:color w:val="000000" w:themeColor="text1"/>
                    </w:rPr>
                  </w:pPr>
                  <w:r>
                    <w:rPr>
                      <w:b/>
                      <w:bCs/>
                      <w:color w:val="000000" w:themeColor="text1"/>
                    </w:rPr>
                    <w:t>序号</w:t>
                  </w:r>
                </w:p>
              </w:tc>
              <w:tc>
                <w:tcPr>
                  <w:tcW w:w="900" w:type="dxa"/>
                  <w:tcBorders>
                    <w:tl2br w:val="nil"/>
                    <w:tr2bl w:val="nil"/>
                  </w:tcBorders>
                  <w:vAlign w:val="center"/>
                </w:tcPr>
                <w:p w14:paraId="7A0D5349">
                  <w:pPr>
                    <w:pStyle w:val="35"/>
                    <w:ind w:left="0" w:leftChars="0" w:right="0" w:rightChars="0"/>
                    <w:rPr>
                      <w:b/>
                      <w:bCs/>
                      <w:color w:val="000000" w:themeColor="text1"/>
                    </w:rPr>
                  </w:pPr>
                  <w:r>
                    <w:rPr>
                      <w:b/>
                      <w:bCs/>
                      <w:color w:val="000000" w:themeColor="text1"/>
                    </w:rPr>
                    <w:t>名称</w:t>
                  </w:r>
                </w:p>
              </w:tc>
              <w:tc>
                <w:tcPr>
                  <w:tcW w:w="975" w:type="dxa"/>
                  <w:tcBorders>
                    <w:tl2br w:val="nil"/>
                    <w:tr2bl w:val="nil"/>
                  </w:tcBorders>
                  <w:vAlign w:val="center"/>
                </w:tcPr>
                <w:p w14:paraId="50851FCF">
                  <w:pPr>
                    <w:pStyle w:val="35"/>
                    <w:ind w:left="0" w:leftChars="0" w:right="0" w:rightChars="0"/>
                    <w:rPr>
                      <w:b/>
                      <w:bCs/>
                      <w:color w:val="000000" w:themeColor="text1"/>
                    </w:rPr>
                  </w:pPr>
                  <w:r>
                    <w:rPr>
                      <w:b/>
                      <w:bCs/>
                      <w:color w:val="000000" w:themeColor="text1"/>
                    </w:rPr>
                    <w:t>占地面积（m</w:t>
                  </w:r>
                  <w:r>
                    <w:rPr>
                      <w:b/>
                      <w:bCs/>
                      <w:color w:val="000000" w:themeColor="text1"/>
                      <w:vertAlign w:val="superscript"/>
                    </w:rPr>
                    <w:t>2</w:t>
                  </w:r>
                  <w:r>
                    <w:rPr>
                      <w:b/>
                      <w:bCs/>
                      <w:color w:val="000000" w:themeColor="text1"/>
                    </w:rPr>
                    <w:t>）</w:t>
                  </w:r>
                </w:p>
              </w:tc>
              <w:tc>
                <w:tcPr>
                  <w:tcW w:w="975" w:type="dxa"/>
                  <w:tcBorders>
                    <w:tl2br w:val="nil"/>
                    <w:tr2bl w:val="nil"/>
                  </w:tcBorders>
                  <w:vAlign w:val="center"/>
                </w:tcPr>
                <w:p w14:paraId="69506100">
                  <w:pPr>
                    <w:pStyle w:val="35"/>
                    <w:ind w:left="0" w:leftChars="0" w:right="0" w:rightChars="0"/>
                    <w:rPr>
                      <w:b/>
                      <w:bCs/>
                      <w:color w:val="000000" w:themeColor="text1"/>
                    </w:rPr>
                  </w:pPr>
                  <w:r>
                    <w:rPr>
                      <w:b/>
                      <w:bCs/>
                      <w:color w:val="000000" w:themeColor="text1"/>
                    </w:rPr>
                    <w:t>建筑面积（m</w:t>
                  </w:r>
                  <w:r>
                    <w:rPr>
                      <w:b/>
                      <w:bCs/>
                      <w:color w:val="000000" w:themeColor="text1"/>
                      <w:vertAlign w:val="superscript"/>
                    </w:rPr>
                    <w:t>2</w:t>
                  </w:r>
                  <w:r>
                    <w:rPr>
                      <w:b/>
                      <w:bCs/>
                      <w:color w:val="000000" w:themeColor="text1"/>
                    </w:rPr>
                    <w:t>）</w:t>
                  </w:r>
                </w:p>
              </w:tc>
              <w:tc>
                <w:tcPr>
                  <w:tcW w:w="1283" w:type="dxa"/>
                  <w:tcBorders>
                    <w:tl2br w:val="nil"/>
                    <w:tr2bl w:val="nil"/>
                  </w:tcBorders>
                  <w:vAlign w:val="center"/>
                </w:tcPr>
                <w:p w14:paraId="15ACBCFA">
                  <w:pPr>
                    <w:pStyle w:val="35"/>
                    <w:ind w:left="0" w:leftChars="0" w:right="0" w:rightChars="0"/>
                    <w:rPr>
                      <w:b/>
                      <w:bCs/>
                      <w:color w:val="000000" w:themeColor="text1"/>
                    </w:rPr>
                  </w:pPr>
                  <w:r>
                    <w:rPr>
                      <w:b/>
                      <w:bCs/>
                      <w:color w:val="000000" w:themeColor="text1"/>
                    </w:rPr>
                    <w:t>容积尺寸</w:t>
                  </w:r>
                </w:p>
              </w:tc>
              <w:tc>
                <w:tcPr>
                  <w:tcW w:w="1185" w:type="dxa"/>
                  <w:tcBorders>
                    <w:tl2br w:val="nil"/>
                    <w:tr2bl w:val="nil"/>
                  </w:tcBorders>
                  <w:vAlign w:val="center"/>
                </w:tcPr>
                <w:p w14:paraId="35FE65D2">
                  <w:pPr>
                    <w:pStyle w:val="35"/>
                    <w:ind w:left="0" w:leftChars="0" w:right="0" w:rightChars="0"/>
                    <w:rPr>
                      <w:b/>
                      <w:bCs/>
                      <w:color w:val="000000" w:themeColor="text1"/>
                    </w:rPr>
                  </w:pPr>
                  <w:r>
                    <w:rPr>
                      <w:b/>
                      <w:bCs/>
                      <w:color w:val="000000" w:themeColor="text1"/>
                    </w:rPr>
                    <w:t>结构形式</w:t>
                  </w:r>
                </w:p>
              </w:tc>
              <w:tc>
                <w:tcPr>
                  <w:tcW w:w="2145" w:type="dxa"/>
                  <w:tcBorders>
                    <w:tl2br w:val="nil"/>
                    <w:tr2bl w:val="nil"/>
                  </w:tcBorders>
                  <w:vAlign w:val="center"/>
                </w:tcPr>
                <w:p w14:paraId="7915B426">
                  <w:pPr>
                    <w:pStyle w:val="35"/>
                    <w:ind w:left="0" w:leftChars="0" w:right="0" w:rightChars="0"/>
                    <w:rPr>
                      <w:b/>
                      <w:bCs/>
                      <w:color w:val="000000" w:themeColor="text1"/>
                    </w:rPr>
                  </w:pPr>
                  <w:r>
                    <w:rPr>
                      <w:b/>
                      <w:bCs/>
                      <w:color w:val="000000" w:themeColor="text1"/>
                    </w:rPr>
                    <w:t>备注</w:t>
                  </w:r>
                </w:p>
              </w:tc>
            </w:tr>
            <w:tr w14:paraId="0E1FB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238D21C1">
                  <w:pPr>
                    <w:pStyle w:val="35"/>
                    <w:ind w:left="0" w:leftChars="0" w:right="0" w:rightChars="0"/>
                    <w:rPr>
                      <w:color w:val="000000" w:themeColor="text1"/>
                    </w:rPr>
                  </w:pPr>
                  <w:r>
                    <w:rPr>
                      <w:color w:val="000000" w:themeColor="text1"/>
                    </w:rPr>
                    <w:t>1</w:t>
                  </w:r>
                </w:p>
              </w:tc>
              <w:tc>
                <w:tcPr>
                  <w:tcW w:w="900" w:type="dxa"/>
                  <w:tcBorders>
                    <w:tl2br w:val="nil"/>
                    <w:tr2bl w:val="nil"/>
                  </w:tcBorders>
                  <w:vAlign w:val="center"/>
                </w:tcPr>
                <w:p w14:paraId="25BBC181">
                  <w:pPr>
                    <w:pStyle w:val="35"/>
                    <w:ind w:left="0" w:leftChars="0" w:right="0" w:rightChars="0"/>
                    <w:rPr>
                      <w:color w:val="000000" w:themeColor="text1"/>
                    </w:rPr>
                  </w:pPr>
                  <w:r>
                    <w:rPr>
                      <w:rFonts w:hint="eastAsia"/>
                      <w:color w:val="000000" w:themeColor="text1"/>
                    </w:rPr>
                    <w:t>厂房</w:t>
                  </w:r>
                </w:p>
              </w:tc>
              <w:tc>
                <w:tcPr>
                  <w:tcW w:w="975" w:type="dxa"/>
                  <w:tcBorders>
                    <w:tl2br w:val="nil"/>
                    <w:tr2bl w:val="nil"/>
                  </w:tcBorders>
                  <w:vAlign w:val="center"/>
                </w:tcPr>
                <w:p w14:paraId="4F587E3F">
                  <w:pPr>
                    <w:pStyle w:val="35"/>
                    <w:ind w:left="0" w:leftChars="0" w:right="0" w:rightChars="0"/>
                    <w:rPr>
                      <w:color w:val="000000" w:themeColor="text1"/>
                    </w:rPr>
                  </w:pPr>
                  <w:r>
                    <w:rPr>
                      <w:rFonts w:hint="eastAsia"/>
                      <w:color w:val="000000" w:themeColor="text1"/>
                    </w:rPr>
                    <w:t>5695.43</w:t>
                  </w:r>
                </w:p>
              </w:tc>
              <w:tc>
                <w:tcPr>
                  <w:tcW w:w="975" w:type="dxa"/>
                  <w:tcBorders>
                    <w:tl2br w:val="nil"/>
                    <w:tr2bl w:val="nil"/>
                  </w:tcBorders>
                  <w:vAlign w:val="center"/>
                </w:tcPr>
                <w:p w14:paraId="5336CC28">
                  <w:pPr>
                    <w:pStyle w:val="35"/>
                    <w:ind w:left="0" w:leftChars="0" w:right="0" w:rightChars="0"/>
                    <w:rPr>
                      <w:color w:val="000000" w:themeColor="text1"/>
                    </w:rPr>
                  </w:pPr>
                  <w:r>
                    <w:rPr>
                      <w:rFonts w:hint="eastAsia"/>
                      <w:color w:val="000000" w:themeColor="text1"/>
                    </w:rPr>
                    <w:t>5695.43</w:t>
                  </w:r>
                </w:p>
              </w:tc>
              <w:tc>
                <w:tcPr>
                  <w:tcW w:w="1283" w:type="dxa"/>
                  <w:tcBorders>
                    <w:tl2br w:val="nil"/>
                    <w:tr2bl w:val="nil"/>
                  </w:tcBorders>
                  <w:vAlign w:val="center"/>
                </w:tcPr>
                <w:p w14:paraId="16C032E8">
                  <w:pPr>
                    <w:pStyle w:val="35"/>
                    <w:ind w:left="0" w:leftChars="0" w:right="0" w:rightChars="0"/>
                    <w:rPr>
                      <w:color w:val="000000" w:themeColor="text1"/>
                    </w:rPr>
                  </w:pPr>
                  <w:r>
                    <w:rPr>
                      <w:rFonts w:hint="eastAsia"/>
                      <w:bCs/>
                      <w:color w:val="000000" w:themeColor="text1"/>
                      <w:spacing w:val="6"/>
                    </w:rPr>
                    <w:t>118.65m</w:t>
                  </w:r>
                  <w:r>
                    <w:rPr>
                      <w:bCs/>
                      <w:color w:val="000000" w:themeColor="text1"/>
                      <w:spacing w:val="6"/>
                    </w:rPr>
                    <w:t>×</w:t>
                  </w:r>
                  <w:r>
                    <w:rPr>
                      <w:rFonts w:hint="eastAsia"/>
                      <w:bCs/>
                      <w:color w:val="000000" w:themeColor="text1"/>
                      <w:spacing w:val="6"/>
                    </w:rPr>
                    <w:t>48m</w:t>
                  </w:r>
                  <w:r>
                    <w:rPr>
                      <w:bCs/>
                      <w:color w:val="000000" w:themeColor="text1"/>
                      <w:spacing w:val="6"/>
                    </w:rPr>
                    <w:t>×</w:t>
                  </w:r>
                  <w:r>
                    <w:rPr>
                      <w:rFonts w:hint="eastAsia"/>
                      <w:bCs/>
                      <w:color w:val="000000" w:themeColor="text1"/>
                      <w:spacing w:val="6"/>
                    </w:rPr>
                    <w:t>9m</w:t>
                  </w:r>
                </w:p>
              </w:tc>
              <w:tc>
                <w:tcPr>
                  <w:tcW w:w="1185" w:type="dxa"/>
                  <w:tcBorders>
                    <w:tl2br w:val="nil"/>
                    <w:tr2bl w:val="nil"/>
                  </w:tcBorders>
                  <w:vAlign w:val="center"/>
                </w:tcPr>
                <w:p w14:paraId="2A325D20">
                  <w:pPr>
                    <w:pStyle w:val="35"/>
                    <w:ind w:left="0" w:leftChars="0" w:right="0" w:rightChars="0"/>
                    <w:rPr>
                      <w:color w:val="000000" w:themeColor="text1"/>
                    </w:rPr>
                  </w:pPr>
                  <w:r>
                    <w:rPr>
                      <w:rFonts w:hint="eastAsia"/>
                      <w:color w:val="000000" w:themeColor="text1"/>
                    </w:rPr>
                    <w:t>单层彩钢结构+</w:t>
                  </w:r>
                  <w:r>
                    <w:rPr>
                      <w:color w:val="000000" w:themeColor="text1"/>
                    </w:rPr>
                    <w:t>1m砖混基础墙</w:t>
                  </w:r>
                </w:p>
              </w:tc>
              <w:tc>
                <w:tcPr>
                  <w:tcW w:w="2145" w:type="dxa"/>
                  <w:tcBorders>
                    <w:tl2br w:val="nil"/>
                    <w:tr2bl w:val="nil"/>
                  </w:tcBorders>
                  <w:vAlign w:val="center"/>
                </w:tcPr>
                <w:p w14:paraId="00B1334F">
                  <w:pPr>
                    <w:pStyle w:val="35"/>
                    <w:ind w:left="0" w:leftChars="0" w:right="0" w:rightChars="0"/>
                    <w:rPr>
                      <w:color w:val="000000" w:themeColor="text1"/>
                    </w:rPr>
                  </w:pPr>
                  <w:r>
                    <w:rPr>
                      <w:rFonts w:hint="eastAsia"/>
                      <w:color w:val="000000" w:themeColor="text1"/>
                    </w:rPr>
                    <w:t>1F，内设锯末（湿料）原料区、锯末（干料）原料区、油品储存库、备件库、生产区、成品区、一般固废储存区、危废暂存间等</w:t>
                  </w:r>
                </w:p>
              </w:tc>
            </w:tr>
            <w:tr w14:paraId="6D6D4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33657115">
                  <w:pPr>
                    <w:pStyle w:val="35"/>
                    <w:ind w:left="0" w:leftChars="0" w:right="0" w:rightChars="0"/>
                    <w:rPr>
                      <w:color w:val="000000" w:themeColor="text1"/>
                    </w:rPr>
                  </w:pPr>
                  <w:r>
                    <w:rPr>
                      <w:rFonts w:hint="eastAsia"/>
                      <w:color w:val="000000" w:themeColor="text1"/>
                    </w:rPr>
                    <w:t>2</w:t>
                  </w:r>
                </w:p>
              </w:tc>
              <w:tc>
                <w:tcPr>
                  <w:tcW w:w="900" w:type="dxa"/>
                  <w:tcBorders>
                    <w:tl2br w:val="nil"/>
                    <w:tr2bl w:val="nil"/>
                  </w:tcBorders>
                  <w:vAlign w:val="center"/>
                </w:tcPr>
                <w:p w14:paraId="093A6E69">
                  <w:pPr>
                    <w:pStyle w:val="35"/>
                    <w:ind w:left="0" w:leftChars="0" w:right="0" w:rightChars="0"/>
                    <w:rPr>
                      <w:color w:val="000000" w:themeColor="text1"/>
                    </w:rPr>
                  </w:pPr>
                  <w:r>
                    <w:rPr>
                      <w:rFonts w:hint="eastAsia"/>
                      <w:color w:val="000000" w:themeColor="text1"/>
                    </w:rPr>
                    <w:t>堆场</w:t>
                  </w:r>
                </w:p>
              </w:tc>
              <w:tc>
                <w:tcPr>
                  <w:tcW w:w="975" w:type="dxa"/>
                  <w:tcBorders>
                    <w:tl2br w:val="nil"/>
                    <w:tr2bl w:val="nil"/>
                  </w:tcBorders>
                  <w:vAlign w:val="center"/>
                </w:tcPr>
                <w:p w14:paraId="4EED6A7D">
                  <w:pPr>
                    <w:pStyle w:val="35"/>
                    <w:ind w:left="0" w:leftChars="0" w:right="0" w:rightChars="0"/>
                    <w:rPr>
                      <w:color w:val="000000" w:themeColor="text1"/>
                    </w:rPr>
                  </w:pPr>
                  <w:r>
                    <w:rPr>
                      <w:rFonts w:hint="eastAsia"/>
                      <w:color w:val="000000" w:themeColor="text1"/>
                    </w:rPr>
                    <w:t>5347.45</w:t>
                  </w:r>
                </w:p>
              </w:tc>
              <w:tc>
                <w:tcPr>
                  <w:tcW w:w="975" w:type="dxa"/>
                  <w:tcBorders>
                    <w:tl2br w:val="nil"/>
                    <w:tr2bl w:val="nil"/>
                  </w:tcBorders>
                  <w:vAlign w:val="center"/>
                </w:tcPr>
                <w:p w14:paraId="5184B910">
                  <w:pPr>
                    <w:pStyle w:val="35"/>
                    <w:ind w:left="0" w:leftChars="0" w:right="0" w:rightChars="0"/>
                    <w:rPr>
                      <w:color w:val="000000" w:themeColor="text1"/>
                    </w:rPr>
                  </w:pPr>
                  <w:r>
                    <w:rPr>
                      <w:rFonts w:hint="eastAsia"/>
                      <w:color w:val="000000" w:themeColor="text1"/>
                    </w:rPr>
                    <w:t>/</w:t>
                  </w:r>
                </w:p>
              </w:tc>
              <w:tc>
                <w:tcPr>
                  <w:tcW w:w="1283" w:type="dxa"/>
                  <w:tcBorders>
                    <w:tl2br w:val="nil"/>
                    <w:tr2bl w:val="nil"/>
                  </w:tcBorders>
                  <w:vAlign w:val="center"/>
                </w:tcPr>
                <w:p w14:paraId="74CA86E2">
                  <w:pPr>
                    <w:pStyle w:val="35"/>
                    <w:ind w:left="0" w:leftChars="0" w:right="0" w:rightChars="0"/>
                    <w:rPr>
                      <w:color w:val="000000" w:themeColor="text1"/>
                    </w:rPr>
                  </w:pPr>
                  <w:r>
                    <w:rPr>
                      <w:rFonts w:hint="eastAsia"/>
                      <w:color w:val="000000" w:themeColor="text1"/>
                    </w:rPr>
                    <w:t>/</w:t>
                  </w:r>
                </w:p>
              </w:tc>
              <w:tc>
                <w:tcPr>
                  <w:tcW w:w="1185" w:type="dxa"/>
                  <w:tcBorders>
                    <w:tl2br w:val="nil"/>
                    <w:tr2bl w:val="nil"/>
                  </w:tcBorders>
                  <w:vAlign w:val="center"/>
                </w:tcPr>
                <w:p w14:paraId="39AFB95C">
                  <w:pPr>
                    <w:pStyle w:val="35"/>
                    <w:ind w:left="0" w:leftChars="0" w:right="0" w:rightChars="0"/>
                    <w:rPr>
                      <w:color w:val="000000" w:themeColor="text1"/>
                    </w:rPr>
                  </w:pPr>
                  <w:r>
                    <w:rPr>
                      <w:rFonts w:hint="eastAsia"/>
                      <w:color w:val="000000" w:themeColor="text1"/>
                    </w:rPr>
                    <w:t>/</w:t>
                  </w:r>
                </w:p>
              </w:tc>
              <w:tc>
                <w:tcPr>
                  <w:tcW w:w="2145" w:type="dxa"/>
                  <w:tcBorders>
                    <w:tl2br w:val="nil"/>
                    <w:tr2bl w:val="nil"/>
                  </w:tcBorders>
                  <w:vAlign w:val="center"/>
                </w:tcPr>
                <w:p w14:paraId="2C012EE6">
                  <w:pPr>
                    <w:pStyle w:val="35"/>
                    <w:ind w:left="0" w:leftChars="0" w:right="0" w:rightChars="0"/>
                    <w:rPr>
                      <w:color w:val="000000" w:themeColor="text1"/>
                    </w:rPr>
                  </w:pPr>
                  <w:r>
                    <w:rPr>
                      <w:rFonts w:hint="eastAsia"/>
                      <w:color w:val="000000" w:themeColor="text1"/>
                    </w:rPr>
                    <w:t>位于厂房外四周，本项目不作使用</w:t>
                  </w:r>
                </w:p>
              </w:tc>
            </w:tr>
            <w:tr w14:paraId="00596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0B45A771">
                  <w:pPr>
                    <w:pStyle w:val="35"/>
                    <w:ind w:left="0" w:leftChars="0" w:right="0" w:rightChars="0"/>
                    <w:rPr>
                      <w:color w:val="000000" w:themeColor="text1"/>
                    </w:rPr>
                  </w:pPr>
                  <w:r>
                    <w:rPr>
                      <w:rFonts w:hint="eastAsia"/>
                      <w:color w:val="000000" w:themeColor="text1"/>
                    </w:rPr>
                    <w:t>3</w:t>
                  </w:r>
                </w:p>
              </w:tc>
              <w:tc>
                <w:tcPr>
                  <w:tcW w:w="900" w:type="dxa"/>
                  <w:tcBorders>
                    <w:tl2br w:val="nil"/>
                    <w:tr2bl w:val="nil"/>
                  </w:tcBorders>
                  <w:vAlign w:val="center"/>
                </w:tcPr>
                <w:p w14:paraId="3D1CB9A7">
                  <w:pPr>
                    <w:pStyle w:val="35"/>
                    <w:ind w:left="0" w:leftChars="0" w:right="0" w:rightChars="0"/>
                    <w:rPr>
                      <w:color w:val="000000" w:themeColor="text1"/>
                    </w:rPr>
                  </w:pPr>
                  <w:r>
                    <w:rPr>
                      <w:rFonts w:hint="eastAsia"/>
                      <w:color w:val="000000" w:themeColor="text1"/>
                    </w:rPr>
                    <w:t>备件库</w:t>
                  </w:r>
                </w:p>
              </w:tc>
              <w:tc>
                <w:tcPr>
                  <w:tcW w:w="975" w:type="dxa"/>
                  <w:tcBorders>
                    <w:tl2br w:val="nil"/>
                    <w:tr2bl w:val="nil"/>
                  </w:tcBorders>
                  <w:vAlign w:val="center"/>
                </w:tcPr>
                <w:p w14:paraId="73CCEDC9">
                  <w:pPr>
                    <w:pStyle w:val="35"/>
                    <w:ind w:left="0" w:leftChars="0" w:right="0" w:rightChars="0"/>
                    <w:rPr>
                      <w:color w:val="000000" w:themeColor="text1"/>
                    </w:rPr>
                  </w:pPr>
                  <w:r>
                    <w:rPr>
                      <w:rFonts w:hint="eastAsia"/>
                      <w:color w:val="000000" w:themeColor="text1"/>
                    </w:rPr>
                    <w:t>24</w:t>
                  </w:r>
                </w:p>
              </w:tc>
              <w:tc>
                <w:tcPr>
                  <w:tcW w:w="975" w:type="dxa"/>
                  <w:tcBorders>
                    <w:tl2br w:val="nil"/>
                    <w:tr2bl w:val="nil"/>
                  </w:tcBorders>
                  <w:vAlign w:val="center"/>
                </w:tcPr>
                <w:p w14:paraId="7B65DB23">
                  <w:pPr>
                    <w:pStyle w:val="35"/>
                    <w:ind w:left="0" w:leftChars="0" w:right="0" w:rightChars="0"/>
                    <w:rPr>
                      <w:color w:val="000000" w:themeColor="text1"/>
                    </w:rPr>
                  </w:pPr>
                  <w:r>
                    <w:rPr>
                      <w:rFonts w:hint="eastAsia"/>
                      <w:color w:val="000000" w:themeColor="text1"/>
                    </w:rPr>
                    <w:t>24</w:t>
                  </w:r>
                </w:p>
              </w:tc>
              <w:tc>
                <w:tcPr>
                  <w:tcW w:w="1283" w:type="dxa"/>
                  <w:tcBorders>
                    <w:tl2br w:val="nil"/>
                    <w:tr2bl w:val="nil"/>
                  </w:tcBorders>
                  <w:vAlign w:val="center"/>
                </w:tcPr>
                <w:p w14:paraId="387D5A43">
                  <w:pPr>
                    <w:pStyle w:val="35"/>
                    <w:ind w:left="0" w:leftChars="0" w:right="0" w:rightChars="0"/>
                    <w:rPr>
                      <w:color w:val="000000" w:themeColor="text1"/>
                    </w:rPr>
                  </w:pPr>
                  <w:r>
                    <w:rPr>
                      <w:rFonts w:hint="eastAsia"/>
                      <w:bCs/>
                      <w:color w:val="000000" w:themeColor="text1"/>
                      <w:spacing w:val="6"/>
                    </w:rPr>
                    <w:t>6m</w:t>
                  </w:r>
                  <w:r>
                    <w:rPr>
                      <w:bCs/>
                      <w:color w:val="000000" w:themeColor="text1"/>
                      <w:spacing w:val="6"/>
                    </w:rPr>
                    <w:t>×</w:t>
                  </w:r>
                  <w:r>
                    <w:rPr>
                      <w:rFonts w:hint="eastAsia"/>
                      <w:bCs/>
                      <w:color w:val="000000" w:themeColor="text1"/>
                      <w:spacing w:val="6"/>
                    </w:rPr>
                    <w:t>4m</w:t>
                  </w:r>
                  <w:r>
                    <w:rPr>
                      <w:bCs/>
                      <w:color w:val="000000" w:themeColor="text1"/>
                      <w:spacing w:val="6"/>
                    </w:rPr>
                    <w:t>×</w:t>
                  </w:r>
                  <w:r>
                    <w:rPr>
                      <w:rFonts w:hint="eastAsia"/>
                      <w:bCs/>
                      <w:color w:val="000000" w:themeColor="text1"/>
                      <w:spacing w:val="6"/>
                    </w:rPr>
                    <w:t>3m</w:t>
                  </w:r>
                </w:p>
              </w:tc>
              <w:tc>
                <w:tcPr>
                  <w:tcW w:w="1185" w:type="dxa"/>
                  <w:tcBorders>
                    <w:tl2br w:val="nil"/>
                    <w:tr2bl w:val="nil"/>
                  </w:tcBorders>
                  <w:vAlign w:val="center"/>
                </w:tcPr>
                <w:p w14:paraId="54937C6C">
                  <w:pPr>
                    <w:pStyle w:val="35"/>
                    <w:ind w:left="0" w:leftChars="0" w:right="0" w:rightChars="0"/>
                    <w:rPr>
                      <w:color w:val="000000" w:themeColor="text1"/>
                    </w:rPr>
                  </w:pPr>
                  <w:r>
                    <w:rPr>
                      <w:rFonts w:hint="eastAsia"/>
                      <w:color w:val="000000" w:themeColor="text1"/>
                    </w:rPr>
                    <w:t>彩钢结构</w:t>
                  </w:r>
                </w:p>
              </w:tc>
              <w:tc>
                <w:tcPr>
                  <w:tcW w:w="2145" w:type="dxa"/>
                  <w:tcBorders>
                    <w:tl2br w:val="nil"/>
                    <w:tr2bl w:val="nil"/>
                  </w:tcBorders>
                  <w:vAlign w:val="center"/>
                </w:tcPr>
                <w:p w14:paraId="2DC8027A">
                  <w:pPr>
                    <w:pStyle w:val="35"/>
                    <w:ind w:left="0" w:leftChars="0" w:right="0" w:rightChars="0"/>
                    <w:rPr>
                      <w:color w:val="000000" w:themeColor="text1"/>
                    </w:rPr>
                  </w:pPr>
                  <w:r>
                    <w:rPr>
                      <w:rFonts w:hint="eastAsia"/>
                      <w:color w:val="000000" w:themeColor="text1"/>
                    </w:rPr>
                    <w:t>位于厂房内西北角</w:t>
                  </w:r>
                </w:p>
              </w:tc>
            </w:tr>
            <w:tr w14:paraId="3F1E3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496EC3E0">
                  <w:pPr>
                    <w:pStyle w:val="35"/>
                    <w:ind w:left="0" w:leftChars="0" w:right="0" w:rightChars="0"/>
                    <w:rPr>
                      <w:color w:val="000000" w:themeColor="text1"/>
                    </w:rPr>
                  </w:pPr>
                  <w:r>
                    <w:rPr>
                      <w:rFonts w:hint="eastAsia"/>
                      <w:color w:val="000000" w:themeColor="text1"/>
                    </w:rPr>
                    <w:t>4</w:t>
                  </w:r>
                </w:p>
              </w:tc>
              <w:tc>
                <w:tcPr>
                  <w:tcW w:w="900" w:type="dxa"/>
                  <w:tcBorders>
                    <w:tl2br w:val="nil"/>
                    <w:tr2bl w:val="nil"/>
                  </w:tcBorders>
                  <w:vAlign w:val="center"/>
                </w:tcPr>
                <w:p w14:paraId="4F88C89D">
                  <w:pPr>
                    <w:pStyle w:val="35"/>
                    <w:ind w:left="0" w:leftChars="0" w:right="0" w:rightChars="0"/>
                    <w:rPr>
                      <w:color w:val="000000" w:themeColor="text1"/>
                    </w:rPr>
                  </w:pPr>
                  <w:r>
                    <w:rPr>
                      <w:rFonts w:hint="eastAsia"/>
                      <w:color w:val="000000" w:themeColor="text1"/>
                    </w:rPr>
                    <w:t>油品储存库</w:t>
                  </w:r>
                </w:p>
              </w:tc>
              <w:tc>
                <w:tcPr>
                  <w:tcW w:w="975" w:type="dxa"/>
                  <w:tcBorders>
                    <w:tl2br w:val="nil"/>
                    <w:tr2bl w:val="nil"/>
                  </w:tcBorders>
                  <w:vAlign w:val="center"/>
                </w:tcPr>
                <w:p w14:paraId="003BB430">
                  <w:pPr>
                    <w:pStyle w:val="35"/>
                    <w:ind w:left="0" w:leftChars="0" w:right="0" w:rightChars="0"/>
                    <w:rPr>
                      <w:color w:val="000000" w:themeColor="text1"/>
                    </w:rPr>
                  </w:pPr>
                  <w:r>
                    <w:rPr>
                      <w:rFonts w:hint="eastAsia"/>
                      <w:color w:val="000000" w:themeColor="text1"/>
                    </w:rPr>
                    <w:t>21.6</w:t>
                  </w:r>
                </w:p>
              </w:tc>
              <w:tc>
                <w:tcPr>
                  <w:tcW w:w="975" w:type="dxa"/>
                  <w:tcBorders>
                    <w:tl2br w:val="nil"/>
                    <w:tr2bl w:val="nil"/>
                  </w:tcBorders>
                  <w:vAlign w:val="center"/>
                </w:tcPr>
                <w:p w14:paraId="733C1EF8">
                  <w:pPr>
                    <w:pStyle w:val="35"/>
                    <w:ind w:left="0" w:leftChars="0" w:right="0" w:rightChars="0"/>
                    <w:rPr>
                      <w:color w:val="000000" w:themeColor="text1"/>
                    </w:rPr>
                  </w:pPr>
                  <w:r>
                    <w:rPr>
                      <w:rFonts w:hint="eastAsia"/>
                      <w:color w:val="000000" w:themeColor="text1"/>
                    </w:rPr>
                    <w:t>21.6</w:t>
                  </w:r>
                </w:p>
              </w:tc>
              <w:tc>
                <w:tcPr>
                  <w:tcW w:w="1283" w:type="dxa"/>
                  <w:tcBorders>
                    <w:tl2br w:val="nil"/>
                    <w:tr2bl w:val="nil"/>
                  </w:tcBorders>
                  <w:vAlign w:val="center"/>
                </w:tcPr>
                <w:p w14:paraId="07093A70">
                  <w:pPr>
                    <w:pStyle w:val="35"/>
                    <w:ind w:left="0" w:leftChars="0" w:right="0" w:rightChars="0"/>
                    <w:rPr>
                      <w:color w:val="000000" w:themeColor="text1"/>
                    </w:rPr>
                  </w:pPr>
                  <w:r>
                    <w:rPr>
                      <w:rFonts w:hint="eastAsia"/>
                      <w:bCs/>
                      <w:color w:val="000000" w:themeColor="text1"/>
                      <w:spacing w:val="6"/>
                    </w:rPr>
                    <w:t>6m</w:t>
                  </w:r>
                  <w:r>
                    <w:rPr>
                      <w:bCs/>
                      <w:color w:val="000000" w:themeColor="text1"/>
                      <w:spacing w:val="6"/>
                    </w:rPr>
                    <w:t>×</w:t>
                  </w:r>
                  <w:r>
                    <w:rPr>
                      <w:rFonts w:hint="eastAsia"/>
                      <w:bCs/>
                      <w:color w:val="000000" w:themeColor="text1"/>
                      <w:spacing w:val="6"/>
                    </w:rPr>
                    <w:t>3.6m</w:t>
                  </w:r>
                  <w:r>
                    <w:rPr>
                      <w:bCs/>
                      <w:color w:val="000000" w:themeColor="text1"/>
                      <w:spacing w:val="6"/>
                    </w:rPr>
                    <w:t>×</w:t>
                  </w:r>
                  <w:r>
                    <w:rPr>
                      <w:rFonts w:hint="eastAsia"/>
                      <w:bCs/>
                      <w:color w:val="000000" w:themeColor="text1"/>
                      <w:spacing w:val="6"/>
                    </w:rPr>
                    <w:t>3m</w:t>
                  </w:r>
                </w:p>
              </w:tc>
              <w:tc>
                <w:tcPr>
                  <w:tcW w:w="1185" w:type="dxa"/>
                  <w:tcBorders>
                    <w:tl2br w:val="nil"/>
                    <w:tr2bl w:val="nil"/>
                  </w:tcBorders>
                  <w:vAlign w:val="center"/>
                </w:tcPr>
                <w:p w14:paraId="096F58DF">
                  <w:pPr>
                    <w:pStyle w:val="35"/>
                    <w:ind w:left="0" w:leftChars="0" w:right="0" w:rightChars="0"/>
                    <w:rPr>
                      <w:color w:val="000000" w:themeColor="text1"/>
                    </w:rPr>
                  </w:pPr>
                  <w:r>
                    <w:rPr>
                      <w:rFonts w:hint="eastAsia"/>
                      <w:color w:val="000000" w:themeColor="text1"/>
                    </w:rPr>
                    <w:t>彩钢结构</w:t>
                  </w:r>
                </w:p>
              </w:tc>
              <w:tc>
                <w:tcPr>
                  <w:tcW w:w="2145" w:type="dxa"/>
                  <w:tcBorders>
                    <w:tl2br w:val="nil"/>
                    <w:tr2bl w:val="nil"/>
                  </w:tcBorders>
                  <w:vAlign w:val="center"/>
                </w:tcPr>
                <w:p w14:paraId="33C55941">
                  <w:pPr>
                    <w:pStyle w:val="35"/>
                    <w:ind w:left="0" w:leftChars="0" w:right="0" w:rightChars="0"/>
                    <w:rPr>
                      <w:color w:val="000000" w:themeColor="text1"/>
                    </w:rPr>
                  </w:pPr>
                  <w:r>
                    <w:rPr>
                      <w:rFonts w:hint="eastAsia"/>
                      <w:color w:val="000000" w:themeColor="text1"/>
                    </w:rPr>
                    <w:t>位于厂房内西南角</w:t>
                  </w:r>
                </w:p>
              </w:tc>
            </w:tr>
            <w:tr w14:paraId="6C885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vAlign w:val="center"/>
                </w:tcPr>
                <w:p w14:paraId="23AB09A7">
                  <w:pPr>
                    <w:pStyle w:val="35"/>
                    <w:ind w:left="0" w:leftChars="0" w:right="0" w:rightChars="0"/>
                    <w:rPr>
                      <w:color w:val="000000" w:themeColor="text1"/>
                    </w:rPr>
                  </w:pPr>
                  <w:r>
                    <w:rPr>
                      <w:rFonts w:hint="eastAsia"/>
                      <w:color w:val="000000" w:themeColor="text1"/>
                    </w:rPr>
                    <w:t>5</w:t>
                  </w:r>
                </w:p>
              </w:tc>
              <w:tc>
                <w:tcPr>
                  <w:tcW w:w="900" w:type="dxa"/>
                  <w:tcBorders>
                    <w:tl2br w:val="nil"/>
                    <w:tr2bl w:val="nil"/>
                  </w:tcBorders>
                  <w:vAlign w:val="center"/>
                </w:tcPr>
                <w:p w14:paraId="56768832">
                  <w:pPr>
                    <w:pStyle w:val="35"/>
                    <w:ind w:left="0" w:leftChars="0" w:right="0" w:rightChars="0"/>
                    <w:rPr>
                      <w:color w:val="000000" w:themeColor="text1"/>
                    </w:rPr>
                  </w:pPr>
                  <w:r>
                    <w:rPr>
                      <w:rFonts w:hint="eastAsia"/>
                      <w:color w:val="000000" w:themeColor="text1"/>
                    </w:rPr>
                    <w:t>危废暂存间</w:t>
                  </w:r>
                </w:p>
              </w:tc>
              <w:tc>
                <w:tcPr>
                  <w:tcW w:w="975" w:type="dxa"/>
                  <w:tcBorders>
                    <w:tl2br w:val="nil"/>
                    <w:tr2bl w:val="nil"/>
                  </w:tcBorders>
                  <w:vAlign w:val="center"/>
                </w:tcPr>
                <w:p w14:paraId="02D25DFA">
                  <w:pPr>
                    <w:pStyle w:val="35"/>
                    <w:ind w:left="0" w:leftChars="0" w:right="0" w:rightChars="0"/>
                    <w:rPr>
                      <w:color w:val="000000" w:themeColor="text1"/>
                    </w:rPr>
                  </w:pPr>
                  <w:r>
                    <w:rPr>
                      <w:rFonts w:hint="eastAsia"/>
                      <w:color w:val="000000" w:themeColor="text1"/>
                    </w:rPr>
                    <w:t>8</w:t>
                  </w:r>
                </w:p>
              </w:tc>
              <w:tc>
                <w:tcPr>
                  <w:tcW w:w="975" w:type="dxa"/>
                  <w:tcBorders>
                    <w:tl2br w:val="nil"/>
                    <w:tr2bl w:val="nil"/>
                  </w:tcBorders>
                  <w:vAlign w:val="center"/>
                </w:tcPr>
                <w:p w14:paraId="6471E082">
                  <w:pPr>
                    <w:pStyle w:val="35"/>
                    <w:ind w:left="0" w:leftChars="0" w:right="0" w:rightChars="0"/>
                    <w:rPr>
                      <w:color w:val="000000" w:themeColor="text1"/>
                    </w:rPr>
                  </w:pPr>
                  <w:r>
                    <w:rPr>
                      <w:rFonts w:hint="eastAsia"/>
                      <w:color w:val="000000" w:themeColor="text1"/>
                    </w:rPr>
                    <w:t>8</w:t>
                  </w:r>
                </w:p>
              </w:tc>
              <w:tc>
                <w:tcPr>
                  <w:tcW w:w="1283" w:type="dxa"/>
                  <w:tcBorders>
                    <w:tl2br w:val="nil"/>
                    <w:tr2bl w:val="nil"/>
                  </w:tcBorders>
                  <w:vAlign w:val="center"/>
                </w:tcPr>
                <w:p w14:paraId="7883BAE3">
                  <w:pPr>
                    <w:pStyle w:val="35"/>
                    <w:ind w:left="0" w:leftChars="0" w:right="0" w:rightChars="0"/>
                    <w:rPr>
                      <w:color w:val="000000" w:themeColor="text1"/>
                    </w:rPr>
                  </w:pPr>
                  <w:r>
                    <w:rPr>
                      <w:rFonts w:hint="eastAsia"/>
                      <w:color w:val="000000" w:themeColor="text1"/>
                    </w:rPr>
                    <w:t>4m</w:t>
                  </w:r>
                  <w:r>
                    <w:rPr>
                      <w:color w:val="000000" w:themeColor="text1"/>
                    </w:rPr>
                    <w:t>×</w:t>
                  </w:r>
                  <w:r>
                    <w:rPr>
                      <w:rFonts w:hint="eastAsia"/>
                      <w:color w:val="000000" w:themeColor="text1"/>
                    </w:rPr>
                    <w:t>2m</w:t>
                  </w:r>
                  <w:r>
                    <w:rPr>
                      <w:color w:val="000000" w:themeColor="text1"/>
                    </w:rPr>
                    <w:t>×</w:t>
                  </w:r>
                  <w:r>
                    <w:rPr>
                      <w:rFonts w:hint="eastAsia"/>
                      <w:color w:val="000000" w:themeColor="text1"/>
                    </w:rPr>
                    <w:t xml:space="preserve"> 3m</w:t>
                  </w:r>
                </w:p>
              </w:tc>
              <w:tc>
                <w:tcPr>
                  <w:tcW w:w="1185" w:type="dxa"/>
                  <w:tcBorders>
                    <w:tl2br w:val="nil"/>
                    <w:tr2bl w:val="nil"/>
                  </w:tcBorders>
                  <w:vAlign w:val="center"/>
                </w:tcPr>
                <w:p w14:paraId="2B0F97D0">
                  <w:pPr>
                    <w:pStyle w:val="35"/>
                    <w:ind w:left="0" w:leftChars="0" w:right="0" w:rightChars="0"/>
                    <w:rPr>
                      <w:color w:val="000000" w:themeColor="text1"/>
                    </w:rPr>
                  </w:pPr>
                  <w:r>
                    <w:rPr>
                      <w:rFonts w:hint="eastAsia"/>
                      <w:color w:val="000000" w:themeColor="text1"/>
                    </w:rPr>
                    <w:t>彩钢结构</w:t>
                  </w:r>
                </w:p>
              </w:tc>
              <w:tc>
                <w:tcPr>
                  <w:tcW w:w="2145" w:type="dxa"/>
                  <w:tcBorders>
                    <w:tl2br w:val="nil"/>
                    <w:tr2bl w:val="nil"/>
                  </w:tcBorders>
                  <w:vAlign w:val="center"/>
                </w:tcPr>
                <w:p w14:paraId="19006658">
                  <w:pPr>
                    <w:pStyle w:val="35"/>
                    <w:ind w:left="0" w:leftChars="0" w:right="0" w:rightChars="0"/>
                    <w:rPr>
                      <w:color w:val="000000" w:themeColor="text1"/>
                    </w:rPr>
                  </w:pPr>
                  <w:r>
                    <w:rPr>
                      <w:rFonts w:hint="eastAsia"/>
                      <w:color w:val="000000" w:themeColor="text1"/>
                    </w:rPr>
                    <w:t>位于厂房内西南侧，油品储存库北侧</w:t>
                  </w:r>
                </w:p>
              </w:tc>
            </w:tr>
          </w:tbl>
          <w:p w14:paraId="570BCF5A">
            <w:pPr>
              <w:pStyle w:val="34"/>
              <w:rPr>
                <w:color w:val="000000" w:themeColor="text1"/>
              </w:rPr>
            </w:pPr>
            <w:r>
              <w:rPr>
                <w:color w:val="000000" w:themeColor="text1"/>
              </w:rPr>
              <w:t>表</w:t>
            </w:r>
            <w:r>
              <w:rPr>
                <w:rFonts w:hint="eastAsia"/>
                <w:color w:val="000000" w:themeColor="text1"/>
              </w:rPr>
              <w:t>9</w:t>
            </w:r>
            <w:r>
              <w:rPr>
                <w:color w:val="000000" w:themeColor="text1"/>
              </w:rPr>
              <w:t xml:space="preserve">  </w:t>
            </w:r>
            <w:r>
              <w:rPr>
                <w:rFonts w:hint="eastAsia"/>
                <w:color w:val="000000" w:themeColor="text1"/>
              </w:rPr>
              <w:t>本项目组成</w:t>
            </w:r>
            <w:r>
              <w:rPr>
                <w:color w:val="000000" w:themeColor="text1"/>
              </w:rPr>
              <w:t>一览表</w:t>
            </w:r>
          </w:p>
          <w:tbl>
            <w:tblPr>
              <w:tblStyle w:val="25"/>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245"/>
              <w:gridCol w:w="6225"/>
            </w:tblGrid>
            <w:tr w14:paraId="486B0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tcBorders>
                    <w:tl2br w:val="nil"/>
                    <w:tr2bl w:val="nil"/>
                  </w:tcBorders>
                  <w:vAlign w:val="center"/>
                </w:tcPr>
                <w:p w14:paraId="44455582">
                  <w:pPr>
                    <w:pStyle w:val="35"/>
                    <w:rPr>
                      <w:b/>
                      <w:bCs/>
                      <w:color w:val="000000" w:themeColor="text1"/>
                    </w:rPr>
                  </w:pPr>
                  <w:r>
                    <w:rPr>
                      <w:b/>
                      <w:bCs/>
                      <w:color w:val="000000" w:themeColor="text1"/>
                    </w:rPr>
                    <w:t>工程类别</w:t>
                  </w:r>
                </w:p>
              </w:tc>
              <w:tc>
                <w:tcPr>
                  <w:tcW w:w="1245" w:type="dxa"/>
                  <w:tcBorders>
                    <w:tl2br w:val="nil"/>
                    <w:tr2bl w:val="nil"/>
                  </w:tcBorders>
                  <w:vAlign w:val="center"/>
                </w:tcPr>
                <w:p w14:paraId="3CA1118B">
                  <w:pPr>
                    <w:pStyle w:val="35"/>
                    <w:rPr>
                      <w:b/>
                      <w:bCs/>
                      <w:color w:val="000000" w:themeColor="text1"/>
                    </w:rPr>
                  </w:pPr>
                  <w:r>
                    <w:rPr>
                      <w:b/>
                      <w:bCs/>
                      <w:color w:val="000000" w:themeColor="text1"/>
                    </w:rPr>
                    <w:t>名称</w:t>
                  </w:r>
                </w:p>
              </w:tc>
              <w:tc>
                <w:tcPr>
                  <w:tcW w:w="6225" w:type="dxa"/>
                  <w:tcBorders>
                    <w:tl2br w:val="nil"/>
                    <w:tr2bl w:val="nil"/>
                  </w:tcBorders>
                  <w:vAlign w:val="center"/>
                </w:tcPr>
                <w:p w14:paraId="294C611E">
                  <w:pPr>
                    <w:pStyle w:val="35"/>
                    <w:rPr>
                      <w:b/>
                      <w:bCs/>
                      <w:color w:val="000000" w:themeColor="text1"/>
                    </w:rPr>
                  </w:pPr>
                  <w:r>
                    <w:rPr>
                      <w:b/>
                      <w:bCs/>
                      <w:color w:val="000000" w:themeColor="text1"/>
                    </w:rPr>
                    <w:t>主要内容</w:t>
                  </w:r>
                </w:p>
              </w:tc>
            </w:tr>
            <w:tr w14:paraId="0E6E5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tcBorders>
                    <w:tl2br w:val="nil"/>
                    <w:tr2bl w:val="nil"/>
                  </w:tcBorders>
                  <w:vAlign w:val="center"/>
                </w:tcPr>
                <w:p w14:paraId="38236DAB">
                  <w:pPr>
                    <w:pStyle w:val="35"/>
                    <w:rPr>
                      <w:color w:val="000000" w:themeColor="text1"/>
                    </w:rPr>
                  </w:pPr>
                  <w:r>
                    <w:rPr>
                      <w:color w:val="000000" w:themeColor="text1"/>
                    </w:rPr>
                    <w:t>主体工程</w:t>
                  </w:r>
                </w:p>
              </w:tc>
              <w:tc>
                <w:tcPr>
                  <w:tcW w:w="1245" w:type="dxa"/>
                  <w:tcBorders>
                    <w:tl2br w:val="nil"/>
                    <w:tr2bl w:val="nil"/>
                  </w:tcBorders>
                  <w:vAlign w:val="center"/>
                </w:tcPr>
                <w:p w14:paraId="453026F7">
                  <w:pPr>
                    <w:pStyle w:val="35"/>
                    <w:rPr>
                      <w:color w:val="000000" w:themeColor="text1"/>
                    </w:rPr>
                  </w:pPr>
                  <w:r>
                    <w:rPr>
                      <w:rFonts w:hint="eastAsia"/>
                      <w:color w:val="000000" w:themeColor="text1"/>
                    </w:rPr>
                    <w:t>厂房</w:t>
                  </w:r>
                </w:p>
              </w:tc>
              <w:tc>
                <w:tcPr>
                  <w:tcW w:w="6225" w:type="dxa"/>
                  <w:tcBorders>
                    <w:tl2br w:val="nil"/>
                    <w:tr2bl w:val="nil"/>
                  </w:tcBorders>
                  <w:vAlign w:val="center"/>
                </w:tcPr>
                <w:p w14:paraId="36130734">
                  <w:pPr>
                    <w:pStyle w:val="35"/>
                    <w:rPr>
                      <w:color w:val="000000" w:themeColor="text1"/>
                    </w:rPr>
                  </w:pPr>
                  <w:r>
                    <w:rPr>
                      <w:rFonts w:hint="eastAsia"/>
                      <w:color w:val="000000" w:themeColor="text1"/>
                    </w:rPr>
                    <w:t>位于唐山曹妃甸木业股份有限公司西南侧，属于独立厂房，现状为闲置厂房，</w:t>
                  </w:r>
                  <w:r>
                    <w:rPr>
                      <w:rFonts w:hint="eastAsia"/>
                      <w:color w:val="000000" w:themeColor="text1"/>
                      <w:spacing w:val="-12"/>
                    </w:rPr>
                    <w:t>占地</w:t>
                  </w:r>
                  <w:r>
                    <w:rPr>
                      <w:color w:val="000000" w:themeColor="text1"/>
                      <w:spacing w:val="-6"/>
                    </w:rPr>
                    <w:t>面积</w:t>
                  </w:r>
                  <w:r>
                    <w:rPr>
                      <w:rFonts w:hint="eastAsia"/>
                      <w:color w:val="000000" w:themeColor="text1"/>
                    </w:rPr>
                    <w:t>5695.43</w:t>
                  </w:r>
                  <w:r>
                    <w:rPr>
                      <w:color w:val="000000" w:themeColor="text1"/>
                      <w:spacing w:val="-6"/>
                    </w:rPr>
                    <w:t>m</w:t>
                  </w:r>
                  <w:r>
                    <w:rPr>
                      <w:color w:val="000000" w:themeColor="text1"/>
                      <w:spacing w:val="-6"/>
                      <w:position w:val="6"/>
                      <w:sz w:val="13"/>
                      <w:szCs w:val="13"/>
                    </w:rPr>
                    <w:t>2</w:t>
                  </w:r>
                  <w:r>
                    <w:rPr>
                      <w:color w:val="000000" w:themeColor="text1"/>
                      <w:spacing w:val="-6"/>
                    </w:rPr>
                    <w:t>，</w:t>
                  </w:r>
                  <w:r>
                    <w:rPr>
                      <w:rFonts w:hint="eastAsia"/>
                      <w:color w:val="000000" w:themeColor="text1"/>
                      <w:spacing w:val="-6"/>
                    </w:rPr>
                    <w:t>1F，容积尺寸为</w:t>
                  </w:r>
                  <w:r>
                    <w:rPr>
                      <w:rFonts w:hint="eastAsia"/>
                      <w:bCs/>
                      <w:color w:val="000000" w:themeColor="text1"/>
                      <w:spacing w:val="6"/>
                    </w:rPr>
                    <w:t>118.65m</w:t>
                  </w:r>
                  <w:r>
                    <w:rPr>
                      <w:bCs/>
                      <w:color w:val="000000" w:themeColor="text1"/>
                      <w:spacing w:val="6"/>
                    </w:rPr>
                    <w:t>×</w:t>
                  </w:r>
                  <w:r>
                    <w:rPr>
                      <w:rFonts w:hint="eastAsia"/>
                      <w:bCs/>
                      <w:color w:val="000000" w:themeColor="text1"/>
                      <w:spacing w:val="6"/>
                    </w:rPr>
                    <w:t>48m</w:t>
                  </w:r>
                  <w:r>
                    <w:rPr>
                      <w:bCs/>
                      <w:color w:val="000000" w:themeColor="text1"/>
                      <w:spacing w:val="6"/>
                    </w:rPr>
                    <w:t>×</w:t>
                  </w:r>
                  <w:r>
                    <w:rPr>
                      <w:rFonts w:hint="eastAsia"/>
                      <w:bCs/>
                      <w:color w:val="000000" w:themeColor="text1"/>
                      <w:spacing w:val="6"/>
                    </w:rPr>
                    <w:t>9m</w:t>
                  </w:r>
                  <w:r>
                    <w:rPr>
                      <w:rFonts w:hint="eastAsia"/>
                      <w:color w:val="000000" w:themeColor="text1"/>
                    </w:rPr>
                    <w:t>，围护结构为单层</w:t>
                  </w:r>
                  <w:r>
                    <w:rPr>
                      <w:color w:val="000000" w:themeColor="text1"/>
                    </w:rPr>
                    <w:t>彩钢</w:t>
                  </w:r>
                  <w:r>
                    <w:rPr>
                      <w:rFonts w:hint="eastAsia"/>
                      <w:color w:val="000000" w:themeColor="text1"/>
                    </w:rPr>
                    <w:t>结构+</w:t>
                  </w:r>
                  <w:r>
                    <w:rPr>
                      <w:color w:val="000000" w:themeColor="text1"/>
                    </w:rPr>
                    <w:t>1m砖混基础墙</w:t>
                  </w:r>
                  <w:r>
                    <w:rPr>
                      <w:rFonts w:hint="eastAsia"/>
                      <w:color w:val="000000" w:themeColor="text1"/>
                      <w:kern w:val="2"/>
                    </w:rPr>
                    <w:t>，厂房内设置</w:t>
                  </w:r>
                  <w:r>
                    <w:rPr>
                      <w:rFonts w:hint="eastAsia"/>
                      <w:color w:val="000000" w:themeColor="text1"/>
                    </w:rPr>
                    <w:t>锯末原料区、备件库、油品储存库、生产区、成品区、一般固废储存区、危废暂存间等。</w:t>
                  </w:r>
                </w:p>
              </w:tc>
            </w:tr>
            <w:tr w14:paraId="0BE6E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14:paraId="77C43E76">
                  <w:pPr>
                    <w:pStyle w:val="35"/>
                    <w:rPr>
                      <w:color w:val="000000" w:themeColor="text1"/>
                    </w:rPr>
                  </w:pPr>
                  <w:r>
                    <w:rPr>
                      <w:color w:val="000000" w:themeColor="text1"/>
                    </w:rPr>
                    <w:t>储运工程</w:t>
                  </w:r>
                </w:p>
              </w:tc>
              <w:tc>
                <w:tcPr>
                  <w:tcW w:w="1245" w:type="dxa"/>
                  <w:tcBorders>
                    <w:tl2br w:val="nil"/>
                    <w:tr2bl w:val="nil"/>
                  </w:tcBorders>
                  <w:vAlign w:val="center"/>
                </w:tcPr>
                <w:p w14:paraId="1A1E7748">
                  <w:pPr>
                    <w:pStyle w:val="35"/>
                    <w:rPr>
                      <w:color w:val="000000" w:themeColor="text1"/>
                    </w:rPr>
                  </w:pPr>
                  <w:r>
                    <w:rPr>
                      <w:rFonts w:hint="eastAsia"/>
                      <w:color w:val="000000" w:themeColor="text1"/>
                    </w:rPr>
                    <w:t>堆场</w:t>
                  </w:r>
                </w:p>
              </w:tc>
              <w:tc>
                <w:tcPr>
                  <w:tcW w:w="6225" w:type="dxa"/>
                  <w:tcBorders>
                    <w:tl2br w:val="nil"/>
                    <w:tr2bl w:val="nil"/>
                  </w:tcBorders>
                  <w:vAlign w:val="center"/>
                </w:tcPr>
                <w:p w14:paraId="47351CD8">
                  <w:pPr>
                    <w:pStyle w:val="35"/>
                    <w:rPr>
                      <w:color w:val="000000" w:themeColor="text1"/>
                    </w:rPr>
                  </w:pPr>
                  <w:r>
                    <w:rPr>
                      <w:rFonts w:hint="eastAsia"/>
                      <w:color w:val="000000" w:themeColor="text1"/>
                    </w:rPr>
                    <w:t>位于厂房外四周，占地面积5347.45</w:t>
                  </w:r>
                  <w:r>
                    <w:rPr>
                      <w:color w:val="000000" w:themeColor="text1"/>
                      <w:spacing w:val="-6"/>
                    </w:rPr>
                    <w:t>m</w:t>
                  </w:r>
                  <w:r>
                    <w:rPr>
                      <w:color w:val="000000" w:themeColor="text1"/>
                      <w:spacing w:val="-6"/>
                      <w:position w:val="6"/>
                      <w:sz w:val="13"/>
                      <w:szCs w:val="13"/>
                    </w:rPr>
                    <w:t>2</w:t>
                  </w:r>
                  <w:r>
                    <w:rPr>
                      <w:rFonts w:hint="eastAsia"/>
                      <w:color w:val="000000" w:themeColor="text1"/>
                    </w:rPr>
                    <w:t>，本项目不作使用。</w:t>
                  </w:r>
                </w:p>
              </w:tc>
            </w:tr>
            <w:tr w14:paraId="1EB6C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04D8F06">
                  <w:pPr>
                    <w:pStyle w:val="35"/>
                    <w:rPr>
                      <w:color w:val="000000" w:themeColor="text1"/>
                    </w:rPr>
                  </w:pPr>
                </w:p>
              </w:tc>
              <w:tc>
                <w:tcPr>
                  <w:tcW w:w="1245" w:type="dxa"/>
                  <w:tcBorders>
                    <w:tl2br w:val="nil"/>
                    <w:tr2bl w:val="nil"/>
                  </w:tcBorders>
                  <w:vAlign w:val="center"/>
                </w:tcPr>
                <w:p w14:paraId="7CDEA2AD">
                  <w:pPr>
                    <w:pStyle w:val="35"/>
                    <w:rPr>
                      <w:color w:val="000000" w:themeColor="text1"/>
                    </w:rPr>
                  </w:pPr>
                  <w:r>
                    <w:rPr>
                      <w:rFonts w:hint="eastAsia"/>
                      <w:color w:val="000000" w:themeColor="text1"/>
                    </w:rPr>
                    <w:t>锯末（湿料）原料区</w:t>
                  </w:r>
                </w:p>
              </w:tc>
              <w:tc>
                <w:tcPr>
                  <w:tcW w:w="6225" w:type="dxa"/>
                  <w:tcBorders>
                    <w:tl2br w:val="nil"/>
                    <w:tr2bl w:val="nil"/>
                  </w:tcBorders>
                  <w:vAlign w:val="center"/>
                </w:tcPr>
                <w:p w14:paraId="360DD2D2">
                  <w:pPr>
                    <w:pStyle w:val="35"/>
                    <w:rPr>
                      <w:color w:val="000000" w:themeColor="text1"/>
                    </w:rPr>
                  </w:pPr>
                  <w:r>
                    <w:rPr>
                      <w:rFonts w:hint="eastAsia"/>
                      <w:color w:val="000000" w:themeColor="text1"/>
                    </w:rPr>
                    <w:t>位于厂房内东北侧，占地面积648</w:t>
                  </w:r>
                  <w:r>
                    <w:rPr>
                      <w:color w:val="000000" w:themeColor="text1"/>
                      <w:spacing w:val="-6"/>
                    </w:rPr>
                    <w:t>m</w:t>
                  </w:r>
                  <w:r>
                    <w:rPr>
                      <w:color w:val="000000" w:themeColor="text1"/>
                      <w:spacing w:val="-6"/>
                      <w:position w:val="6"/>
                      <w:sz w:val="13"/>
                      <w:szCs w:val="13"/>
                    </w:rPr>
                    <w:t>2</w:t>
                  </w:r>
                  <w:r>
                    <w:rPr>
                      <w:rFonts w:hint="eastAsia"/>
                      <w:color w:val="000000" w:themeColor="text1"/>
                    </w:rPr>
                    <w:t>，36</w:t>
                  </w:r>
                  <w:r>
                    <w:rPr>
                      <w:rFonts w:hint="eastAsia"/>
                      <w:bCs/>
                      <w:color w:val="000000" w:themeColor="text1"/>
                      <w:spacing w:val="6"/>
                    </w:rPr>
                    <w:t>m</w:t>
                  </w:r>
                  <w:r>
                    <w:rPr>
                      <w:bCs/>
                      <w:color w:val="000000" w:themeColor="text1"/>
                      <w:spacing w:val="6"/>
                    </w:rPr>
                    <w:t>×</w:t>
                  </w:r>
                  <w:r>
                    <w:rPr>
                      <w:rFonts w:hint="eastAsia"/>
                      <w:bCs/>
                      <w:color w:val="000000" w:themeColor="text1"/>
                      <w:spacing w:val="6"/>
                    </w:rPr>
                    <w:t>18m，</w:t>
                  </w:r>
                  <w:r>
                    <w:rPr>
                      <w:rFonts w:hint="eastAsia"/>
                      <w:color w:val="000000" w:themeColor="text1"/>
                    </w:rPr>
                    <w:t>堆存30%含水率的锯末。</w:t>
                  </w:r>
                </w:p>
              </w:tc>
            </w:tr>
            <w:tr w14:paraId="0AA24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B03BDD3">
                  <w:pPr>
                    <w:pStyle w:val="35"/>
                    <w:rPr>
                      <w:color w:val="000000" w:themeColor="text1"/>
                    </w:rPr>
                  </w:pPr>
                </w:p>
              </w:tc>
              <w:tc>
                <w:tcPr>
                  <w:tcW w:w="1245" w:type="dxa"/>
                  <w:tcBorders>
                    <w:tl2br w:val="nil"/>
                    <w:tr2bl w:val="nil"/>
                  </w:tcBorders>
                  <w:vAlign w:val="center"/>
                </w:tcPr>
                <w:p w14:paraId="272617E0">
                  <w:pPr>
                    <w:pStyle w:val="35"/>
                    <w:rPr>
                      <w:color w:val="000000" w:themeColor="text1"/>
                    </w:rPr>
                  </w:pPr>
                  <w:r>
                    <w:rPr>
                      <w:rFonts w:hint="eastAsia"/>
                      <w:color w:val="000000" w:themeColor="text1"/>
                    </w:rPr>
                    <w:t>锯末（干料）原料区</w:t>
                  </w:r>
                </w:p>
              </w:tc>
              <w:tc>
                <w:tcPr>
                  <w:tcW w:w="6225" w:type="dxa"/>
                  <w:tcBorders>
                    <w:tl2br w:val="nil"/>
                    <w:tr2bl w:val="nil"/>
                  </w:tcBorders>
                  <w:vAlign w:val="center"/>
                </w:tcPr>
                <w:p w14:paraId="1C152D6F">
                  <w:pPr>
                    <w:pStyle w:val="35"/>
                    <w:rPr>
                      <w:color w:val="000000" w:themeColor="text1"/>
                    </w:rPr>
                  </w:pPr>
                  <w:r>
                    <w:rPr>
                      <w:rFonts w:hint="eastAsia"/>
                      <w:color w:val="000000" w:themeColor="text1"/>
                    </w:rPr>
                    <w:t>位于厂房内北侧，占地面积144</w:t>
                  </w:r>
                  <w:r>
                    <w:rPr>
                      <w:color w:val="000000" w:themeColor="text1"/>
                      <w:spacing w:val="-6"/>
                    </w:rPr>
                    <w:t>m</w:t>
                  </w:r>
                  <w:r>
                    <w:rPr>
                      <w:color w:val="000000" w:themeColor="text1"/>
                      <w:spacing w:val="-6"/>
                      <w:position w:val="6"/>
                      <w:sz w:val="13"/>
                      <w:szCs w:val="13"/>
                    </w:rPr>
                    <w:t>2</w:t>
                  </w:r>
                  <w:r>
                    <w:rPr>
                      <w:rFonts w:hint="eastAsia"/>
                      <w:color w:val="000000" w:themeColor="text1"/>
                    </w:rPr>
                    <w:t>，18</w:t>
                  </w:r>
                  <w:r>
                    <w:rPr>
                      <w:rFonts w:hint="eastAsia"/>
                      <w:bCs/>
                      <w:color w:val="000000" w:themeColor="text1"/>
                      <w:spacing w:val="6"/>
                    </w:rPr>
                    <w:t>m</w:t>
                  </w:r>
                  <w:r>
                    <w:rPr>
                      <w:bCs/>
                      <w:color w:val="000000" w:themeColor="text1"/>
                      <w:spacing w:val="6"/>
                    </w:rPr>
                    <w:t>×</w:t>
                  </w:r>
                  <w:r>
                    <w:rPr>
                      <w:rFonts w:hint="eastAsia"/>
                      <w:bCs/>
                      <w:color w:val="000000" w:themeColor="text1"/>
                      <w:spacing w:val="6"/>
                    </w:rPr>
                    <w:t>8m，</w:t>
                  </w:r>
                  <w:r>
                    <w:rPr>
                      <w:rFonts w:hint="eastAsia"/>
                      <w:color w:val="000000" w:themeColor="text1"/>
                    </w:rPr>
                    <w:t>堆存15%含水率的锯末。</w:t>
                  </w:r>
                </w:p>
              </w:tc>
            </w:tr>
            <w:tr w14:paraId="53DDB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06FA57B0">
                  <w:pPr>
                    <w:pStyle w:val="35"/>
                    <w:rPr>
                      <w:color w:val="000000" w:themeColor="text1"/>
                    </w:rPr>
                  </w:pPr>
                </w:p>
              </w:tc>
              <w:tc>
                <w:tcPr>
                  <w:tcW w:w="1245" w:type="dxa"/>
                  <w:tcBorders>
                    <w:tl2br w:val="nil"/>
                    <w:tr2bl w:val="nil"/>
                  </w:tcBorders>
                  <w:shd w:val="clear" w:color="auto" w:fill="auto"/>
                  <w:vAlign w:val="center"/>
                </w:tcPr>
                <w:p w14:paraId="7178D0B7">
                  <w:pPr>
                    <w:pStyle w:val="35"/>
                    <w:ind w:left="0" w:leftChars="0" w:right="0" w:rightChars="0"/>
                    <w:rPr>
                      <w:color w:val="000000" w:themeColor="text1"/>
                    </w:rPr>
                  </w:pPr>
                  <w:r>
                    <w:rPr>
                      <w:rFonts w:hint="eastAsia"/>
                      <w:color w:val="000000" w:themeColor="text1"/>
                    </w:rPr>
                    <w:t>油品储存库</w:t>
                  </w:r>
                </w:p>
              </w:tc>
              <w:tc>
                <w:tcPr>
                  <w:tcW w:w="6225" w:type="dxa"/>
                  <w:tcBorders>
                    <w:tl2br w:val="nil"/>
                    <w:tr2bl w:val="nil"/>
                  </w:tcBorders>
                  <w:shd w:val="clear" w:color="auto" w:fill="auto"/>
                  <w:vAlign w:val="center"/>
                </w:tcPr>
                <w:p w14:paraId="11B1E32C">
                  <w:pPr>
                    <w:pStyle w:val="35"/>
                    <w:ind w:left="0" w:leftChars="0" w:right="0" w:rightChars="0"/>
                    <w:rPr>
                      <w:color w:val="000000" w:themeColor="text1"/>
                    </w:rPr>
                  </w:pPr>
                  <w:r>
                    <w:rPr>
                      <w:rFonts w:hint="eastAsia"/>
                      <w:color w:val="000000" w:themeColor="text1"/>
                    </w:rPr>
                    <w:t>位于厂房内西南角，占地面积21.6</w:t>
                  </w:r>
                  <w:r>
                    <w:rPr>
                      <w:color w:val="000000" w:themeColor="text1"/>
                      <w:spacing w:val="-6"/>
                    </w:rPr>
                    <w:t>m</w:t>
                  </w:r>
                  <w:r>
                    <w:rPr>
                      <w:color w:val="000000" w:themeColor="text1"/>
                      <w:spacing w:val="-6"/>
                      <w:position w:val="6"/>
                      <w:sz w:val="13"/>
                      <w:szCs w:val="13"/>
                    </w:rPr>
                    <w:t>2</w:t>
                  </w:r>
                  <w:r>
                    <w:rPr>
                      <w:rFonts w:hint="eastAsia"/>
                      <w:color w:val="000000" w:themeColor="text1"/>
                    </w:rPr>
                    <w:t>，储存设备维护和保养所用的润滑油、液压油、机油。</w:t>
                  </w:r>
                </w:p>
              </w:tc>
            </w:tr>
            <w:tr w14:paraId="347AB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6437AD11">
                  <w:pPr>
                    <w:pStyle w:val="35"/>
                    <w:rPr>
                      <w:color w:val="000000" w:themeColor="text1"/>
                    </w:rPr>
                  </w:pPr>
                </w:p>
              </w:tc>
              <w:tc>
                <w:tcPr>
                  <w:tcW w:w="1245" w:type="dxa"/>
                  <w:tcBorders>
                    <w:tl2br w:val="nil"/>
                    <w:tr2bl w:val="nil"/>
                  </w:tcBorders>
                  <w:shd w:val="clear" w:color="auto" w:fill="auto"/>
                  <w:vAlign w:val="center"/>
                </w:tcPr>
                <w:p w14:paraId="6655F75B">
                  <w:pPr>
                    <w:pStyle w:val="35"/>
                    <w:ind w:left="0" w:leftChars="0" w:right="0" w:rightChars="0"/>
                    <w:rPr>
                      <w:color w:val="000000" w:themeColor="text1"/>
                    </w:rPr>
                  </w:pPr>
                  <w:r>
                    <w:rPr>
                      <w:rFonts w:hint="eastAsia"/>
                      <w:color w:val="000000" w:themeColor="text1"/>
                    </w:rPr>
                    <w:t>备件库</w:t>
                  </w:r>
                </w:p>
              </w:tc>
              <w:tc>
                <w:tcPr>
                  <w:tcW w:w="6225" w:type="dxa"/>
                  <w:tcBorders>
                    <w:tl2br w:val="nil"/>
                    <w:tr2bl w:val="nil"/>
                  </w:tcBorders>
                  <w:shd w:val="clear" w:color="auto" w:fill="auto"/>
                  <w:vAlign w:val="center"/>
                </w:tcPr>
                <w:p w14:paraId="76BF085A">
                  <w:pPr>
                    <w:pStyle w:val="35"/>
                    <w:ind w:left="0" w:leftChars="0" w:right="0" w:rightChars="0"/>
                    <w:rPr>
                      <w:color w:val="000000" w:themeColor="text1"/>
                    </w:rPr>
                  </w:pPr>
                  <w:r>
                    <w:rPr>
                      <w:rFonts w:hint="eastAsia"/>
                      <w:color w:val="000000" w:themeColor="text1"/>
                    </w:rPr>
                    <w:t>位于厂房内西北角，占地面积24</w:t>
                  </w:r>
                  <w:r>
                    <w:rPr>
                      <w:color w:val="000000" w:themeColor="text1"/>
                      <w:spacing w:val="-6"/>
                    </w:rPr>
                    <w:t>m</w:t>
                  </w:r>
                  <w:r>
                    <w:rPr>
                      <w:color w:val="000000" w:themeColor="text1"/>
                      <w:spacing w:val="-6"/>
                      <w:position w:val="6"/>
                      <w:sz w:val="13"/>
                      <w:szCs w:val="13"/>
                    </w:rPr>
                    <w:t>2</w:t>
                  </w:r>
                  <w:r>
                    <w:rPr>
                      <w:rFonts w:hint="eastAsia"/>
                      <w:color w:val="000000" w:themeColor="text1"/>
                    </w:rPr>
                    <w:t>，储存维修备品备件。</w:t>
                  </w:r>
                </w:p>
              </w:tc>
            </w:tr>
            <w:tr w14:paraId="1D355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7D979397">
                  <w:pPr>
                    <w:pStyle w:val="35"/>
                    <w:rPr>
                      <w:color w:val="000000" w:themeColor="text1"/>
                    </w:rPr>
                  </w:pPr>
                </w:p>
              </w:tc>
              <w:tc>
                <w:tcPr>
                  <w:tcW w:w="1245" w:type="dxa"/>
                  <w:tcBorders>
                    <w:tl2br w:val="nil"/>
                    <w:tr2bl w:val="nil"/>
                  </w:tcBorders>
                  <w:vAlign w:val="center"/>
                </w:tcPr>
                <w:p w14:paraId="215D89F2">
                  <w:pPr>
                    <w:pStyle w:val="35"/>
                    <w:rPr>
                      <w:color w:val="000000" w:themeColor="text1"/>
                    </w:rPr>
                  </w:pPr>
                  <w:r>
                    <w:rPr>
                      <w:rFonts w:hint="eastAsia"/>
                      <w:color w:val="000000" w:themeColor="text1"/>
                    </w:rPr>
                    <w:t>成品区</w:t>
                  </w:r>
                </w:p>
              </w:tc>
              <w:tc>
                <w:tcPr>
                  <w:tcW w:w="6225" w:type="dxa"/>
                  <w:tcBorders>
                    <w:tl2br w:val="nil"/>
                    <w:tr2bl w:val="nil"/>
                  </w:tcBorders>
                  <w:vAlign w:val="center"/>
                </w:tcPr>
                <w:p w14:paraId="5F352930">
                  <w:pPr>
                    <w:pStyle w:val="35"/>
                    <w:rPr>
                      <w:color w:val="000000" w:themeColor="text1"/>
                    </w:rPr>
                  </w:pPr>
                  <w:r>
                    <w:rPr>
                      <w:rFonts w:hint="eastAsia"/>
                      <w:color w:val="000000" w:themeColor="text1"/>
                    </w:rPr>
                    <w:t>位于厂房内西侧，总占地面积2110</w:t>
                  </w:r>
                  <w:r>
                    <w:rPr>
                      <w:color w:val="000000" w:themeColor="text1"/>
                      <w:spacing w:val="-6"/>
                    </w:rPr>
                    <w:t>m</w:t>
                  </w:r>
                  <w:r>
                    <w:rPr>
                      <w:color w:val="000000" w:themeColor="text1"/>
                      <w:spacing w:val="-6"/>
                      <w:position w:val="6"/>
                      <w:sz w:val="13"/>
                      <w:szCs w:val="13"/>
                    </w:rPr>
                    <w:t>2</w:t>
                  </w:r>
                  <w:r>
                    <w:rPr>
                      <w:rFonts w:hint="eastAsia"/>
                      <w:color w:val="000000" w:themeColor="text1"/>
                    </w:rPr>
                    <w:t>，储存产品，其中吨包袋装产品储存区域面积1016</w:t>
                  </w:r>
                  <w:r>
                    <w:rPr>
                      <w:color w:val="000000" w:themeColor="text1"/>
                      <w:spacing w:val="-6"/>
                    </w:rPr>
                    <w:t>m</w:t>
                  </w:r>
                  <w:r>
                    <w:rPr>
                      <w:color w:val="000000" w:themeColor="text1"/>
                      <w:spacing w:val="-6"/>
                      <w:position w:val="6"/>
                      <w:sz w:val="13"/>
                      <w:szCs w:val="13"/>
                    </w:rPr>
                    <w:t>2</w:t>
                  </w:r>
                  <w:r>
                    <w:rPr>
                      <w:rFonts w:hint="eastAsia"/>
                      <w:color w:val="000000" w:themeColor="text1"/>
                    </w:rPr>
                    <w:t>（95.75</w:t>
                  </w:r>
                  <w:r>
                    <w:rPr>
                      <w:rFonts w:hint="eastAsia"/>
                      <w:bCs/>
                      <w:color w:val="000000" w:themeColor="text1"/>
                      <w:spacing w:val="6"/>
                    </w:rPr>
                    <w:t>m</w:t>
                  </w:r>
                  <w:r>
                    <w:rPr>
                      <w:bCs/>
                      <w:color w:val="000000" w:themeColor="text1"/>
                      <w:spacing w:val="6"/>
                    </w:rPr>
                    <w:t>×</w:t>
                  </w:r>
                  <w:r>
                    <w:rPr>
                      <w:rFonts w:hint="eastAsia"/>
                      <w:bCs/>
                      <w:color w:val="000000" w:themeColor="text1"/>
                      <w:spacing w:val="6"/>
                    </w:rPr>
                    <w:t>10.61m</w:t>
                  </w:r>
                  <w:r>
                    <w:rPr>
                      <w:rFonts w:hint="eastAsia"/>
                      <w:color w:val="000000" w:themeColor="text1"/>
                    </w:rPr>
                    <w:t>）、25kg/袋小袋装产品储存区域面积1094m</w:t>
                  </w:r>
                  <w:r>
                    <w:rPr>
                      <w:rFonts w:hint="eastAsia"/>
                      <w:color w:val="000000" w:themeColor="text1"/>
                      <w:vertAlign w:val="superscript"/>
                    </w:rPr>
                    <w:t>2</w:t>
                  </w:r>
                  <w:r>
                    <w:rPr>
                      <w:rFonts w:hint="eastAsia"/>
                      <w:color w:val="000000" w:themeColor="text1"/>
                    </w:rPr>
                    <w:t>（90</w:t>
                  </w:r>
                  <w:r>
                    <w:rPr>
                      <w:rFonts w:hint="eastAsia"/>
                      <w:bCs/>
                      <w:color w:val="000000" w:themeColor="text1"/>
                      <w:spacing w:val="6"/>
                    </w:rPr>
                    <w:t>m</w:t>
                  </w:r>
                  <w:r>
                    <w:rPr>
                      <w:bCs/>
                      <w:color w:val="000000" w:themeColor="text1"/>
                      <w:spacing w:val="6"/>
                    </w:rPr>
                    <w:t>×</w:t>
                  </w:r>
                  <w:r>
                    <w:rPr>
                      <w:rFonts w:hint="eastAsia"/>
                      <w:bCs/>
                      <w:color w:val="000000" w:themeColor="text1"/>
                      <w:spacing w:val="6"/>
                    </w:rPr>
                    <w:t>12.15m</w:t>
                  </w:r>
                  <w:r>
                    <w:rPr>
                      <w:rFonts w:hint="eastAsia"/>
                      <w:color w:val="000000" w:themeColor="text1"/>
                    </w:rPr>
                    <w:t>）。</w:t>
                  </w:r>
                </w:p>
              </w:tc>
            </w:tr>
            <w:tr w14:paraId="69CE5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40F59311">
                  <w:pPr>
                    <w:pStyle w:val="35"/>
                    <w:rPr>
                      <w:color w:val="000000" w:themeColor="text1"/>
                    </w:rPr>
                  </w:pPr>
                </w:p>
              </w:tc>
              <w:tc>
                <w:tcPr>
                  <w:tcW w:w="1245" w:type="dxa"/>
                  <w:tcBorders>
                    <w:tl2br w:val="nil"/>
                    <w:tr2bl w:val="nil"/>
                  </w:tcBorders>
                  <w:vAlign w:val="center"/>
                </w:tcPr>
                <w:p w14:paraId="67588190">
                  <w:pPr>
                    <w:pStyle w:val="35"/>
                    <w:rPr>
                      <w:color w:val="000000" w:themeColor="text1"/>
                    </w:rPr>
                  </w:pPr>
                  <w:r>
                    <w:rPr>
                      <w:rFonts w:hint="eastAsia"/>
                      <w:color w:val="000000" w:themeColor="text1"/>
                    </w:rPr>
                    <w:t>一般固废储存区</w:t>
                  </w:r>
                </w:p>
              </w:tc>
              <w:tc>
                <w:tcPr>
                  <w:tcW w:w="6225" w:type="dxa"/>
                  <w:tcBorders>
                    <w:tl2br w:val="nil"/>
                    <w:tr2bl w:val="nil"/>
                  </w:tcBorders>
                  <w:vAlign w:val="center"/>
                </w:tcPr>
                <w:p w14:paraId="112F0E4C">
                  <w:pPr>
                    <w:pStyle w:val="35"/>
                    <w:rPr>
                      <w:color w:val="000000" w:themeColor="text1"/>
                    </w:rPr>
                  </w:pPr>
                  <w:r>
                    <w:rPr>
                      <w:rFonts w:hint="eastAsia"/>
                      <w:color w:val="000000" w:themeColor="text1"/>
                    </w:rPr>
                    <w:t>位于厂房内南侧，占地面积24</w:t>
                  </w:r>
                  <w:r>
                    <w:rPr>
                      <w:color w:val="000000" w:themeColor="text1"/>
                      <w:spacing w:val="-6"/>
                    </w:rPr>
                    <w:t>m</w:t>
                  </w:r>
                  <w:r>
                    <w:rPr>
                      <w:color w:val="000000" w:themeColor="text1"/>
                      <w:spacing w:val="-6"/>
                      <w:position w:val="6"/>
                      <w:sz w:val="13"/>
                      <w:szCs w:val="13"/>
                    </w:rPr>
                    <w:t>2</w:t>
                  </w:r>
                  <w:r>
                    <w:rPr>
                      <w:rFonts w:hint="eastAsia"/>
                      <w:color w:val="000000" w:themeColor="text1"/>
                    </w:rPr>
                    <w:t>（6m</w:t>
                  </w:r>
                  <w:r>
                    <w:rPr>
                      <w:color w:val="000000" w:themeColor="text1"/>
                    </w:rPr>
                    <w:t>×</w:t>
                  </w:r>
                  <w:r>
                    <w:rPr>
                      <w:rFonts w:hint="eastAsia"/>
                      <w:color w:val="000000" w:themeColor="text1"/>
                    </w:rPr>
                    <w:t>4m），储存本项目产生的一般固体废物。</w:t>
                  </w:r>
                </w:p>
              </w:tc>
            </w:tr>
            <w:tr w14:paraId="624D3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F70C83B">
                  <w:pPr>
                    <w:pStyle w:val="35"/>
                    <w:rPr>
                      <w:color w:val="000000" w:themeColor="text1"/>
                    </w:rPr>
                  </w:pPr>
                </w:p>
              </w:tc>
              <w:tc>
                <w:tcPr>
                  <w:tcW w:w="1245" w:type="dxa"/>
                  <w:tcBorders>
                    <w:tl2br w:val="nil"/>
                    <w:tr2bl w:val="nil"/>
                  </w:tcBorders>
                  <w:vAlign w:val="center"/>
                </w:tcPr>
                <w:p w14:paraId="090977C3">
                  <w:pPr>
                    <w:pStyle w:val="35"/>
                    <w:rPr>
                      <w:color w:val="000000" w:themeColor="text1"/>
                    </w:rPr>
                  </w:pPr>
                  <w:r>
                    <w:rPr>
                      <w:rFonts w:hint="eastAsia"/>
                      <w:color w:val="000000" w:themeColor="text1"/>
                    </w:rPr>
                    <w:t>危废暂存间</w:t>
                  </w:r>
                </w:p>
              </w:tc>
              <w:tc>
                <w:tcPr>
                  <w:tcW w:w="6225" w:type="dxa"/>
                  <w:tcBorders>
                    <w:tl2br w:val="nil"/>
                    <w:tr2bl w:val="nil"/>
                  </w:tcBorders>
                  <w:vAlign w:val="center"/>
                </w:tcPr>
                <w:p w14:paraId="7EF2E3FF">
                  <w:pPr>
                    <w:pStyle w:val="35"/>
                    <w:rPr>
                      <w:color w:val="000000" w:themeColor="text1"/>
                    </w:rPr>
                  </w:pPr>
                  <w:r>
                    <w:rPr>
                      <w:rFonts w:hint="eastAsia"/>
                      <w:color w:val="000000" w:themeColor="text1"/>
                    </w:rPr>
                    <w:t>位于厂房内西南侧，油品储存库北侧，占地面积8</w:t>
                  </w:r>
                  <w:r>
                    <w:rPr>
                      <w:color w:val="000000" w:themeColor="text1"/>
                      <w:spacing w:val="-6"/>
                    </w:rPr>
                    <w:t>m</w:t>
                  </w:r>
                  <w:r>
                    <w:rPr>
                      <w:color w:val="000000" w:themeColor="text1"/>
                      <w:spacing w:val="-6"/>
                      <w:position w:val="6"/>
                      <w:sz w:val="13"/>
                      <w:szCs w:val="13"/>
                    </w:rPr>
                    <w:t>2</w:t>
                  </w:r>
                  <w:r>
                    <w:rPr>
                      <w:rFonts w:hint="eastAsia"/>
                      <w:color w:val="000000" w:themeColor="text1"/>
                    </w:rPr>
                    <w:t>，储存本项目产生的危险废物。</w:t>
                  </w:r>
                </w:p>
              </w:tc>
            </w:tr>
            <w:tr w14:paraId="1C7A3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520F3A33">
                  <w:pPr>
                    <w:pStyle w:val="35"/>
                    <w:rPr>
                      <w:color w:val="000000" w:themeColor="text1"/>
                    </w:rPr>
                  </w:pPr>
                </w:p>
              </w:tc>
              <w:tc>
                <w:tcPr>
                  <w:tcW w:w="1245" w:type="dxa"/>
                  <w:tcBorders>
                    <w:tl2br w:val="nil"/>
                    <w:tr2bl w:val="nil"/>
                  </w:tcBorders>
                  <w:vAlign w:val="center"/>
                </w:tcPr>
                <w:p w14:paraId="12B64BE6">
                  <w:pPr>
                    <w:pStyle w:val="35"/>
                    <w:rPr>
                      <w:color w:val="000000" w:themeColor="text1"/>
                    </w:rPr>
                  </w:pPr>
                  <w:r>
                    <w:rPr>
                      <w:rFonts w:hint="eastAsia"/>
                      <w:color w:val="000000" w:themeColor="text1"/>
                    </w:rPr>
                    <w:t>运输工程</w:t>
                  </w:r>
                </w:p>
              </w:tc>
              <w:tc>
                <w:tcPr>
                  <w:tcW w:w="6225" w:type="dxa"/>
                  <w:tcBorders>
                    <w:tl2br w:val="nil"/>
                    <w:tr2bl w:val="nil"/>
                  </w:tcBorders>
                  <w:vAlign w:val="center"/>
                </w:tcPr>
                <w:p w14:paraId="5C8EA6A1">
                  <w:pPr>
                    <w:pStyle w:val="35"/>
                    <w:rPr>
                      <w:color w:val="000000" w:themeColor="text1"/>
                    </w:rPr>
                  </w:pPr>
                  <w:r>
                    <w:rPr>
                      <w:color w:val="000000" w:themeColor="text1"/>
                    </w:rPr>
                    <w:t>原料进厂、产品出厂采用汽车运输，公路运输车辆达到国五以上排放标准</w:t>
                  </w:r>
                  <w:r>
                    <w:rPr>
                      <w:rFonts w:hint="eastAsia"/>
                      <w:color w:val="000000" w:themeColor="text1"/>
                    </w:rPr>
                    <w:t>或使用新能源车辆，厂内运输</w:t>
                  </w:r>
                  <w:r>
                    <w:rPr>
                      <w:color w:val="000000" w:themeColor="text1"/>
                    </w:rPr>
                    <w:t>车辆达到国五以上排放标准</w:t>
                  </w:r>
                  <w:r>
                    <w:rPr>
                      <w:rFonts w:hint="eastAsia"/>
                      <w:color w:val="000000" w:themeColor="text1"/>
                    </w:rPr>
                    <w:t>或使用新能源车辆，厂房内原料转运采用国四排放标准的铲车和叉车。</w:t>
                  </w:r>
                </w:p>
              </w:tc>
            </w:tr>
            <w:tr w14:paraId="6E13C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14:paraId="2DDE78BA">
                  <w:pPr>
                    <w:pStyle w:val="35"/>
                    <w:rPr>
                      <w:color w:val="000000" w:themeColor="text1"/>
                    </w:rPr>
                  </w:pPr>
                  <w:r>
                    <w:rPr>
                      <w:color w:val="000000" w:themeColor="text1"/>
                    </w:rPr>
                    <w:t>公用工程</w:t>
                  </w:r>
                </w:p>
              </w:tc>
              <w:tc>
                <w:tcPr>
                  <w:tcW w:w="1245" w:type="dxa"/>
                  <w:tcBorders>
                    <w:tl2br w:val="nil"/>
                    <w:tr2bl w:val="nil"/>
                  </w:tcBorders>
                  <w:vAlign w:val="center"/>
                </w:tcPr>
                <w:p w14:paraId="524252A7">
                  <w:pPr>
                    <w:pStyle w:val="35"/>
                    <w:rPr>
                      <w:color w:val="000000" w:themeColor="text1"/>
                    </w:rPr>
                  </w:pPr>
                  <w:r>
                    <w:rPr>
                      <w:color w:val="000000" w:themeColor="text1"/>
                    </w:rPr>
                    <w:t>给水</w:t>
                  </w:r>
                </w:p>
              </w:tc>
              <w:tc>
                <w:tcPr>
                  <w:tcW w:w="6225" w:type="dxa"/>
                  <w:tcBorders>
                    <w:tl2br w:val="nil"/>
                    <w:tr2bl w:val="nil"/>
                  </w:tcBorders>
                  <w:vAlign w:val="center"/>
                </w:tcPr>
                <w:p w14:paraId="72AB27DC">
                  <w:pPr>
                    <w:pStyle w:val="35"/>
                    <w:rPr>
                      <w:color w:val="000000" w:themeColor="text1"/>
                    </w:rPr>
                  </w:pPr>
                  <w:r>
                    <w:rPr>
                      <w:rFonts w:hint="eastAsia"/>
                      <w:color w:val="000000" w:themeColor="text1"/>
                    </w:rPr>
                    <w:t>本项目供水由园区供水管网供给。</w:t>
                  </w:r>
                </w:p>
              </w:tc>
            </w:tr>
            <w:tr w14:paraId="61FC2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77D64866">
                  <w:pPr>
                    <w:pStyle w:val="35"/>
                    <w:rPr>
                      <w:color w:val="000000" w:themeColor="text1"/>
                    </w:rPr>
                  </w:pPr>
                </w:p>
              </w:tc>
              <w:tc>
                <w:tcPr>
                  <w:tcW w:w="1245" w:type="dxa"/>
                  <w:tcBorders>
                    <w:tl2br w:val="nil"/>
                    <w:tr2bl w:val="nil"/>
                  </w:tcBorders>
                  <w:vAlign w:val="center"/>
                </w:tcPr>
                <w:p w14:paraId="7F00BB09">
                  <w:pPr>
                    <w:pStyle w:val="35"/>
                    <w:rPr>
                      <w:color w:val="000000" w:themeColor="text1"/>
                    </w:rPr>
                  </w:pPr>
                  <w:r>
                    <w:rPr>
                      <w:color w:val="000000" w:themeColor="text1"/>
                    </w:rPr>
                    <w:t>排水</w:t>
                  </w:r>
                </w:p>
              </w:tc>
              <w:tc>
                <w:tcPr>
                  <w:tcW w:w="6225" w:type="dxa"/>
                  <w:tcBorders>
                    <w:tl2br w:val="nil"/>
                    <w:tr2bl w:val="nil"/>
                  </w:tcBorders>
                  <w:vAlign w:val="center"/>
                </w:tcPr>
                <w:p w14:paraId="06CE0ED4">
                  <w:pPr>
                    <w:pStyle w:val="35"/>
                    <w:rPr>
                      <w:color w:val="000000" w:themeColor="text1"/>
                    </w:rPr>
                  </w:pPr>
                  <w:r>
                    <w:rPr>
                      <w:rFonts w:hint="eastAsia"/>
                      <w:color w:val="000000" w:themeColor="text1"/>
                    </w:rPr>
                    <w:t>本项目依托唐山曹妃甸木业股份有限公司水厕，生活污水（盥洗、冲厕废水）排入市政污水管网，最终进入曹妃甸工业区装备制造区污水处理站处理；热风炉冷却过程排污水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tc>
            </w:tr>
            <w:tr w14:paraId="0B884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33F12E98">
                  <w:pPr>
                    <w:pStyle w:val="35"/>
                    <w:rPr>
                      <w:color w:val="000000" w:themeColor="text1"/>
                    </w:rPr>
                  </w:pPr>
                </w:p>
              </w:tc>
              <w:tc>
                <w:tcPr>
                  <w:tcW w:w="1245" w:type="dxa"/>
                  <w:tcBorders>
                    <w:tl2br w:val="nil"/>
                    <w:tr2bl w:val="nil"/>
                  </w:tcBorders>
                  <w:vAlign w:val="center"/>
                </w:tcPr>
                <w:p w14:paraId="32EF2DF4">
                  <w:pPr>
                    <w:pStyle w:val="35"/>
                    <w:rPr>
                      <w:color w:val="000000" w:themeColor="text1"/>
                    </w:rPr>
                  </w:pPr>
                  <w:r>
                    <w:rPr>
                      <w:color w:val="000000" w:themeColor="text1"/>
                    </w:rPr>
                    <w:t>供电</w:t>
                  </w:r>
                </w:p>
              </w:tc>
              <w:tc>
                <w:tcPr>
                  <w:tcW w:w="6225" w:type="dxa"/>
                  <w:tcBorders>
                    <w:tl2br w:val="nil"/>
                    <w:tr2bl w:val="nil"/>
                  </w:tcBorders>
                  <w:vAlign w:val="center"/>
                </w:tcPr>
                <w:p w14:paraId="703FFBD4">
                  <w:pPr>
                    <w:pStyle w:val="35"/>
                    <w:rPr>
                      <w:color w:val="000000" w:themeColor="text1"/>
                    </w:rPr>
                  </w:pPr>
                  <w:r>
                    <w:rPr>
                      <w:rFonts w:hint="eastAsia"/>
                      <w:color w:val="000000" w:themeColor="text1"/>
                    </w:rPr>
                    <w:t>本项目供电由园区供电电网提供。</w:t>
                  </w:r>
                </w:p>
              </w:tc>
            </w:tr>
            <w:tr w14:paraId="5F00A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14:paraId="0ABDA73C">
                  <w:pPr>
                    <w:pStyle w:val="35"/>
                    <w:rPr>
                      <w:color w:val="000000" w:themeColor="text1"/>
                    </w:rPr>
                  </w:pPr>
                  <w:r>
                    <w:rPr>
                      <w:color w:val="000000" w:themeColor="text1"/>
                    </w:rPr>
                    <w:t>环保工程</w:t>
                  </w:r>
                </w:p>
              </w:tc>
              <w:tc>
                <w:tcPr>
                  <w:tcW w:w="1245" w:type="dxa"/>
                  <w:tcBorders>
                    <w:tl2br w:val="nil"/>
                    <w:tr2bl w:val="nil"/>
                  </w:tcBorders>
                  <w:vAlign w:val="center"/>
                </w:tcPr>
                <w:p w14:paraId="5C18C08B">
                  <w:pPr>
                    <w:pStyle w:val="35"/>
                    <w:rPr>
                      <w:color w:val="000000" w:themeColor="text1"/>
                    </w:rPr>
                  </w:pPr>
                  <w:r>
                    <w:rPr>
                      <w:color w:val="000000" w:themeColor="text1"/>
                    </w:rPr>
                    <w:t>废气</w:t>
                  </w:r>
                </w:p>
              </w:tc>
              <w:tc>
                <w:tcPr>
                  <w:tcW w:w="6225" w:type="dxa"/>
                  <w:tcBorders>
                    <w:tl2br w:val="nil"/>
                    <w:tr2bl w:val="nil"/>
                  </w:tcBorders>
                  <w:vAlign w:val="center"/>
                </w:tcPr>
                <w:p w14:paraId="784001E7">
                  <w:pPr>
                    <w:pStyle w:val="35"/>
                    <w:ind w:left="0" w:leftChars="0" w:firstLine="420" w:firstLineChars="200"/>
                    <w:jc w:val="left"/>
                    <w:rPr>
                      <w:color w:val="000000" w:themeColor="text1"/>
                    </w:rPr>
                  </w:pPr>
                  <w:r>
                    <w:rPr>
                      <w:rFonts w:hint="eastAsia"/>
                      <w:color w:val="000000" w:themeColor="text1"/>
                    </w:rPr>
                    <w:t>烘干废气（</w:t>
                  </w:r>
                  <w:r>
                    <w:rPr>
                      <w:color w:val="000000" w:themeColor="text1"/>
                    </w:rPr>
                    <w:t>包括热风炉燃料燃烧废气和物料烘干工艺废气</w:t>
                  </w:r>
                  <w:r>
                    <w:rPr>
                      <w:rFonts w:hint="eastAsia"/>
                      <w:color w:val="000000" w:themeColor="text1"/>
                    </w:rPr>
                    <w:t>）：</w:t>
                  </w:r>
                  <w:r>
                    <w:rPr>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r>
                    <w:rPr>
                      <w:rFonts w:hint="eastAsia"/>
                      <w:color w:val="000000" w:themeColor="text1"/>
                    </w:rPr>
                    <w:t>；</w:t>
                  </w:r>
                </w:p>
                <w:p w14:paraId="2BEBF251">
                  <w:pPr>
                    <w:spacing w:line="240" w:lineRule="auto"/>
                    <w:ind w:firstLine="420"/>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废气：中转仓封闭设置，其入料口设软帘，顶部设置集气管收集中转仓内落料及入料废气；生物质颗粒机设备密闭，4台生物质颗粒机分别自带1台旋风除尘器预处理制粒过程产生的颗粒物；振筛设备密闭，设置集气管收集筛分过程废气；振筛出料口上方设置集气罩收集筛下料落料过程废气；成品网状料仓入料口上方设置集气罩收集料仓入料及冷却过程废气；成品皮带输送机落料点上方设置集气罩收集成品皮带输送机落料过程（吨包袋包装过程）废气；打包机侧方设置集气罩收集小袋包装过程废气。中转仓落料及入料废气、筛分及筛下料落料废气、成品网状料仓入料及冷却废气、成品皮带输送机落料废气、打包机包装废气同预处理后的制粒废气共用1台布袋除尘器处理后由1根15m高排气筒（DA002）排放；</w:t>
                  </w:r>
                </w:p>
                <w:p w14:paraId="69695CE2">
                  <w:pPr>
                    <w:spacing w:line="240" w:lineRule="auto"/>
                    <w:ind w:firstLine="420"/>
                    <w:rPr>
                      <w:color w:val="000000" w:themeColor="text1"/>
                      <w:sz w:val="21"/>
                      <w:szCs w:val="21"/>
                    </w:rPr>
                  </w:pPr>
                  <w:r>
                    <w:rPr>
                      <w:rStyle w:val="53"/>
                      <w:rFonts w:hint="eastAsia"/>
                      <w:b w:val="0"/>
                      <w:color w:val="000000" w:themeColor="text1"/>
                    </w:rPr>
                    <w:t>原料装卸、堆存、铲车转运、上料斗上料过程产生的颗粒物</w:t>
                  </w:r>
                  <w:r>
                    <w:rPr>
                      <w:rFonts w:hint="eastAsia"/>
                      <w:color w:val="000000" w:themeColor="text1"/>
                      <w:sz w:val="21"/>
                      <w:szCs w:val="21"/>
                    </w:rPr>
                    <w:t>较小，在封闭厂房内无组织排放。</w:t>
                  </w:r>
                </w:p>
              </w:tc>
            </w:tr>
            <w:tr w14:paraId="4968B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7C0F3C59">
                  <w:pPr>
                    <w:pStyle w:val="35"/>
                    <w:rPr>
                      <w:color w:val="000000" w:themeColor="text1"/>
                    </w:rPr>
                  </w:pPr>
                </w:p>
              </w:tc>
              <w:tc>
                <w:tcPr>
                  <w:tcW w:w="1245" w:type="dxa"/>
                  <w:tcBorders>
                    <w:tl2br w:val="nil"/>
                    <w:tr2bl w:val="nil"/>
                  </w:tcBorders>
                  <w:vAlign w:val="center"/>
                </w:tcPr>
                <w:p w14:paraId="7A601E6B">
                  <w:pPr>
                    <w:pStyle w:val="35"/>
                    <w:rPr>
                      <w:color w:val="000000" w:themeColor="text1"/>
                    </w:rPr>
                  </w:pPr>
                  <w:r>
                    <w:rPr>
                      <w:color w:val="000000" w:themeColor="text1"/>
                    </w:rPr>
                    <w:t>废水</w:t>
                  </w:r>
                </w:p>
              </w:tc>
              <w:tc>
                <w:tcPr>
                  <w:tcW w:w="6225" w:type="dxa"/>
                  <w:tcBorders>
                    <w:tl2br w:val="nil"/>
                    <w:tr2bl w:val="nil"/>
                  </w:tcBorders>
                  <w:vAlign w:val="center"/>
                </w:tcPr>
                <w:p w14:paraId="47E5C5AC">
                  <w:pPr>
                    <w:pStyle w:val="35"/>
                    <w:rPr>
                      <w:color w:val="000000" w:themeColor="text1"/>
                    </w:rPr>
                  </w:pPr>
                  <w:r>
                    <w:rPr>
                      <w:rFonts w:hint="eastAsia"/>
                      <w:color w:val="000000" w:themeColor="text1"/>
                    </w:rPr>
                    <w:t>生活污水（盥洗、冲厕废水）排入市政污水管网，最终进入曹妃甸工业区装备制造区污水处理站处理；热风炉冷却过程排污水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tc>
            </w:tr>
            <w:tr w14:paraId="22F12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7D6E144D">
                  <w:pPr>
                    <w:pStyle w:val="35"/>
                    <w:rPr>
                      <w:color w:val="000000" w:themeColor="text1"/>
                    </w:rPr>
                  </w:pPr>
                </w:p>
              </w:tc>
              <w:tc>
                <w:tcPr>
                  <w:tcW w:w="1245" w:type="dxa"/>
                  <w:tcBorders>
                    <w:tl2br w:val="nil"/>
                    <w:tr2bl w:val="nil"/>
                  </w:tcBorders>
                  <w:vAlign w:val="center"/>
                </w:tcPr>
                <w:p w14:paraId="301525F3">
                  <w:pPr>
                    <w:pStyle w:val="35"/>
                    <w:rPr>
                      <w:color w:val="000000" w:themeColor="text1"/>
                    </w:rPr>
                  </w:pPr>
                  <w:r>
                    <w:rPr>
                      <w:color w:val="000000" w:themeColor="text1"/>
                    </w:rPr>
                    <w:t>噪声</w:t>
                  </w:r>
                </w:p>
              </w:tc>
              <w:tc>
                <w:tcPr>
                  <w:tcW w:w="6225" w:type="dxa"/>
                  <w:tcBorders>
                    <w:tl2br w:val="nil"/>
                    <w:tr2bl w:val="nil"/>
                  </w:tcBorders>
                  <w:vAlign w:val="center"/>
                </w:tcPr>
                <w:p w14:paraId="5AE2360F">
                  <w:pPr>
                    <w:pStyle w:val="35"/>
                    <w:rPr>
                      <w:color w:val="000000" w:themeColor="text1"/>
                    </w:rPr>
                  </w:pPr>
                  <w:r>
                    <w:rPr>
                      <w:color w:val="000000" w:themeColor="text1"/>
                    </w:rPr>
                    <w:t>选用低噪声设备、设置基础减振、封闭</w:t>
                  </w:r>
                  <w:r>
                    <w:rPr>
                      <w:rFonts w:hint="eastAsia"/>
                      <w:color w:val="000000" w:themeColor="text1"/>
                    </w:rPr>
                    <w:t>车间</w:t>
                  </w:r>
                  <w:r>
                    <w:rPr>
                      <w:color w:val="000000" w:themeColor="text1"/>
                    </w:rPr>
                    <w:t>隔</w:t>
                  </w:r>
                  <w:r>
                    <w:rPr>
                      <w:snapToGrid w:val="0"/>
                      <w:color w:val="000000" w:themeColor="text1"/>
                    </w:rPr>
                    <w:t>声</w:t>
                  </w:r>
                  <w:r>
                    <w:rPr>
                      <w:rFonts w:hint="eastAsia"/>
                      <w:snapToGrid w:val="0"/>
                      <w:color w:val="000000" w:themeColor="text1"/>
                    </w:rPr>
                    <w:t>。</w:t>
                  </w:r>
                </w:p>
              </w:tc>
            </w:tr>
            <w:tr w14:paraId="618C4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37" w:type="dxa"/>
                  <w:vMerge w:val="continue"/>
                  <w:tcBorders>
                    <w:tl2br w:val="nil"/>
                    <w:tr2bl w:val="nil"/>
                  </w:tcBorders>
                  <w:vAlign w:val="center"/>
                </w:tcPr>
                <w:p w14:paraId="59A20D54">
                  <w:pPr>
                    <w:pStyle w:val="35"/>
                    <w:rPr>
                      <w:color w:val="000000" w:themeColor="text1"/>
                    </w:rPr>
                  </w:pPr>
                </w:p>
              </w:tc>
              <w:tc>
                <w:tcPr>
                  <w:tcW w:w="1245" w:type="dxa"/>
                  <w:vMerge w:val="restart"/>
                  <w:tcBorders>
                    <w:tl2br w:val="nil"/>
                    <w:tr2bl w:val="nil"/>
                  </w:tcBorders>
                  <w:vAlign w:val="center"/>
                </w:tcPr>
                <w:p w14:paraId="0EFFEEE3">
                  <w:pPr>
                    <w:pStyle w:val="35"/>
                    <w:rPr>
                      <w:color w:val="000000" w:themeColor="text1"/>
                    </w:rPr>
                  </w:pPr>
                  <w:r>
                    <w:rPr>
                      <w:color w:val="000000" w:themeColor="text1"/>
                    </w:rPr>
                    <w:t>固废</w:t>
                  </w:r>
                </w:p>
              </w:tc>
              <w:tc>
                <w:tcPr>
                  <w:tcW w:w="6225" w:type="dxa"/>
                  <w:tcBorders>
                    <w:tl2br w:val="nil"/>
                    <w:tr2bl w:val="nil"/>
                  </w:tcBorders>
                  <w:vAlign w:val="center"/>
                </w:tcPr>
                <w:p w14:paraId="0AFFDCE8">
                  <w:pPr>
                    <w:pStyle w:val="35"/>
                    <w:ind w:left="0" w:leftChars="0" w:right="0" w:rightChars="0" w:firstLine="420" w:firstLineChars="200"/>
                    <w:jc w:val="left"/>
                    <w:rPr>
                      <w:color w:val="000000" w:themeColor="text1"/>
                    </w:rPr>
                  </w:pPr>
                  <w:r>
                    <w:rPr>
                      <w:rFonts w:hint="eastAsia"/>
                      <w:color w:val="000000" w:themeColor="text1"/>
                    </w:rPr>
                    <w:t>滚筒筛筛分</w:t>
                  </w:r>
                  <w:r>
                    <w:rPr>
                      <w:color w:val="000000" w:themeColor="text1"/>
                    </w:rPr>
                    <w:t>过程产生</w:t>
                  </w:r>
                  <w:r>
                    <w:rPr>
                      <w:rFonts w:hint="eastAsia"/>
                      <w:color w:val="000000" w:themeColor="text1"/>
                    </w:rPr>
                    <w:t>的大块木废边角料</w:t>
                  </w:r>
                  <w:r>
                    <w:rPr>
                      <w:rFonts w:hint="eastAsia"/>
                      <w:color w:val="000000" w:themeColor="text1"/>
                      <w:kern w:val="2"/>
                    </w:rPr>
                    <w:t>暂存于一般固废储存区，定期外售给下游收购商进行加工处理</w:t>
                  </w:r>
                  <w:r>
                    <w:rPr>
                      <w:rFonts w:hint="eastAsia"/>
                      <w:color w:val="000000" w:themeColor="text1"/>
                    </w:rPr>
                    <w:t>；热风炉炉排下方排出的灰渣</w:t>
                  </w:r>
                  <w:r>
                    <w:rPr>
                      <w:color w:val="000000" w:themeColor="text1"/>
                    </w:rPr>
                    <w:t>通过炉排缝隙自然下落至底部灰斗，定期打开灰斗门人工清理，</w:t>
                  </w:r>
                  <w:r>
                    <w:rPr>
                      <w:rFonts w:hint="eastAsia"/>
                      <w:color w:val="000000" w:themeColor="text1"/>
                    </w:rPr>
                    <w:t>集中收集后</w:t>
                  </w:r>
                  <w:r>
                    <w:rPr>
                      <w:color w:val="000000" w:themeColor="text1"/>
                    </w:rPr>
                    <w:t>暂存</w:t>
                  </w:r>
                  <w:r>
                    <w:rPr>
                      <w:rFonts w:hint="eastAsia"/>
                      <w:color w:val="000000" w:themeColor="text1"/>
                    </w:rPr>
                    <w:t>于一般固废储存区，外售用作农田肥料；砂石分离器分离出的石子等硬质杂质</w:t>
                  </w:r>
                  <w:r>
                    <w:rPr>
                      <w:color w:val="000000" w:themeColor="text1"/>
                    </w:rPr>
                    <w:t>暂存</w:t>
                  </w:r>
                  <w:r>
                    <w:rPr>
                      <w:rFonts w:hint="eastAsia"/>
                      <w:color w:val="000000" w:themeColor="text1"/>
                    </w:rPr>
                    <w:t>于一般固废储存区，定期外售物资回收公司回收利用；</w:t>
                  </w:r>
                  <w:r>
                    <w:rPr>
                      <w:color w:val="000000" w:themeColor="text1"/>
                      <w:kern w:val="2"/>
                    </w:rPr>
                    <w:t>振筛</w:t>
                  </w:r>
                  <w:r>
                    <w:rPr>
                      <w:color w:val="000000" w:themeColor="text1"/>
                    </w:rPr>
                    <w:t>筛分出粒径小于8mm的不合格品经袋装收集后人工转移至中转仓返料至生物质颗粒机重新制粒</w:t>
                  </w:r>
                  <w:r>
                    <w:rPr>
                      <w:rFonts w:hint="eastAsia"/>
                      <w:color w:val="000000" w:themeColor="text1"/>
                    </w:rPr>
                    <w:t>；包装过程产生的废包装袋及除尘器废布袋暂存于一般固废储存区，定期外售废品回收站；除尘器除尘灰落入布袋除尘器灰斗下方设置的带塑料内衬的密封袋内，袋装收集后暂存于一般固废储存区，</w:t>
                  </w:r>
                  <w:r>
                    <w:rPr>
                      <w:rFonts w:hint="eastAsia"/>
                      <w:color w:val="000000" w:themeColor="text1"/>
                      <w:kern w:val="2"/>
                    </w:rPr>
                    <w:t>定期外售</w:t>
                  </w:r>
                  <w:r>
                    <w:rPr>
                      <w:rFonts w:hint="eastAsia"/>
                      <w:color w:val="000000" w:themeColor="text1"/>
                    </w:rPr>
                    <w:t>物资回收公司回收利用；厂房截留颗粒物（沉降粉尘）落于厂房地面，</w:t>
                  </w:r>
                  <w:r>
                    <w:rPr>
                      <w:rFonts w:hint="eastAsia"/>
                      <w:color w:val="000000" w:themeColor="text1"/>
                      <w:kern w:val="2"/>
                    </w:rPr>
                    <w:t>定期清扫厂房地面，集中袋装收集，</w:t>
                  </w:r>
                  <w:r>
                    <w:rPr>
                      <w:rFonts w:hint="eastAsia"/>
                      <w:color w:val="000000" w:themeColor="text1"/>
                    </w:rPr>
                    <w:t>暂存于一般固废储存区，</w:t>
                  </w:r>
                  <w:r>
                    <w:rPr>
                      <w:rFonts w:hint="eastAsia"/>
                      <w:color w:val="000000" w:themeColor="text1"/>
                      <w:kern w:val="2"/>
                    </w:rPr>
                    <w:t>定期外售</w:t>
                  </w:r>
                  <w:r>
                    <w:rPr>
                      <w:rFonts w:hint="eastAsia"/>
                      <w:color w:val="000000" w:themeColor="text1"/>
                    </w:rPr>
                    <w:t>物资回收公司回收利用</w:t>
                  </w:r>
                  <w:r>
                    <w:rPr>
                      <w:rFonts w:hint="eastAsia"/>
                      <w:color w:val="000000" w:themeColor="text1"/>
                      <w:kern w:val="2"/>
                    </w:rPr>
                    <w:t>。</w:t>
                  </w:r>
                </w:p>
              </w:tc>
            </w:tr>
            <w:tr w14:paraId="72A99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37" w:type="dxa"/>
                  <w:vMerge w:val="continue"/>
                  <w:tcBorders>
                    <w:tl2br w:val="nil"/>
                    <w:tr2bl w:val="nil"/>
                  </w:tcBorders>
                  <w:vAlign w:val="center"/>
                </w:tcPr>
                <w:p w14:paraId="79DCA812">
                  <w:pPr>
                    <w:pStyle w:val="35"/>
                    <w:rPr>
                      <w:color w:val="000000" w:themeColor="text1"/>
                    </w:rPr>
                  </w:pPr>
                </w:p>
              </w:tc>
              <w:tc>
                <w:tcPr>
                  <w:tcW w:w="1245" w:type="dxa"/>
                  <w:vMerge w:val="continue"/>
                  <w:tcBorders>
                    <w:tl2br w:val="nil"/>
                    <w:tr2bl w:val="nil"/>
                  </w:tcBorders>
                  <w:vAlign w:val="center"/>
                </w:tcPr>
                <w:p w14:paraId="4B32D532">
                  <w:pPr>
                    <w:pStyle w:val="35"/>
                    <w:rPr>
                      <w:color w:val="000000" w:themeColor="text1"/>
                    </w:rPr>
                  </w:pPr>
                </w:p>
              </w:tc>
              <w:tc>
                <w:tcPr>
                  <w:tcW w:w="6225" w:type="dxa"/>
                  <w:tcBorders>
                    <w:tl2br w:val="nil"/>
                    <w:tr2bl w:val="nil"/>
                  </w:tcBorders>
                  <w:shd w:val="clear" w:color="auto" w:fill="auto"/>
                  <w:vAlign w:val="center"/>
                </w:tcPr>
                <w:p w14:paraId="140E22B8">
                  <w:pPr>
                    <w:spacing w:line="240" w:lineRule="auto"/>
                    <w:ind w:firstLine="420"/>
                    <w:jc w:val="left"/>
                    <w:rPr>
                      <w:color w:val="000000" w:themeColor="text1"/>
                      <w:sz w:val="21"/>
                      <w:szCs w:val="21"/>
                    </w:rPr>
                  </w:pPr>
                  <w:r>
                    <w:rPr>
                      <w:rFonts w:hint="eastAsia"/>
                      <w:color w:val="000000" w:themeColor="text1"/>
                      <w:sz w:val="21"/>
                      <w:szCs w:val="21"/>
                    </w:rPr>
                    <w:t>职工生活垃圾集中袋装收集，由当地环卫部门统一处理。</w:t>
                  </w:r>
                </w:p>
              </w:tc>
            </w:tr>
            <w:tr w14:paraId="0F2F5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37" w:type="dxa"/>
                  <w:vMerge w:val="continue"/>
                  <w:tcBorders>
                    <w:tl2br w:val="nil"/>
                    <w:tr2bl w:val="nil"/>
                  </w:tcBorders>
                  <w:vAlign w:val="center"/>
                </w:tcPr>
                <w:p w14:paraId="5443EF45">
                  <w:pPr>
                    <w:pStyle w:val="35"/>
                    <w:rPr>
                      <w:color w:val="000000" w:themeColor="text1"/>
                    </w:rPr>
                  </w:pPr>
                </w:p>
              </w:tc>
              <w:tc>
                <w:tcPr>
                  <w:tcW w:w="1245" w:type="dxa"/>
                  <w:vMerge w:val="continue"/>
                  <w:tcBorders>
                    <w:tl2br w:val="nil"/>
                    <w:tr2bl w:val="nil"/>
                  </w:tcBorders>
                  <w:vAlign w:val="center"/>
                </w:tcPr>
                <w:p w14:paraId="2B2FCFE4">
                  <w:pPr>
                    <w:pStyle w:val="35"/>
                    <w:rPr>
                      <w:color w:val="000000" w:themeColor="text1"/>
                    </w:rPr>
                  </w:pPr>
                </w:p>
              </w:tc>
              <w:tc>
                <w:tcPr>
                  <w:tcW w:w="6225" w:type="dxa"/>
                  <w:tcBorders>
                    <w:tl2br w:val="nil"/>
                    <w:tr2bl w:val="nil"/>
                  </w:tcBorders>
                  <w:shd w:val="clear" w:color="auto" w:fill="auto"/>
                  <w:vAlign w:val="center"/>
                </w:tcPr>
                <w:p w14:paraId="010941E6">
                  <w:pPr>
                    <w:spacing w:line="240" w:lineRule="auto"/>
                    <w:ind w:firstLine="420"/>
                    <w:jc w:val="left"/>
                    <w:rPr>
                      <w:color w:val="000000" w:themeColor="text1"/>
                      <w:sz w:val="21"/>
                      <w:szCs w:val="21"/>
                    </w:rPr>
                  </w:pPr>
                  <w:r>
                    <w:rPr>
                      <w:rFonts w:hint="eastAsia"/>
                      <w:color w:val="000000" w:themeColor="text1"/>
                      <w:sz w:val="21"/>
                      <w:szCs w:val="21"/>
                    </w:rPr>
                    <w:t>设备维护和保养产生的废液压油、废机油、废润滑油桶装加盖收集、废油桶加盖，暂存于危废暂存间，定期交由有资质单位处置。</w:t>
                  </w:r>
                </w:p>
              </w:tc>
            </w:tr>
            <w:tr w14:paraId="7CD83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14:paraId="7659578A">
                  <w:pPr>
                    <w:pStyle w:val="35"/>
                    <w:rPr>
                      <w:color w:val="000000" w:themeColor="text1"/>
                    </w:rPr>
                  </w:pPr>
                </w:p>
              </w:tc>
              <w:tc>
                <w:tcPr>
                  <w:tcW w:w="1245" w:type="dxa"/>
                  <w:tcBorders>
                    <w:tl2br w:val="nil"/>
                    <w:tr2bl w:val="nil"/>
                  </w:tcBorders>
                  <w:vAlign w:val="center"/>
                </w:tcPr>
                <w:p w14:paraId="27FCE52A">
                  <w:pPr>
                    <w:pStyle w:val="35"/>
                    <w:rPr>
                      <w:color w:val="000000" w:themeColor="text1"/>
                    </w:rPr>
                  </w:pPr>
                  <w:r>
                    <w:rPr>
                      <w:color w:val="000000" w:themeColor="text1"/>
                    </w:rPr>
                    <w:t>防渗</w:t>
                  </w:r>
                </w:p>
              </w:tc>
              <w:tc>
                <w:tcPr>
                  <w:tcW w:w="6225" w:type="dxa"/>
                  <w:tcBorders>
                    <w:tl2br w:val="nil"/>
                    <w:tr2bl w:val="nil"/>
                  </w:tcBorders>
                  <w:vAlign w:val="center"/>
                </w:tcPr>
                <w:p w14:paraId="47E5844B">
                  <w:pPr>
                    <w:snapToGrid w:val="0"/>
                    <w:spacing w:line="240" w:lineRule="auto"/>
                    <w:ind w:firstLine="420"/>
                    <w:jc w:val="left"/>
                    <w:rPr>
                      <w:color w:val="000000" w:themeColor="text1"/>
                      <w:kern w:val="0"/>
                      <w:sz w:val="21"/>
                      <w:szCs w:val="21"/>
                    </w:rPr>
                  </w:pPr>
                  <w:r>
                    <w:rPr>
                      <w:rFonts w:hint="eastAsia"/>
                      <w:color w:val="000000" w:themeColor="text1"/>
                      <w:sz w:val="21"/>
                      <w:szCs w:val="21"/>
                    </w:rPr>
                    <w:t>（1）重点防渗区：危废暂存间内危险废物储存区域设置托盘，确保危废不落地，危废暂存间</w:t>
                  </w:r>
                  <w:r>
                    <w:rPr>
                      <w:color w:val="000000" w:themeColor="text1"/>
                      <w:sz w:val="21"/>
                      <w:szCs w:val="21"/>
                    </w:rPr>
                    <w:t>地面采用抗渗混凝土浇筑，防渗层厚度为15cm，设有堵截泄漏的裙脚，地面与裙脚采用坚固防渗的材料建造，地面与裙脚涂敷3层环氧树脂，2层玻璃布进行防腐防渗，渗透系数≤1.0×10</w:t>
                  </w:r>
                  <w:r>
                    <w:rPr>
                      <w:color w:val="000000" w:themeColor="text1"/>
                      <w:sz w:val="21"/>
                      <w:szCs w:val="21"/>
                      <w:vertAlign w:val="superscript"/>
                    </w:rPr>
                    <w:t>-10</w:t>
                  </w:r>
                  <w:r>
                    <w:rPr>
                      <w:color w:val="000000" w:themeColor="text1"/>
                      <w:sz w:val="21"/>
                      <w:szCs w:val="21"/>
                    </w:rPr>
                    <w:t>cm/s</w:t>
                  </w:r>
                  <w:r>
                    <w:rPr>
                      <w:rFonts w:hint="eastAsia"/>
                      <w:color w:val="000000" w:themeColor="text1"/>
                      <w:sz w:val="21"/>
                      <w:szCs w:val="21"/>
                    </w:rPr>
                    <w:t>；油品储存库设置托盘，确保油品不落地，地面</w:t>
                  </w:r>
                  <w:r>
                    <w:rPr>
                      <w:color w:val="000000" w:themeColor="text1"/>
                      <w:sz w:val="21"/>
                      <w:szCs w:val="21"/>
                    </w:rPr>
                    <w:t>采用抗渗混凝土浇筑，涂敷3层环氧树脂，2层玻璃布进行防腐防渗，渗透系数≤1.0×10</w:t>
                  </w:r>
                  <w:r>
                    <w:rPr>
                      <w:color w:val="000000" w:themeColor="text1"/>
                      <w:sz w:val="21"/>
                      <w:szCs w:val="21"/>
                      <w:vertAlign w:val="superscript"/>
                    </w:rPr>
                    <w:t>-</w:t>
                  </w:r>
                  <w:r>
                    <w:rPr>
                      <w:rFonts w:hint="eastAsia"/>
                      <w:color w:val="000000" w:themeColor="text1"/>
                      <w:sz w:val="21"/>
                      <w:szCs w:val="21"/>
                      <w:vertAlign w:val="superscript"/>
                    </w:rPr>
                    <w:t>7</w:t>
                  </w:r>
                  <w:r>
                    <w:rPr>
                      <w:color w:val="000000" w:themeColor="text1"/>
                      <w:sz w:val="21"/>
                      <w:szCs w:val="21"/>
                    </w:rPr>
                    <w:t>cm/s</w:t>
                  </w:r>
                  <w:r>
                    <w:rPr>
                      <w:rFonts w:hint="eastAsia"/>
                      <w:color w:val="000000" w:themeColor="text1"/>
                      <w:kern w:val="0"/>
                      <w:sz w:val="21"/>
                      <w:szCs w:val="21"/>
                    </w:rPr>
                    <w:t>。</w:t>
                  </w:r>
                </w:p>
                <w:p w14:paraId="3F225626">
                  <w:pPr>
                    <w:spacing w:line="240" w:lineRule="auto"/>
                    <w:ind w:firstLine="420"/>
                    <w:rPr>
                      <w:color w:val="000000" w:themeColor="text1"/>
                      <w:sz w:val="21"/>
                      <w:szCs w:val="21"/>
                    </w:rPr>
                  </w:pPr>
                  <w:r>
                    <w:rPr>
                      <w:rFonts w:hint="eastAsia"/>
                      <w:color w:val="000000" w:themeColor="text1"/>
                      <w:sz w:val="21"/>
                      <w:szCs w:val="21"/>
                    </w:rPr>
                    <w:t>（2）一般防渗区：厂房内的其他区域及堆场进行基础防渗处理，需</w:t>
                  </w:r>
                  <w:r>
                    <w:rPr>
                      <w:color w:val="000000" w:themeColor="text1"/>
                      <w:sz w:val="21"/>
                      <w:szCs w:val="21"/>
                    </w:rPr>
                    <w:t>满足等效黏土防渗层Mb≥</w:t>
                  </w:r>
                  <w:r>
                    <w:rPr>
                      <w:rFonts w:hint="eastAsia"/>
                      <w:color w:val="000000" w:themeColor="text1"/>
                      <w:sz w:val="21"/>
                      <w:szCs w:val="21"/>
                    </w:rPr>
                    <w:t>1.5</w:t>
                  </w:r>
                  <w:r>
                    <w:rPr>
                      <w:color w:val="000000" w:themeColor="text1"/>
                      <w:sz w:val="21"/>
                      <w:szCs w:val="21"/>
                    </w:rPr>
                    <w:t>m，K≤1×10</w:t>
                  </w:r>
                  <w:r>
                    <w:rPr>
                      <w:color w:val="000000" w:themeColor="text1"/>
                      <w:sz w:val="21"/>
                      <w:szCs w:val="21"/>
                      <w:vertAlign w:val="superscript"/>
                    </w:rPr>
                    <w:t>-7</w:t>
                  </w:r>
                  <w:r>
                    <w:rPr>
                      <w:color w:val="000000" w:themeColor="text1"/>
                      <w:sz w:val="21"/>
                      <w:szCs w:val="21"/>
                    </w:rPr>
                    <w:t>cm/s</w:t>
                  </w:r>
                  <w:r>
                    <w:rPr>
                      <w:rFonts w:hint="eastAsia"/>
                      <w:color w:val="000000" w:themeColor="text1"/>
                      <w:sz w:val="21"/>
                      <w:szCs w:val="21"/>
                    </w:rPr>
                    <w:t>。厂房内使用液压油、机油、润滑油的设备区域设置托盘，确保废油不落地；热风炉配套</w:t>
                  </w:r>
                  <w:r>
                    <w:rPr>
                      <w:color w:val="000000" w:themeColor="text1"/>
                      <w:sz w:val="21"/>
                      <w:szCs w:val="21"/>
                    </w:rPr>
                    <w:t>冷却水箱</w:t>
                  </w:r>
                  <w:r>
                    <w:rPr>
                      <w:rFonts w:hint="eastAsia"/>
                      <w:color w:val="000000" w:themeColor="text1"/>
                      <w:sz w:val="21"/>
                      <w:szCs w:val="21"/>
                    </w:rPr>
                    <w:t>为碳钢材质。</w:t>
                  </w:r>
                </w:p>
              </w:tc>
            </w:tr>
            <w:tr w14:paraId="2B578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gridSpan w:val="2"/>
                  <w:tcBorders>
                    <w:tl2br w:val="nil"/>
                    <w:tr2bl w:val="nil"/>
                  </w:tcBorders>
                  <w:vAlign w:val="center"/>
                </w:tcPr>
                <w:p w14:paraId="542350C6">
                  <w:pPr>
                    <w:pStyle w:val="35"/>
                    <w:rPr>
                      <w:color w:val="000000" w:themeColor="text1"/>
                    </w:rPr>
                  </w:pPr>
                  <w:r>
                    <w:rPr>
                      <w:rFonts w:hint="eastAsia"/>
                      <w:color w:val="000000" w:themeColor="text1"/>
                    </w:rPr>
                    <w:t>依托工程</w:t>
                  </w:r>
                </w:p>
              </w:tc>
              <w:tc>
                <w:tcPr>
                  <w:tcW w:w="6225" w:type="dxa"/>
                  <w:tcBorders>
                    <w:tl2br w:val="nil"/>
                    <w:tr2bl w:val="nil"/>
                  </w:tcBorders>
                  <w:vAlign w:val="center"/>
                </w:tcPr>
                <w:p w14:paraId="2D37478A">
                  <w:pPr>
                    <w:spacing w:line="240" w:lineRule="auto"/>
                    <w:ind w:firstLine="0" w:firstLineChars="0"/>
                    <w:jc w:val="center"/>
                    <w:rPr>
                      <w:color w:val="000000" w:themeColor="text1"/>
                      <w:sz w:val="21"/>
                      <w:szCs w:val="21"/>
                    </w:rPr>
                  </w:pPr>
                  <w:r>
                    <w:rPr>
                      <w:rFonts w:hint="eastAsia"/>
                      <w:color w:val="000000" w:themeColor="text1"/>
                      <w:sz w:val="21"/>
                      <w:szCs w:val="21"/>
                    </w:rPr>
                    <w:t>厕所依托于唐山曹妃甸木业股份有限公司水厕，项目</w:t>
                  </w:r>
                  <w:r>
                    <w:rPr>
                      <w:rFonts w:hint="eastAsia"/>
                      <w:color w:val="000000" w:themeColor="text1"/>
                      <w:kern w:val="1"/>
                      <w:sz w:val="21"/>
                      <w:szCs w:val="21"/>
                    </w:rPr>
                    <w:t>生活污水（盥洗、冲厕废水）通过</w:t>
                  </w:r>
                  <w:r>
                    <w:rPr>
                      <w:rFonts w:hint="eastAsia"/>
                      <w:color w:val="000000" w:themeColor="text1"/>
                      <w:sz w:val="21"/>
                      <w:szCs w:val="21"/>
                    </w:rPr>
                    <w:t>唐山曹妃甸木业股份有限公司废水排放口排入市政污水管网，最终进入曹妃甸工业区装备制造区污水处理站处理。</w:t>
                  </w:r>
                </w:p>
              </w:tc>
            </w:tr>
          </w:tbl>
          <w:p w14:paraId="795AC632">
            <w:pPr>
              <w:ind w:firstLine="480"/>
              <w:rPr>
                <w:color w:val="000000" w:themeColor="text1"/>
              </w:rPr>
            </w:pPr>
            <w:r>
              <w:rPr>
                <w:rFonts w:hint="eastAsia"/>
                <w:color w:val="000000" w:themeColor="text1"/>
              </w:rPr>
              <w:t>本项目生产期间，原料锯末（湿料）储存周期为5天，原料锯末（干料）储存周期为2天，根据产品生物质能源颗粒作为燃料的使用特点，夏季为生产及销售淡季，冬季为生产及销售旺季，旺季生产</w:t>
            </w:r>
            <w:r>
              <w:rPr>
                <w:color w:val="000000" w:themeColor="text1"/>
              </w:rPr>
              <w:t>每天</w:t>
            </w:r>
            <w:r>
              <w:rPr>
                <w:rFonts w:hint="eastAsia"/>
                <w:color w:val="000000" w:themeColor="text1"/>
              </w:rPr>
              <w:t>3</w:t>
            </w:r>
            <w:r>
              <w:rPr>
                <w:color w:val="000000" w:themeColor="text1"/>
              </w:rPr>
              <w:t>班，每班8h，</w:t>
            </w:r>
            <w:r>
              <w:rPr>
                <w:rFonts w:hint="eastAsia"/>
                <w:color w:val="000000" w:themeColor="text1"/>
              </w:rPr>
              <w:t>每天24h，淡季生产每天1班，</w:t>
            </w:r>
            <w:r>
              <w:rPr>
                <w:color w:val="000000" w:themeColor="text1"/>
              </w:rPr>
              <w:t>每班8h，</w:t>
            </w:r>
            <w:r>
              <w:rPr>
                <w:rFonts w:hint="eastAsia"/>
                <w:color w:val="000000" w:themeColor="text1"/>
              </w:rPr>
              <w:t>每天8h，本次评价以旺季生产时每天3班核算原料区的储存能力；销售旺季时成品储存周期为7天，销售淡季时成品储存周期为2个月，本次评价以生产及销售淡季储存周期2个月核算成品区的储存能力。本项目原料区、成品区物料的储存能力与储存周期的匹配性分析见下表。</w:t>
            </w:r>
          </w:p>
          <w:p w14:paraId="6DF86F9E">
            <w:pPr>
              <w:ind w:firstLine="0" w:firstLineChars="0"/>
              <w:jc w:val="center"/>
              <w:rPr>
                <w:b/>
                <w:bCs/>
                <w:color w:val="000000" w:themeColor="text1"/>
                <w:sz w:val="21"/>
                <w:szCs w:val="21"/>
              </w:rPr>
            </w:pPr>
            <w:r>
              <w:rPr>
                <w:rFonts w:hint="eastAsia"/>
                <w:b/>
                <w:bCs/>
                <w:color w:val="000000" w:themeColor="text1"/>
                <w:sz w:val="21"/>
                <w:szCs w:val="21"/>
              </w:rPr>
              <w:t>表10   本项目原料区、成品区物料的储存能力与储存周期的匹配性分析一览表</w:t>
            </w:r>
          </w:p>
          <w:tbl>
            <w:tblPr>
              <w:tblStyle w:val="25"/>
              <w:tblW w:w="8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20"/>
              <w:gridCol w:w="974"/>
              <w:gridCol w:w="1319"/>
              <w:gridCol w:w="735"/>
              <w:gridCol w:w="856"/>
              <w:gridCol w:w="885"/>
              <w:gridCol w:w="1080"/>
              <w:gridCol w:w="817"/>
            </w:tblGrid>
            <w:tr w14:paraId="1702F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pct"/>
                  <w:gridSpan w:val="2"/>
                  <w:tcBorders>
                    <w:tl2br w:val="nil"/>
                    <w:tr2bl w:val="nil"/>
                  </w:tcBorders>
                  <w:vAlign w:val="center"/>
                </w:tcPr>
                <w:p w14:paraId="465C5CEF">
                  <w:pPr>
                    <w:pStyle w:val="67"/>
                    <w:rPr>
                      <w:b/>
                      <w:bCs/>
                      <w:color w:val="000000" w:themeColor="text1"/>
                      <w:szCs w:val="21"/>
                    </w:rPr>
                  </w:pPr>
                  <w:r>
                    <w:rPr>
                      <w:rFonts w:hint="eastAsia"/>
                      <w:b/>
                      <w:bCs/>
                      <w:color w:val="000000" w:themeColor="text1"/>
                      <w:szCs w:val="21"/>
                    </w:rPr>
                    <w:t>分区</w:t>
                  </w:r>
                </w:p>
              </w:tc>
              <w:tc>
                <w:tcPr>
                  <w:tcW w:w="604" w:type="pct"/>
                  <w:tcBorders>
                    <w:tl2br w:val="nil"/>
                    <w:tr2bl w:val="nil"/>
                  </w:tcBorders>
                  <w:vAlign w:val="center"/>
                </w:tcPr>
                <w:p w14:paraId="57C3454D">
                  <w:pPr>
                    <w:pStyle w:val="67"/>
                    <w:rPr>
                      <w:b/>
                      <w:bCs/>
                      <w:color w:val="000000" w:themeColor="text1"/>
                      <w:szCs w:val="21"/>
                    </w:rPr>
                  </w:pPr>
                  <w:r>
                    <w:rPr>
                      <w:rFonts w:hint="eastAsia"/>
                      <w:b/>
                      <w:bCs/>
                      <w:color w:val="000000" w:themeColor="text1"/>
                      <w:szCs w:val="21"/>
                    </w:rPr>
                    <w:t>占地面积（m</w:t>
                  </w:r>
                  <w:r>
                    <w:rPr>
                      <w:rFonts w:hint="eastAsia"/>
                      <w:b/>
                      <w:bCs/>
                      <w:color w:val="000000" w:themeColor="text1"/>
                      <w:szCs w:val="21"/>
                      <w:vertAlign w:val="superscript"/>
                    </w:rPr>
                    <w:t>2</w:t>
                  </w:r>
                  <w:r>
                    <w:rPr>
                      <w:rFonts w:hint="eastAsia"/>
                      <w:b/>
                      <w:bCs/>
                      <w:color w:val="000000" w:themeColor="text1"/>
                      <w:szCs w:val="21"/>
                    </w:rPr>
                    <w:t>）</w:t>
                  </w:r>
                </w:p>
              </w:tc>
              <w:tc>
                <w:tcPr>
                  <w:tcW w:w="818" w:type="pct"/>
                  <w:tcBorders>
                    <w:tl2br w:val="nil"/>
                    <w:tr2bl w:val="nil"/>
                  </w:tcBorders>
                  <w:vAlign w:val="center"/>
                </w:tcPr>
                <w:p w14:paraId="54D6E1CF">
                  <w:pPr>
                    <w:pStyle w:val="67"/>
                    <w:rPr>
                      <w:b/>
                      <w:bCs/>
                      <w:color w:val="000000" w:themeColor="text1"/>
                      <w:szCs w:val="21"/>
                    </w:rPr>
                  </w:pPr>
                  <w:r>
                    <w:rPr>
                      <w:rFonts w:hint="eastAsia"/>
                      <w:b/>
                      <w:bCs/>
                      <w:color w:val="000000" w:themeColor="text1"/>
                      <w:szCs w:val="21"/>
                    </w:rPr>
                    <w:t>储存形式</w:t>
                  </w:r>
                </w:p>
              </w:tc>
              <w:tc>
                <w:tcPr>
                  <w:tcW w:w="455" w:type="pct"/>
                  <w:tcBorders>
                    <w:tl2br w:val="nil"/>
                    <w:tr2bl w:val="nil"/>
                  </w:tcBorders>
                  <w:vAlign w:val="center"/>
                </w:tcPr>
                <w:p w14:paraId="1B5F42B3">
                  <w:pPr>
                    <w:pStyle w:val="67"/>
                    <w:rPr>
                      <w:b/>
                      <w:bCs/>
                      <w:color w:val="000000" w:themeColor="text1"/>
                      <w:szCs w:val="21"/>
                    </w:rPr>
                  </w:pPr>
                  <w:r>
                    <w:rPr>
                      <w:rFonts w:hint="eastAsia"/>
                      <w:b/>
                      <w:bCs/>
                      <w:color w:val="000000" w:themeColor="text1"/>
                      <w:szCs w:val="21"/>
                    </w:rPr>
                    <w:t>堆积密度</w:t>
                  </w:r>
                </w:p>
              </w:tc>
              <w:tc>
                <w:tcPr>
                  <w:tcW w:w="530" w:type="pct"/>
                  <w:tcBorders>
                    <w:tl2br w:val="nil"/>
                    <w:tr2bl w:val="nil"/>
                  </w:tcBorders>
                  <w:vAlign w:val="center"/>
                </w:tcPr>
                <w:p w14:paraId="5E0DF30B">
                  <w:pPr>
                    <w:pStyle w:val="67"/>
                    <w:rPr>
                      <w:b/>
                      <w:bCs/>
                      <w:color w:val="000000" w:themeColor="text1"/>
                      <w:szCs w:val="21"/>
                    </w:rPr>
                  </w:pPr>
                  <w:r>
                    <w:rPr>
                      <w:rFonts w:hint="eastAsia"/>
                      <w:b/>
                      <w:bCs/>
                      <w:color w:val="000000" w:themeColor="text1"/>
                      <w:szCs w:val="21"/>
                    </w:rPr>
                    <w:t>堆存容积（m</w:t>
                  </w:r>
                  <w:r>
                    <w:rPr>
                      <w:rFonts w:hint="eastAsia"/>
                      <w:b/>
                      <w:bCs/>
                      <w:color w:val="000000" w:themeColor="text1"/>
                      <w:szCs w:val="21"/>
                      <w:vertAlign w:val="superscript"/>
                    </w:rPr>
                    <w:t>3</w:t>
                  </w:r>
                  <w:r>
                    <w:rPr>
                      <w:rFonts w:hint="eastAsia"/>
                      <w:b/>
                      <w:bCs/>
                      <w:color w:val="000000" w:themeColor="text1"/>
                      <w:szCs w:val="21"/>
                    </w:rPr>
                    <w:t>）</w:t>
                  </w:r>
                </w:p>
              </w:tc>
              <w:tc>
                <w:tcPr>
                  <w:tcW w:w="548" w:type="pct"/>
                  <w:tcBorders>
                    <w:tl2br w:val="nil"/>
                    <w:tr2bl w:val="nil"/>
                  </w:tcBorders>
                  <w:vAlign w:val="center"/>
                </w:tcPr>
                <w:p w14:paraId="619CE35E">
                  <w:pPr>
                    <w:pStyle w:val="67"/>
                    <w:rPr>
                      <w:b/>
                      <w:bCs/>
                      <w:color w:val="000000" w:themeColor="text1"/>
                      <w:szCs w:val="21"/>
                    </w:rPr>
                  </w:pPr>
                  <w:r>
                    <w:rPr>
                      <w:rFonts w:hint="eastAsia"/>
                      <w:b/>
                      <w:bCs/>
                      <w:color w:val="000000" w:themeColor="text1"/>
                      <w:szCs w:val="21"/>
                    </w:rPr>
                    <w:t>储存能力（t）</w:t>
                  </w:r>
                </w:p>
              </w:tc>
              <w:tc>
                <w:tcPr>
                  <w:tcW w:w="669" w:type="pct"/>
                  <w:tcBorders>
                    <w:tl2br w:val="nil"/>
                    <w:tr2bl w:val="nil"/>
                  </w:tcBorders>
                  <w:vAlign w:val="center"/>
                </w:tcPr>
                <w:p w14:paraId="6840E544">
                  <w:pPr>
                    <w:pStyle w:val="67"/>
                    <w:rPr>
                      <w:b/>
                      <w:bCs/>
                      <w:color w:val="000000" w:themeColor="text1"/>
                      <w:szCs w:val="21"/>
                    </w:rPr>
                  </w:pPr>
                  <w:r>
                    <w:rPr>
                      <w:rFonts w:hint="eastAsia"/>
                      <w:b/>
                      <w:bCs/>
                      <w:color w:val="000000" w:themeColor="text1"/>
                      <w:szCs w:val="21"/>
                    </w:rPr>
                    <w:t>日耗量（产生量）（t）</w:t>
                  </w:r>
                </w:p>
              </w:tc>
              <w:tc>
                <w:tcPr>
                  <w:tcW w:w="506" w:type="pct"/>
                  <w:tcBorders>
                    <w:tl2br w:val="nil"/>
                    <w:tr2bl w:val="nil"/>
                  </w:tcBorders>
                  <w:vAlign w:val="center"/>
                </w:tcPr>
                <w:p w14:paraId="6BFC63B8">
                  <w:pPr>
                    <w:pStyle w:val="67"/>
                    <w:rPr>
                      <w:b/>
                      <w:bCs/>
                      <w:color w:val="000000" w:themeColor="text1"/>
                      <w:szCs w:val="21"/>
                    </w:rPr>
                  </w:pPr>
                  <w:r>
                    <w:rPr>
                      <w:rFonts w:hint="eastAsia"/>
                      <w:b/>
                      <w:bCs/>
                      <w:color w:val="000000" w:themeColor="text1"/>
                      <w:szCs w:val="21"/>
                    </w:rPr>
                    <w:t>储存周期（d）</w:t>
                  </w:r>
                </w:p>
              </w:tc>
            </w:tr>
            <w:tr w14:paraId="56661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tcBorders>
                    <w:tl2br w:val="nil"/>
                    <w:tr2bl w:val="nil"/>
                  </w:tcBorders>
                  <w:vAlign w:val="center"/>
                </w:tcPr>
                <w:p w14:paraId="28B6144F">
                  <w:pPr>
                    <w:pStyle w:val="35"/>
                    <w:rPr>
                      <w:color w:val="000000" w:themeColor="text1"/>
                    </w:rPr>
                  </w:pPr>
                  <w:r>
                    <w:rPr>
                      <w:rFonts w:hint="eastAsia"/>
                      <w:color w:val="000000" w:themeColor="text1"/>
                    </w:rPr>
                    <w:t>锯末（湿料）原料区</w:t>
                  </w:r>
                </w:p>
              </w:tc>
              <w:tc>
                <w:tcPr>
                  <w:tcW w:w="446" w:type="pct"/>
                  <w:tcBorders>
                    <w:tl2br w:val="nil"/>
                    <w:tr2bl w:val="nil"/>
                  </w:tcBorders>
                  <w:shd w:val="clear" w:color="auto" w:fill="auto"/>
                  <w:vAlign w:val="center"/>
                </w:tcPr>
                <w:p w14:paraId="101B50CE">
                  <w:pPr>
                    <w:spacing w:line="0" w:lineRule="atLeast"/>
                    <w:ind w:firstLine="0" w:firstLineChars="0"/>
                    <w:jc w:val="center"/>
                    <w:rPr>
                      <w:color w:val="000000" w:themeColor="text1"/>
                      <w:sz w:val="21"/>
                      <w:szCs w:val="21"/>
                    </w:rPr>
                  </w:pPr>
                  <w:r>
                    <w:rPr>
                      <w:rFonts w:hint="eastAsia"/>
                      <w:color w:val="000000" w:themeColor="text1"/>
                      <w:sz w:val="21"/>
                      <w:szCs w:val="21"/>
                    </w:rPr>
                    <w:t>锯末（湿料）</w:t>
                  </w:r>
                </w:p>
              </w:tc>
              <w:tc>
                <w:tcPr>
                  <w:tcW w:w="604" w:type="pct"/>
                  <w:tcBorders>
                    <w:tl2br w:val="nil"/>
                    <w:tr2bl w:val="nil"/>
                  </w:tcBorders>
                  <w:vAlign w:val="center"/>
                </w:tcPr>
                <w:p w14:paraId="23F1A598">
                  <w:pPr>
                    <w:pStyle w:val="67"/>
                    <w:rPr>
                      <w:color w:val="000000" w:themeColor="text1"/>
                      <w:szCs w:val="21"/>
                    </w:rPr>
                  </w:pPr>
                  <w:r>
                    <w:rPr>
                      <w:rFonts w:hint="eastAsia"/>
                      <w:color w:val="000000" w:themeColor="text1"/>
                      <w:szCs w:val="21"/>
                    </w:rPr>
                    <w:t>648</w:t>
                  </w:r>
                </w:p>
              </w:tc>
              <w:tc>
                <w:tcPr>
                  <w:tcW w:w="818" w:type="pct"/>
                  <w:tcBorders>
                    <w:tl2br w:val="nil"/>
                    <w:tr2bl w:val="nil"/>
                  </w:tcBorders>
                  <w:vAlign w:val="center"/>
                </w:tcPr>
                <w:p w14:paraId="6CA766FF">
                  <w:pPr>
                    <w:pStyle w:val="67"/>
                    <w:rPr>
                      <w:color w:val="000000" w:themeColor="text1"/>
                      <w:szCs w:val="21"/>
                    </w:rPr>
                  </w:pPr>
                  <w:r>
                    <w:rPr>
                      <w:rFonts w:hint="eastAsia"/>
                      <w:color w:val="000000" w:themeColor="text1"/>
                      <w:szCs w:val="21"/>
                    </w:rPr>
                    <w:t>散堆，最大堆高2m，边坡比1:1</w:t>
                  </w:r>
                </w:p>
              </w:tc>
              <w:tc>
                <w:tcPr>
                  <w:tcW w:w="455" w:type="pct"/>
                  <w:tcBorders>
                    <w:tl2br w:val="nil"/>
                    <w:tr2bl w:val="nil"/>
                  </w:tcBorders>
                  <w:vAlign w:val="center"/>
                </w:tcPr>
                <w:p w14:paraId="46BA1257">
                  <w:pPr>
                    <w:pStyle w:val="67"/>
                    <w:rPr>
                      <w:color w:val="000000" w:themeColor="text1"/>
                      <w:szCs w:val="21"/>
                    </w:rPr>
                  </w:pPr>
                  <w:r>
                    <w:rPr>
                      <w:rFonts w:hint="eastAsia"/>
                      <w:color w:val="000000" w:themeColor="text1"/>
                      <w:szCs w:val="21"/>
                    </w:rPr>
                    <w:t>0.462t/m</w:t>
                  </w:r>
                  <w:r>
                    <w:rPr>
                      <w:rFonts w:hint="eastAsia"/>
                      <w:color w:val="000000" w:themeColor="text1"/>
                      <w:szCs w:val="21"/>
                      <w:vertAlign w:val="superscript"/>
                    </w:rPr>
                    <w:t>3</w:t>
                  </w:r>
                </w:p>
              </w:tc>
              <w:tc>
                <w:tcPr>
                  <w:tcW w:w="530" w:type="pct"/>
                  <w:tcBorders>
                    <w:tl2br w:val="nil"/>
                    <w:tr2bl w:val="nil"/>
                  </w:tcBorders>
                  <w:vAlign w:val="center"/>
                </w:tcPr>
                <w:p w14:paraId="4063E39B">
                  <w:pPr>
                    <w:pStyle w:val="67"/>
                    <w:rPr>
                      <w:color w:val="000000" w:themeColor="text1"/>
                      <w:szCs w:val="21"/>
                    </w:rPr>
                  </w:pPr>
                  <w:r>
                    <w:rPr>
                      <w:rFonts w:hint="eastAsia"/>
                      <w:color w:val="000000" w:themeColor="text1"/>
                      <w:szCs w:val="21"/>
                    </w:rPr>
                    <w:t>1090</w:t>
                  </w:r>
                </w:p>
              </w:tc>
              <w:tc>
                <w:tcPr>
                  <w:tcW w:w="548" w:type="pct"/>
                  <w:tcBorders>
                    <w:tl2br w:val="nil"/>
                    <w:tr2bl w:val="nil"/>
                  </w:tcBorders>
                  <w:vAlign w:val="center"/>
                </w:tcPr>
                <w:p w14:paraId="203C4241">
                  <w:pPr>
                    <w:pStyle w:val="67"/>
                    <w:rPr>
                      <w:color w:val="000000" w:themeColor="text1"/>
                      <w:szCs w:val="21"/>
                    </w:rPr>
                  </w:pPr>
                  <w:r>
                    <w:rPr>
                      <w:rFonts w:hint="eastAsia"/>
                      <w:color w:val="000000" w:themeColor="text1"/>
                      <w:szCs w:val="21"/>
                    </w:rPr>
                    <w:t>503.58</w:t>
                  </w:r>
                </w:p>
              </w:tc>
              <w:tc>
                <w:tcPr>
                  <w:tcW w:w="669" w:type="pct"/>
                  <w:tcBorders>
                    <w:tl2br w:val="nil"/>
                    <w:tr2bl w:val="nil"/>
                  </w:tcBorders>
                  <w:vAlign w:val="center"/>
                </w:tcPr>
                <w:p w14:paraId="5E23801E">
                  <w:pPr>
                    <w:pStyle w:val="67"/>
                    <w:rPr>
                      <w:color w:val="000000" w:themeColor="text1"/>
                      <w:szCs w:val="21"/>
                    </w:rPr>
                  </w:pPr>
                  <w:r>
                    <w:rPr>
                      <w:rFonts w:hint="eastAsia"/>
                      <w:color w:val="000000" w:themeColor="text1"/>
                      <w:szCs w:val="21"/>
                    </w:rPr>
                    <w:t>100.5</w:t>
                  </w:r>
                </w:p>
              </w:tc>
              <w:tc>
                <w:tcPr>
                  <w:tcW w:w="506" w:type="pct"/>
                  <w:tcBorders>
                    <w:tl2br w:val="nil"/>
                    <w:tr2bl w:val="nil"/>
                  </w:tcBorders>
                  <w:vAlign w:val="center"/>
                </w:tcPr>
                <w:p w14:paraId="1B7424DD">
                  <w:pPr>
                    <w:pStyle w:val="67"/>
                    <w:rPr>
                      <w:color w:val="000000" w:themeColor="text1"/>
                      <w:szCs w:val="21"/>
                    </w:rPr>
                  </w:pPr>
                  <w:r>
                    <w:rPr>
                      <w:rFonts w:hint="eastAsia"/>
                      <w:color w:val="000000" w:themeColor="text1"/>
                      <w:szCs w:val="21"/>
                    </w:rPr>
                    <w:t>5</w:t>
                  </w:r>
                </w:p>
              </w:tc>
            </w:tr>
            <w:tr w14:paraId="382DE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tcBorders>
                    <w:tl2br w:val="nil"/>
                    <w:tr2bl w:val="nil"/>
                  </w:tcBorders>
                  <w:vAlign w:val="center"/>
                </w:tcPr>
                <w:p w14:paraId="3FD6B30E">
                  <w:pPr>
                    <w:pStyle w:val="35"/>
                    <w:rPr>
                      <w:color w:val="000000" w:themeColor="text1"/>
                    </w:rPr>
                  </w:pPr>
                  <w:r>
                    <w:rPr>
                      <w:rFonts w:hint="eastAsia"/>
                      <w:color w:val="000000" w:themeColor="text1"/>
                    </w:rPr>
                    <w:t>锯末（干料）原料区</w:t>
                  </w:r>
                </w:p>
              </w:tc>
              <w:tc>
                <w:tcPr>
                  <w:tcW w:w="446" w:type="pct"/>
                  <w:tcBorders>
                    <w:tl2br w:val="nil"/>
                    <w:tr2bl w:val="nil"/>
                  </w:tcBorders>
                  <w:shd w:val="clear" w:color="auto" w:fill="auto"/>
                  <w:vAlign w:val="center"/>
                </w:tcPr>
                <w:p w14:paraId="6C25F793">
                  <w:pPr>
                    <w:spacing w:line="0" w:lineRule="atLeast"/>
                    <w:ind w:firstLine="0" w:firstLineChars="0"/>
                    <w:jc w:val="center"/>
                    <w:rPr>
                      <w:color w:val="000000" w:themeColor="text1"/>
                      <w:sz w:val="21"/>
                      <w:szCs w:val="21"/>
                    </w:rPr>
                  </w:pPr>
                  <w:r>
                    <w:rPr>
                      <w:rFonts w:hint="eastAsia"/>
                      <w:color w:val="000000" w:themeColor="text1"/>
                      <w:sz w:val="21"/>
                      <w:szCs w:val="21"/>
                    </w:rPr>
                    <w:t>锯末（干料）</w:t>
                  </w:r>
                </w:p>
              </w:tc>
              <w:tc>
                <w:tcPr>
                  <w:tcW w:w="604" w:type="pct"/>
                  <w:tcBorders>
                    <w:tl2br w:val="nil"/>
                    <w:tr2bl w:val="nil"/>
                  </w:tcBorders>
                  <w:vAlign w:val="center"/>
                </w:tcPr>
                <w:p w14:paraId="1DE94E22">
                  <w:pPr>
                    <w:pStyle w:val="67"/>
                    <w:rPr>
                      <w:color w:val="000000" w:themeColor="text1"/>
                      <w:szCs w:val="21"/>
                    </w:rPr>
                  </w:pPr>
                  <w:r>
                    <w:rPr>
                      <w:rFonts w:hint="eastAsia"/>
                      <w:color w:val="000000" w:themeColor="text1"/>
                      <w:szCs w:val="21"/>
                    </w:rPr>
                    <w:t>144</w:t>
                  </w:r>
                </w:p>
              </w:tc>
              <w:tc>
                <w:tcPr>
                  <w:tcW w:w="818" w:type="pct"/>
                  <w:tcBorders>
                    <w:tl2br w:val="nil"/>
                    <w:tr2bl w:val="nil"/>
                  </w:tcBorders>
                  <w:vAlign w:val="center"/>
                </w:tcPr>
                <w:p w14:paraId="03B16CA9">
                  <w:pPr>
                    <w:pStyle w:val="67"/>
                    <w:rPr>
                      <w:color w:val="000000" w:themeColor="text1"/>
                      <w:szCs w:val="21"/>
                    </w:rPr>
                  </w:pPr>
                  <w:r>
                    <w:rPr>
                      <w:rFonts w:hint="eastAsia"/>
                      <w:color w:val="000000" w:themeColor="text1"/>
                      <w:szCs w:val="21"/>
                    </w:rPr>
                    <w:t>散堆，最大堆高2m，边坡比1:1</w:t>
                  </w:r>
                </w:p>
              </w:tc>
              <w:tc>
                <w:tcPr>
                  <w:tcW w:w="455" w:type="pct"/>
                  <w:tcBorders>
                    <w:tl2br w:val="nil"/>
                    <w:tr2bl w:val="nil"/>
                  </w:tcBorders>
                  <w:vAlign w:val="center"/>
                </w:tcPr>
                <w:p w14:paraId="35BE7EB4">
                  <w:pPr>
                    <w:pStyle w:val="67"/>
                    <w:rPr>
                      <w:color w:val="000000" w:themeColor="text1"/>
                      <w:szCs w:val="21"/>
                    </w:rPr>
                  </w:pPr>
                  <w:r>
                    <w:rPr>
                      <w:rFonts w:hint="eastAsia"/>
                      <w:color w:val="000000" w:themeColor="text1"/>
                      <w:szCs w:val="21"/>
                    </w:rPr>
                    <w:t>0.333t/m</w:t>
                  </w:r>
                  <w:r>
                    <w:rPr>
                      <w:rFonts w:hint="eastAsia"/>
                      <w:color w:val="000000" w:themeColor="text1"/>
                      <w:szCs w:val="21"/>
                      <w:vertAlign w:val="superscript"/>
                    </w:rPr>
                    <w:t>3</w:t>
                  </w:r>
                </w:p>
              </w:tc>
              <w:tc>
                <w:tcPr>
                  <w:tcW w:w="530" w:type="pct"/>
                  <w:tcBorders>
                    <w:tl2br w:val="nil"/>
                    <w:tr2bl w:val="nil"/>
                  </w:tcBorders>
                  <w:vAlign w:val="center"/>
                </w:tcPr>
                <w:p w14:paraId="55282FD7">
                  <w:pPr>
                    <w:pStyle w:val="67"/>
                    <w:rPr>
                      <w:color w:val="000000" w:themeColor="text1"/>
                      <w:szCs w:val="21"/>
                    </w:rPr>
                  </w:pPr>
                  <w:r>
                    <w:rPr>
                      <w:rFonts w:hint="eastAsia"/>
                      <w:color w:val="000000" w:themeColor="text1"/>
                      <w:szCs w:val="21"/>
                    </w:rPr>
                    <w:t>195</w:t>
                  </w:r>
                </w:p>
              </w:tc>
              <w:tc>
                <w:tcPr>
                  <w:tcW w:w="548" w:type="pct"/>
                  <w:tcBorders>
                    <w:tl2br w:val="nil"/>
                    <w:tr2bl w:val="nil"/>
                  </w:tcBorders>
                  <w:vAlign w:val="center"/>
                </w:tcPr>
                <w:p w14:paraId="57A4E1D4">
                  <w:pPr>
                    <w:pStyle w:val="67"/>
                    <w:rPr>
                      <w:color w:val="000000" w:themeColor="text1"/>
                      <w:szCs w:val="21"/>
                    </w:rPr>
                  </w:pPr>
                  <w:r>
                    <w:rPr>
                      <w:rFonts w:hint="eastAsia"/>
                      <w:color w:val="000000" w:themeColor="text1"/>
                      <w:szCs w:val="21"/>
                    </w:rPr>
                    <w:t>64.94</w:t>
                  </w:r>
                </w:p>
              </w:tc>
              <w:tc>
                <w:tcPr>
                  <w:tcW w:w="669" w:type="pct"/>
                  <w:tcBorders>
                    <w:tl2br w:val="nil"/>
                    <w:tr2bl w:val="nil"/>
                  </w:tcBorders>
                  <w:vAlign w:val="center"/>
                </w:tcPr>
                <w:p w14:paraId="16A03ED7">
                  <w:pPr>
                    <w:pStyle w:val="67"/>
                    <w:rPr>
                      <w:color w:val="000000" w:themeColor="text1"/>
                      <w:szCs w:val="21"/>
                    </w:rPr>
                  </w:pPr>
                  <w:r>
                    <w:rPr>
                      <w:rFonts w:hint="eastAsia"/>
                      <w:color w:val="000000" w:themeColor="text1"/>
                      <w:szCs w:val="21"/>
                    </w:rPr>
                    <w:t>27.42</w:t>
                  </w:r>
                </w:p>
              </w:tc>
              <w:tc>
                <w:tcPr>
                  <w:tcW w:w="506" w:type="pct"/>
                  <w:tcBorders>
                    <w:tl2br w:val="nil"/>
                    <w:tr2bl w:val="nil"/>
                  </w:tcBorders>
                  <w:vAlign w:val="center"/>
                </w:tcPr>
                <w:p w14:paraId="6988F5D3">
                  <w:pPr>
                    <w:pStyle w:val="67"/>
                    <w:rPr>
                      <w:color w:val="000000" w:themeColor="text1"/>
                      <w:szCs w:val="21"/>
                    </w:rPr>
                  </w:pPr>
                  <w:r>
                    <w:rPr>
                      <w:rFonts w:hint="eastAsia"/>
                      <w:color w:val="000000" w:themeColor="text1"/>
                      <w:szCs w:val="21"/>
                    </w:rPr>
                    <w:t>2.4</w:t>
                  </w:r>
                </w:p>
              </w:tc>
            </w:tr>
            <w:tr w14:paraId="46783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restart"/>
                  <w:tcBorders>
                    <w:tl2br w:val="nil"/>
                    <w:tr2bl w:val="nil"/>
                  </w:tcBorders>
                  <w:shd w:val="clear" w:color="auto" w:fill="auto"/>
                  <w:vAlign w:val="center"/>
                </w:tcPr>
                <w:p w14:paraId="6CDC7CF4">
                  <w:pPr>
                    <w:pStyle w:val="67"/>
                    <w:rPr>
                      <w:color w:val="000000" w:themeColor="text1"/>
                      <w:szCs w:val="21"/>
                    </w:rPr>
                  </w:pPr>
                  <w:r>
                    <w:rPr>
                      <w:rFonts w:hint="eastAsia"/>
                      <w:color w:val="000000" w:themeColor="text1"/>
                      <w:szCs w:val="21"/>
                    </w:rPr>
                    <w:t>成品区</w:t>
                  </w:r>
                </w:p>
              </w:tc>
              <w:tc>
                <w:tcPr>
                  <w:tcW w:w="446" w:type="pct"/>
                  <w:vMerge w:val="restart"/>
                  <w:tcBorders>
                    <w:tl2br w:val="nil"/>
                    <w:tr2bl w:val="nil"/>
                  </w:tcBorders>
                  <w:shd w:val="clear" w:color="auto" w:fill="auto"/>
                  <w:vAlign w:val="center"/>
                </w:tcPr>
                <w:p w14:paraId="66AF0D09">
                  <w:pPr>
                    <w:pStyle w:val="67"/>
                    <w:rPr>
                      <w:color w:val="000000" w:themeColor="text1"/>
                      <w:szCs w:val="21"/>
                    </w:rPr>
                  </w:pPr>
                  <w:r>
                    <w:rPr>
                      <w:rFonts w:hint="eastAsia"/>
                      <w:color w:val="000000" w:themeColor="text1"/>
                      <w:szCs w:val="21"/>
                    </w:rPr>
                    <w:t>生物质能源颗粒</w:t>
                  </w:r>
                </w:p>
              </w:tc>
              <w:tc>
                <w:tcPr>
                  <w:tcW w:w="604" w:type="pct"/>
                  <w:tcBorders>
                    <w:tl2br w:val="nil"/>
                    <w:tr2bl w:val="nil"/>
                  </w:tcBorders>
                  <w:shd w:val="clear" w:color="auto" w:fill="auto"/>
                  <w:vAlign w:val="center"/>
                </w:tcPr>
                <w:p w14:paraId="4C36E265">
                  <w:pPr>
                    <w:pStyle w:val="67"/>
                    <w:rPr>
                      <w:color w:val="000000" w:themeColor="text1"/>
                      <w:szCs w:val="21"/>
                    </w:rPr>
                  </w:pPr>
                  <w:r>
                    <w:rPr>
                      <w:rFonts w:hint="eastAsia"/>
                      <w:color w:val="000000" w:themeColor="text1"/>
                      <w:szCs w:val="21"/>
                    </w:rPr>
                    <w:t>1016</w:t>
                  </w:r>
                </w:p>
              </w:tc>
              <w:tc>
                <w:tcPr>
                  <w:tcW w:w="818" w:type="pct"/>
                  <w:tcBorders>
                    <w:tl2br w:val="nil"/>
                    <w:tr2bl w:val="nil"/>
                  </w:tcBorders>
                  <w:shd w:val="clear" w:color="auto" w:fill="auto"/>
                  <w:vAlign w:val="center"/>
                </w:tcPr>
                <w:p w14:paraId="65F27772">
                  <w:pPr>
                    <w:pStyle w:val="67"/>
                    <w:rPr>
                      <w:color w:val="000000" w:themeColor="text1"/>
                      <w:szCs w:val="21"/>
                    </w:rPr>
                  </w:pPr>
                  <w:r>
                    <w:rPr>
                      <w:rFonts w:hint="eastAsia"/>
                      <w:color w:val="000000" w:themeColor="text1"/>
                      <w:szCs w:val="21"/>
                    </w:rPr>
                    <w:t>袋装，1t/袋，平堆，高1.6m</w:t>
                  </w:r>
                </w:p>
              </w:tc>
              <w:tc>
                <w:tcPr>
                  <w:tcW w:w="455" w:type="pct"/>
                  <w:tcBorders>
                    <w:tl2br w:val="nil"/>
                    <w:tr2bl w:val="nil"/>
                  </w:tcBorders>
                  <w:shd w:val="clear" w:color="auto" w:fill="auto"/>
                  <w:vAlign w:val="center"/>
                </w:tcPr>
                <w:p w14:paraId="6472D62E">
                  <w:pPr>
                    <w:pStyle w:val="67"/>
                    <w:rPr>
                      <w:color w:val="000000" w:themeColor="text1"/>
                      <w:szCs w:val="21"/>
                    </w:rPr>
                  </w:pPr>
                  <w:r>
                    <w:rPr>
                      <w:rFonts w:hint="eastAsia"/>
                      <w:color w:val="000000" w:themeColor="text1"/>
                      <w:szCs w:val="21"/>
                    </w:rPr>
                    <w:t>0.8t/m</w:t>
                  </w:r>
                  <w:r>
                    <w:rPr>
                      <w:rFonts w:hint="eastAsia"/>
                      <w:color w:val="000000" w:themeColor="text1"/>
                      <w:szCs w:val="21"/>
                      <w:vertAlign w:val="superscript"/>
                    </w:rPr>
                    <w:t>3</w:t>
                  </w:r>
                </w:p>
              </w:tc>
              <w:tc>
                <w:tcPr>
                  <w:tcW w:w="530" w:type="pct"/>
                  <w:tcBorders>
                    <w:tl2br w:val="nil"/>
                    <w:tr2bl w:val="nil"/>
                  </w:tcBorders>
                  <w:shd w:val="clear" w:color="auto" w:fill="auto"/>
                  <w:vAlign w:val="center"/>
                </w:tcPr>
                <w:p w14:paraId="00875650">
                  <w:pPr>
                    <w:pStyle w:val="67"/>
                    <w:rPr>
                      <w:color w:val="000000" w:themeColor="text1"/>
                      <w:szCs w:val="21"/>
                    </w:rPr>
                  </w:pPr>
                  <w:r>
                    <w:rPr>
                      <w:rFonts w:hint="eastAsia"/>
                      <w:color w:val="000000" w:themeColor="text1"/>
                      <w:szCs w:val="21"/>
                    </w:rPr>
                    <w:t>1625</w:t>
                  </w:r>
                </w:p>
              </w:tc>
              <w:tc>
                <w:tcPr>
                  <w:tcW w:w="548" w:type="pct"/>
                  <w:tcBorders>
                    <w:tl2br w:val="nil"/>
                    <w:tr2bl w:val="nil"/>
                  </w:tcBorders>
                  <w:shd w:val="clear" w:color="auto" w:fill="auto"/>
                  <w:vAlign w:val="center"/>
                </w:tcPr>
                <w:p w14:paraId="34EE2153">
                  <w:pPr>
                    <w:pStyle w:val="67"/>
                    <w:rPr>
                      <w:color w:val="000000" w:themeColor="text1"/>
                      <w:szCs w:val="21"/>
                    </w:rPr>
                  </w:pPr>
                  <w:r>
                    <w:rPr>
                      <w:rFonts w:hint="eastAsia"/>
                      <w:color w:val="000000" w:themeColor="text1"/>
                      <w:szCs w:val="21"/>
                    </w:rPr>
                    <w:t>1300</w:t>
                  </w:r>
                </w:p>
              </w:tc>
              <w:tc>
                <w:tcPr>
                  <w:tcW w:w="669" w:type="pct"/>
                  <w:tcBorders>
                    <w:tl2br w:val="nil"/>
                    <w:tr2bl w:val="nil"/>
                  </w:tcBorders>
                  <w:shd w:val="clear" w:color="auto" w:fill="auto"/>
                  <w:vAlign w:val="center"/>
                </w:tcPr>
                <w:p w14:paraId="179B4D88">
                  <w:pPr>
                    <w:pStyle w:val="67"/>
                    <w:rPr>
                      <w:color w:val="000000" w:themeColor="text1"/>
                      <w:szCs w:val="21"/>
                    </w:rPr>
                  </w:pPr>
                  <w:r>
                    <w:rPr>
                      <w:rFonts w:hint="eastAsia"/>
                      <w:color w:val="000000" w:themeColor="text1"/>
                      <w:szCs w:val="21"/>
                    </w:rPr>
                    <w:t>21.67</w:t>
                  </w:r>
                </w:p>
              </w:tc>
              <w:tc>
                <w:tcPr>
                  <w:tcW w:w="506" w:type="pct"/>
                  <w:tcBorders>
                    <w:tl2br w:val="nil"/>
                    <w:tr2bl w:val="nil"/>
                  </w:tcBorders>
                  <w:shd w:val="clear" w:color="auto" w:fill="auto"/>
                  <w:vAlign w:val="center"/>
                </w:tcPr>
                <w:p w14:paraId="345FA154">
                  <w:pPr>
                    <w:pStyle w:val="67"/>
                    <w:rPr>
                      <w:color w:val="000000" w:themeColor="text1"/>
                      <w:szCs w:val="21"/>
                    </w:rPr>
                  </w:pPr>
                  <w:r>
                    <w:rPr>
                      <w:rFonts w:hint="eastAsia"/>
                      <w:color w:val="000000" w:themeColor="text1"/>
                      <w:szCs w:val="21"/>
                    </w:rPr>
                    <w:t>60</w:t>
                  </w:r>
                </w:p>
              </w:tc>
            </w:tr>
            <w:tr w14:paraId="388DB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tcBorders>
                    <w:tl2br w:val="nil"/>
                    <w:tr2bl w:val="nil"/>
                  </w:tcBorders>
                  <w:shd w:val="clear" w:color="auto" w:fill="auto"/>
                  <w:vAlign w:val="center"/>
                </w:tcPr>
                <w:p w14:paraId="2EDAB79F">
                  <w:pPr>
                    <w:pStyle w:val="67"/>
                    <w:rPr>
                      <w:color w:val="000000" w:themeColor="text1"/>
                      <w:szCs w:val="21"/>
                    </w:rPr>
                  </w:pPr>
                </w:p>
              </w:tc>
              <w:tc>
                <w:tcPr>
                  <w:tcW w:w="446" w:type="pct"/>
                  <w:vMerge w:val="continue"/>
                  <w:tcBorders>
                    <w:tl2br w:val="nil"/>
                    <w:tr2bl w:val="nil"/>
                  </w:tcBorders>
                  <w:shd w:val="clear" w:color="auto" w:fill="auto"/>
                  <w:vAlign w:val="center"/>
                </w:tcPr>
                <w:p w14:paraId="2A524030">
                  <w:pPr>
                    <w:pStyle w:val="67"/>
                    <w:rPr>
                      <w:color w:val="000000" w:themeColor="text1"/>
                      <w:szCs w:val="21"/>
                    </w:rPr>
                  </w:pPr>
                </w:p>
              </w:tc>
              <w:tc>
                <w:tcPr>
                  <w:tcW w:w="604" w:type="pct"/>
                  <w:tcBorders>
                    <w:tl2br w:val="nil"/>
                    <w:tr2bl w:val="nil"/>
                  </w:tcBorders>
                  <w:shd w:val="clear" w:color="auto" w:fill="auto"/>
                  <w:vAlign w:val="center"/>
                </w:tcPr>
                <w:p w14:paraId="48B25AF1">
                  <w:pPr>
                    <w:pStyle w:val="67"/>
                    <w:rPr>
                      <w:color w:val="000000" w:themeColor="text1"/>
                      <w:szCs w:val="21"/>
                    </w:rPr>
                  </w:pPr>
                  <w:r>
                    <w:rPr>
                      <w:rFonts w:hint="eastAsia"/>
                      <w:color w:val="000000" w:themeColor="text1"/>
                      <w:szCs w:val="21"/>
                    </w:rPr>
                    <w:t>1094</w:t>
                  </w:r>
                </w:p>
              </w:tc>
              <w:tc>
                <w:tcPr>
                  <w:tcW w:w="818" w:type="pct"/>
                  <w:tcBorders>
                    <w:tl2br w:val="nil"/>
                    <w:tr2bl w:val="nil"/>
                  </w:tcBorders>
                  <w:shd w:val="clear" w:color="auto" w:fill="auto"/>
                  <w:vAlign w:val="center"/>
                </w:tcPr>
                <w:p w14:paraId="19B1F966">
                  <w:pPr>
                    <w:pStyle w:val="67"/>
                    <w:rPr>
                      <w:color w:val="000000" w:themeColor="text1"/>
                      <w:szCs w:val="21"/>
                    </w:rPr>
                  </w:pPr>
                  <w:r>
                    <w:rPr>
                      <w:rFonts w:hint="eastAsia"/>
                      <w:color w:val="000000" w:themeColor="text1"/>
                      <w:szCs w:val="21"/>
                    </w:rPr>
                    <w:t>袋装，25kg/袋，平堆，高0.8m</w:t>
                  </w:r>
                </w:p>
              </w:tc>
              <w:tc>
                <w:tcPr>
                  <w:tcW w:w="455" w:type="pct"/>
                  <w:tcBorders>
                    <w:tl2br w:val="nil"/>
                    <w:tr2bl w:val="nil"/>
                  </w:tcBorders>
                  <w:shd w:val="clear" w:color="auto" w:fill="auto"/>
                  <w:vAlign w:val="center"/>
                </w:tcPr>
                <w:p w14:paraId="3CEE7B76">
                  <w:pPr>
                    <w:pStyle w:val="67"/>
                    <w:rPr>
                      <w:color w:val="000000" w:themeColor="text1"/>
                      <w:szCs w:val="21"/>
                    </w:rPr>
                  </w:pPr>
                  <w:r>
                    <w:rPr>
                      <w:rFonts w:hint="eastAsia"/>
                      <w:color w:val="000000" w:themeColor="text1"/>
                      <w:szCs w:val="21"/>
                    </w:rPr>
                    <w:t>0.8t/m</w:t>
                  </w:r>
                  <w:r>
                    <w:rPr>
                      <w:rFonts w:hint="eastAsia"/>
                      <w:color w:val="000000" w:themeColor="text1"/>
                      <w:szCs w:val="21"/>
                      <w:vertAlign w:val="superscript"/>
                    </w:rPr>
                    <w:t>3</w:t>
                  </w:r>
                </w:p>
              </w:tc>
              <w:tc>
                <w:tcPr>
                  <w:tcW w:w="530" w:type="pct"/>
                  <w:tcBorders>
                    <w:tl2br w:val="nil"/>
                    <w:tr2bl w:val="nil"/>
                  </w:tcBorders>
                  <w:shd w:val="clear" w:color="auto" w:fill="auto"/>
                  <w:vAlign w:val="center"/>
                </w:tcPr>
                <w:p w14:paraId="0F962E51">
                  <w:pPr>
                    <w:pStyle w:val="67"/>
                    <w:rPr>
                      <w:color w:val="000000" w:themeColor="text1"/>
                      <w:szCs w:val="21"/>
                    </w:rPr>
                  </w:pPr>
                  <w:r>
                    <w:rPr>
                      <w:rFonts w:hint="eastAsia"/>
                      <w:color w:val="000000" w:themeColor="text1"/>
                      <w:szCs w:val="21"/>
                    </w:rPr>
                    <w:t>875</w:t>
                  </w:r>
                </w:p>
              </w:tc>
              <w:tc>
                <w:tcPr>
                  <w:tcW w:w="548" w:type="pct"/>
                  <w:tcBorders>
                    <w:tl2br w:val="nil"/>
                    <w:tr2bl w:val="nil"/>
                  </w:tcBorders>
                  <w:shd w:val="clear" w:color="auto" w:fill="auto"/>
                  <w:vAlign w:val="center"/>
                </w:tcPr>
                <w:p w14:paraId="3951A011">
                  <w:pPr>
                    <w:pStyle w:val="67"/>
                    <w:rPr>
                      <w:color w:val="000000" w:themeColor="text1"/>
                      <w:szCs w:val="21"/>
                    </w:rPr>
                  </w:pPr>
                  <w:r>
                    <w:rPr>
                      <w:rFonts w:hint="eastAsia"/>
                      <w:color w:val="000000" w:themeColor="text1"/>
                      <w:szCs w:val="21"/>
                    </w:rPr>
                    <w:t>700</w:t>
                  </w:r>
                </w:p>
              </w:tc>
              <w:tc>
                <w:tcPr>
                  <w:tcW w:w="669" w:type="pct"/>
                  <w:tcBorders>
                    <w:tl2br w:val="nil"/>
                    <w:tr2bl w:val="nil"/>
                  </w:tcBorders>
                  <w:shd w:val="clear" w:color="auto" w:fill="auto"/>
                  <w:vAlign w:val="center"/>
                </w:tcPr>
                <w:p w14:paraId="0C41CFC0">
                  <w:pPr>
                    <w:pStyle w:val="67"/>
                    <w:rPr>
                      <w:color w:val="000000" w:themeColor="text1"/>
                      <w:szCs w:val="21"/>
                    </w:rPr>
                  </w:pPr>
                  <w:r>
                    <w:rPr>
                      <w:rFonts w:hint="eastAsia"/>
                      <w:color w:val="000000" w:themeColor="text1"/>
                      <w:szCs w:val="21"/>
                    </w:rPr>
                    <w:t>11.67</w:t>
                  </w:r>
                </w:p>
              </w:tc>
              <w:tc>
                <w:tcPr>
                  <w:tcW w:w="506" w:type="pct"/>
                  <w:tcBorders>
                    <w:tl2br w:val="nil"/>
                    <w:tr2bl w:val="nil"/>
                  </w:tcBorders>
                  <w:shd w:val="clear" w:color="auto" w:fill="auto"/>
                  <w:vAlign w:val="center"/>
                </w:tcPr>
                <w:p w14:paraId="430890C0">
                  <w:pPr>
                    <w:pStyle w:val="67"/>
                    <w:rPr>
                      <w:color w:val="000000" w:themeColor="text1"/>
                      <w:szCs w:val="21"/>
                    </w:rPr>
                  </w:pPr>
                  <w:r>
                    <w:rPr>
                      <w:rFonts w:hint="eastAsia"/>
                      <w:color w:val="000000" w:themeColor="text1"/>
                      <w:szCs w:val="21"/>
                    </w:rPr>
                    <w:t>60</w:t>
                  </w:r>
                </w:p>
              </w:tc>
            </w:tr>
            <w:tr w14:paraId="3C201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 w:type="pct"/>
                  <w:vMerge w:val="continue"/>
                  <w:tcBorders>
                    <w:tl2br w:val="nil"/>
                    <w:tr2bl w:val="nil"/>
                  </w:tcBorders>
                  <w:shd w:val="clear" w:color="auto" w:fill="auto"/>
                  <w:vAlign w:val="center"/>
                </w:tcPr>
                <w:p w14:paraId="72C20281">
                  <w:pPr>
                    <w:pStyle w:val="67"/>
                    <w:rPr>
                      <w:color w:val="000000" w:themeColor="text1"/>
                      <w:szCs w:val="21"/>
                    </w:rPr>
                  </w:pPr>
                </w:p>
              </w:tc>
              <w:tc>
                <w:tcPr>
                  <w:tcW w:w="446" w:type="pct"/>
                  <w:tcBorders>
                    <w:tl2br w:val="nil"/>
                    <w:tr2bl w:val="nil"/>
                  </w:tcBorders>
                  <w:shd w:val="clear" w:color="auto" w:fill="auto"/>
                  <w:vAlign w:val="center"/>
                </w:tcPr>
                <w:p w14:paraId="148572C3">
                  <w:pPr>
                    <w:pStyle w:val="67"/>
                    <w:rPr>
                      <w:color w:val="000000" w:themeColor="text1"/>
                      <w:szCs w:val="21"/>
                    </w:rPr>
                  </w:pPr>
                  <w:r>
                    <w:rPr>
                      <w:rFonts w:hint="eastAsia"/>
                      <w:color w:val="000000" w:themeColor="text1"/>
                      <w:szCs w:val="21"/>
                    </w:rPr>
                    <w:t>合计</w:t>
                  </w:r>
                </w:p>
              </w:tc>
              <w:tc>
                <w:tcPr>
                  <w:tcW w:w="604" w:type="pct"/>
                  <w:tcBorders>
                    <w:tl2br w:val="nil"/>
                    <w:tr2bl w:val="nil"/>
                  </w:tcBorders>
                  <w:shd w:val="clear" w:color="auto" w:fill="auto"/>
                  <w:vAlign w:val="center"/>
                </w:tcPr>
                <w:p w14:paraId="22BBADD1">
                  <w:pPr>
                    <w:pStyle w:val="67"/>
                    <w:rPr>
                      <w:color w:val="000000" w:themeColor="text1"/>
                      <w:szCs w:val="21"/>
                    </w:rPr>
                  </w:pPr>
                  <w:r>
                    <w:rPr>
                      <w:rFonts w:hint="eastAsia"/>
                      <w:color w:val="000000" w:themeColor="text1"/>
                      <w:szCs w:val="21"/>
                    </w:rPr>
                    <w:t>2110</w:t>
                  </w:r>
                </w:p>
              </w:tc>
              <w:tc>
                <w:tcPr>
                  <w:tcW w:w="818" w:type="pct"/>
                  <w:tcBorders>
                    <w:tl2br w:val="nil"/>
                    <w:tr2bl w:val="nil"/>
                  </w:tcBorders>
                  <w:shd w:val="clear" w:color="auto" w:fill="auto"/>
                  <w:vAlign w:val="center"/>
                </w:tcPr>
                <w:p w14:paraId="5140FDAD">
                  <w:pPr>
                    <w:pStyle w:val="67"/>
                    <w:rPr>
                      <w:color w:val="000000" w:themeColor="text1"/>
                      <w:szCs w:val="21"/>
                    </w:rPr>
                  </w:pPr>
                  <w:r>
                    <w:rPr>
                      <w:rFonts w:hint="eastAsia"/>
                      <w:color w:val="000000" w:themeColor="text1"/>
                      <w:szCs w:val="21"/>
                    </w:rPr>
                    <w:t>/</w:t>
                  </w:r>
                </w:p>
              </w:tc>
              <w:tc>
                <w:tcPr>
                  <w:tcW w:w="455" w:type="pct"/>
                  <w:tcBorders>
                    <w:tl2br w:val="nil"/>
                    <w:tr2bl w:val="nil"/>
                  </w:tcBorders>
                  <w:shd w:val="clear" w:color="auto" w:fill="auto"/>
                  <w:vAlign w:val="center"/>
                </w:tcPr>
                <w:p w14:paraId="4E256101">
                  <w:pPr>
                    <w:pStyle w:val="67"/>
                    <w:rPr>
                      <w:color w:val="000000" w:themeColor="text1"/>
                      <w:szCs w:val="21"/>
                    </w:rPr>
                  </w:pPr>
                  <w:r>
                    <w:rPr>
                      <w:rFonts w:hint="eastAsia"/>
                      <w:color w:val="000000" w:themeColor="text1"/>
                      <w:szCs w:val="21"/>
                    </w:rPr>
                    <w:t>/</w:t>
                  </w:r>
                </w:p>
              </w:tc>
              <w:tc>
                <w:tcPr>
                  <w:tcW w:w="530" w:type="pct"/>
                  <w:tcBorders>
                    <w:tl2br w:val="nil"/>
                    <w:tr2bl w:val="nil"/>
                  </w:tcBorders>
                  <w:shd w:val="clear" w:color="auto" w:fill="auto"/>
                  <w:vAlign w:val="center"/>
                </w:tcPr>
                <w:p w14:paraId="19F93DE5">
                  <w:pPr>
                    <w:pStyle w:val="67"/>
                    <w:rPr>
                      <w:color w:val="000000" w:themeColor="text1"/>
                      <w:szCs w:val="21"/>
                    </w:rPr>
                  </w:pPr>
                  <w:r>
                    <w:rPr>
                      <w:rFonts w:hint="eastAsia"/>
                      <w:color w:val="000000" w:themeColor="text1"/>
                      <w:szCs w:val="21"/>
                    </w:rPr>
                    <w:t>/</w:t>
                  </w:r>
                </w:p>
              </w:tc>
              <w:tc>
                <w:tcPr>
                  <w:tcW w:w="548" w:type="pct"/>
                  <w:tcBorders>
                    <w:tl2br w:val="nil"/>
                    <w:tr2bl w:val="nil"/>
                  </w:tcBorders>
                  <w:shd w:val="clear" w:color="auto" w:fill="auto"/>
                  <w:vAlign w:val="center"/>
                </w:tcPr>
                <w:p w14:paraId="43E5A538">
                  <w:pPr>
                    <w:pStyle w:val="67"/>
                    <w:rPr>
                      <w:color w:val="000000" w:themeColor="text1"/>
                      <w:szCs w:val="21"/>
                    </w:rPr>
                  </w:pPr>
                  <w:r>
                    <w:rPr>
                      <w:rFonts w:hint="eastAsia"/>
                      <w:color w:val="000000" w:themeColor="text1"/>
                      <w:szCs w:val="21"/>
                    </w:rPr>
                    <w:t>2000</w:t>
                  </w:r>
                </w:p>
              </w:tc>
              <w:tc>
                <w:tcPr>
                  <w:tcW w:w="669" w:type="pct"/>
                  <w:tcBorders>
                    <w:tl2br w:val="nil"/>
                    <w:tr2bl w:val="nil"/>
                  </w:tcBorders>
                  <w:shd w:val="clear" w:color="auto" w:fill="auto"/>
                  <w:vAlign w:val="center"/>
                </w:tcPr>
                <w:p w14:paraId="7D3A0CE5">
                  <w:pPr>
                    <w:pStyle w:val="67"/>
                    <w:rPr>
                      <w:color w:val="000000" w:themeColor="text1"/>
                      <w:szCs w:val="21"/>
                    </w:rPr>
                  </w:pPr>
                  <w:r>
                    <w:rPr>
                      <w:rFonts w:hint="eastAsia"/>
                      <w:color w:val="000000" w:themeColor="text1"/>
                      <w:szCs w:val="21"/>
                    </w:rPr>
                    <w:t>33.34</w:t>
                  </w:r>
                </w:p>
              </w:tc>
              <w:tc>
                <w:tcPr>
                  <w:tcW w:w="506" w:type="pct"/>
                  <w:tcBorders>
                    <w:tl2br w:val="nil"/>
                    <w:tr2bl w:val="nil"/>
                  </w:tcBorders>
                  <w:shd w:val="clear" w:color="auto" w:fill="auto"/>
                  <w:vAlign w:val="center"/>
                </w:tcPr>
                <w:p w14:paraId="79C89D50">
                  <w:pPr>
                    <w:pStyle w:val="67"/>
                    <w:rPr>
                      <w:color w:val="000000" w:themeColor="text1"/>
                      <w:szCs w:val="21"/>
                    </w:rPr>
                  </w:pPr>
                  <w:r>
                    <w:rPr>
                      <w:rFonts w:hint="eastAsia"/>
                      <w:color w:val="000000" w:themeColor="text1"/>
                      <w:szCs w:val="21"/>
                    </w:rPr>
                    <w:t>/</w:t>
                  </w:r>
                </w:p>
              </w:tc>
            </w:tr>
          </w:tbl>
          <w:p w14:paraId="11CA7CFB">
            <w:pPr>
              <w:ind w:firstLine="480"/>
              <w:rPr>
                <w:color w:val="000000" w:themeColor="text1"/>
              </w:rPr>
            </w:pPr>
            <w:r>
              <w:rPr>
                <w:color w:val="000000" w:themeColor="text1"/>
              </w:rPr>
              <w:t>6、主要产品及产能</w:t>
            </w:r>
          </w:p>
          <w:p w14:paraId="36A746D2">
            <w:pPr>
              <w:ind w:firstLine="480"/>
              <w:rPr>
                <w:color w:val="000000" w:themeColor="text1"/>
              </w:rPr>
            </w:pPr>
            <w:r>
              <w:rPr>
                <w:color w:val="000000" w:themeColor="text1"/>
              </w:rPr>
              <w:t>本项目产品方案见下表。</w:t>
            </w:r>
          </w:p>
          <w:p w14:paraId="349BDCD7">
            <w:pPr>
              <w:spacing w:line="360" w:lineRule="auto"/>
              <w:ind w:firstLine="0" w:firstLineChars="0"/>
              <w:jc w:val="center"/>
              <w:rPr>
                <w:b/>
                <w:bCs/>
                <w:color w:val="000000" w:themeColor="text1"/>
                <w:sz w:val="21"/>
                <w:szCs w:val="21"/>
              </w:rPr>
            </w:pPr>
            <w:r>
              <w:rPr>
                <w:b/>
                <w:bCs/>
                <w:color w:val="000000" w:themeColor="text1"/>
                <w:sz w:val="21"/>
                <w:szCs w:val="21"/>
              </w:rPr>
              <w:t>表1</w:t>
            </w:r>
            <w:r>
              <w:rPr>
                <w:rFonts w:hint="eastAsia"/>
                <w:b/>
                <w:bCs/>
                <w:color w:val="000000" w:themeColor="text1"/>
                <w:sz w:val="21"/>
                <w:szCs w:val="21"/>
              </w:rPr>
              <w:t>1</w:t>
            </w:r>
            <w:r>
              <w:rPr>
                <w:b/>
                <w:bCs/>
                <w:color w:val="000000" w:themeColor="text1"/>
                <w:sz w:val="21"/>
                <w:szCs w:val="21"/>
              </w:rPr>
              <w:t xml:space="preserve">   本项目产品方案一览表</w:t>
            </w:r>
          </w:p>
          <w:tbl>
            <w:tblPr>
              <w:tblStyle w:val="24"/>
              <w:tblW w:w="80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908"/>
              <w:gridCol w:w="673"/>
              <w:gridCol w:w="1166"/>
              <w:gridCol w:w="1760"/>
              <w:gridCol w:w="2506"/>
            </w:tblGrid>
            <w:tr w14:paraId="2E2D3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667" w:type="pct"/>
                  <w:tcBorders>
                    <w:tl2br w:val="nil"/>
                    <w:tr2bl w:val="nil"/>
                  </w:tcBorders>
                  <w:shd w:val="clear" w:color="auto" w:fill="auto"/>
                  <w:vAlign w:val="center"/>
                </w:tcPr>
                <w:p w14:paraId="550480D6">
                  <w:pPr>
                    <w:spacing w:line="240" w:lineRule="auto"/>
                    <w:ind w:firstLine="0" w:firstLineChars="0"/>
                    <w:jc w:val="center"/>
                    <w:rPr>
                      <w:b/>
                      <w:bCs/>
                      <w:color w:val="000000" w:themeColor="text1"/>
                      <w:sz w:val="21"/>
                      <w:szCs w:val="21"/>
                    </w:rPr>
                  </w:pPr>
                  <w:r>
                    <w:rPr>
                      <w:rFonts w:hint="eastAsia"/>
                      <w:b/>
                      <w:bCs/>
                      <w:color w:val="000000" w:themeColor="text1"/>
                      <w:sz w:val="21"/>
                      <w:szCs w:val="21"/>
                    </w:rPr>
                    <w:t>产品名称</w:t>
                  </w:r>
                </w:p>
              </w:tc>
              <w:tc>
                <w:tcPr>
                  <w:tcW w:w="561" w:type="pct"/>
                  <w:tcBorders>
                    <w:tl2br w:val="nil"/>
                    <w:tr2bl w:val="nil"/>
                  </w:tcBorders>
                  <w:vAlign w:val="center"/>
                </w:tcPr>
                <w:p w14:paraId="6973EFBF">
                  <w:pPr>
                    <w:spacing w:line="240" w:lineRule="auto"/>
                    <w:ind w:firstLine="0" w:firstLineChars="0"/>
                    <w:jc w:val="center"/>
                    <w:rPr>
                      <w:b/>
                      <w:bCs/>
                      <w:color w:val="000000" w:themeColor="text1"/>
                      <w:sz w:val="21"/>
                      <w:szCs w:val="21"/>
                    </w:rPr>
                  </w:pPr>
                  <w:r>
                    <w:rPr>
                      <w:rFonts w:hint="eastAsia"/>
                      <w:b/>
                      <w:bCs/>
                      <w:color w:val="000000" w:themeColor="text1"/>
                      <w:sz w:val="21"/>
                      <w:szCs w:val="21"/>
                    </w:rPr>
                    <w:t>产能</w:t>
                  </w:r>
                </w:p>
              </w:tc>
              <w:tc>
                <w:tcPr>
                  <w:tcW w:w="416" w:type="pct"/>
                  <w:tcBorders>
                    <w:tl2br w:val="nil"/>
                    <w:tr2bl w:val="nil"/>
                  </w:tcBorders>
                  <w:vAlign w:val="center"/>
                </w:tcPr>
                <w:p w14:paraId="3D7AA449">
                  <w:pPr>
                    <w:spacing w:line="240" w:lineRule="auto"/>
                    <w:ind w:firstLine="0" w:firstLineChars="0"/>
                    <w:jc w:val="center"/>
                    <w:rPr>
                      <w:b/>
                      <w:bCs/>
                      <w:color w:val="000000" w:themeColor="text1"/>
                      <w:sz w:val="21"/>
                      <w:szCs w:val="21"/>
                    </w:rPr>
                  </w:pPr>
                  <w:r>
                    <w:rPr>
                      <w:rFonts w:hint="eastAsia"/>
                      <w:b/>
                      <w:bCs/>
                      <w:color w:val="000000" w:themeColor="text1"/>
                      <w:sz w:val="21"/>
                      <w:szCs w:val="21"/>
                    </w:rPr>
                    <w:t>单位</w:t>
                  </w:r>
                </w:p>
              </w:tc>
              <w:tc>
                <w:tcPr>
                  <w:tcW w:w="720" w:type="pct"/>
                  <w:tcBorders>
                    <w:tl2br w:val="nil"/>
                    <w:tr2bl w:val="nil"/>
                  </w:tcBorders>
                  <w:vAlign w:val="center"/>
                </w:tcPr>
                <w:p w14:paraId="69E6B98E">
                  <w:pPr>
                    <w:spacing w:line="240" w:lineRule="auto"/>
                    <w:ind w:firstLine="0" w:firstLineChars="0"/>
                    <w:jc w:val="center"/>
                    <w:rPr>
                      <w:b/>
                      <w:bCs/>
                      <w:color w:val="000000" w:themeColor="text1"/>
                      <w:sz w:val="21"/>
                      <w:szCs w:val="21"/>
                    </w:rPr>
                  </w:pPr>
                  <w:r>
                    <w:rPr>
                      <w:b/>
                      <w:bCs/>
                      <w:color w:val="000000" w:themeColor="text1"/>
                      <w:sz w:val="21"/>
                      <w:szCs w:val="21"/>
                    </w:rPr>
                    <w:t>规格</w:t>
                  </w:r>
                </w:p>
              </w:tc>
              <w:tc>
                <w:tcPr>
                  <w:tcW w:w="1086" w:type="pct"/>
                  <w:tcBorders>
                    <w:tl2br w:val="nil"/>
                    <w:tr2bl w:val="nil"/>
                  </w:tcBorders>
                  <w:vAlign w:val="center"/>
                </w:tcPr>
                <w:p w14:paraId="2E00266B">
                  <w:pPr>
                    <w:spacing w:line="240" w:lineRule="auto"/>
                    <w:ind w:firstLine="0" w:firstLineChars="0"/>
                    <w:jc w:val="center"/>
                    <w:rPr>
                      <w:b/>
                      <w:bCs/>
                      <w:color w:val="000000" w:themeColor="text1"/>
                      <w:sz w:val="21"/>
                      <w:szCs w:val="21"/>
                    </w:rPr>
                  </w:pPr>
                  <w:r>
                    <w:rPr>
                      <w:rFonts w:hint="eastAsia"/>
                      <w:b/>
                      <w:bCs/>
                      <w:color w:val="000000" w:themeColor="text1"/>
                      <w:sz w:val="21"/>
                      <w:szCs w:val="21"/>
                    </w:rPr>
                    <w:t>包装方式和规格</w:t>
                  </w:r>
                </w:p>
              </w:tc>
              <w:tc>
                <w:tcPr>
                  <w:tcW w:w="1547" w:type="pct"/>
                  <w:tcBorders>
                    <w:tl2br w:val="nil"/>
                    <w:tr2bl w:val="nil"/>
                  </w:tcBorders>
                  <w:vAlign w:val="center"/>
                </w:tcPr>
                <w:p w14:paraId="2D2813EB">
                  <w:pPr>
                    <w:spacing w:line="240" w:lineRule="auto"/>
                    <w:ind w:firstLine="0" w:firstLineChars="0"/>
                    <w:jc w:val="center"/>
                    <w:rPr>
                      <w:b/>
                      <w:bCs/>
                      <w:color w:val="000000" w:themeColor="text1"/>
                      <w:sz w:val="21"/>
                      <w:szCs w:val="21"/>
                    </w:rPr>
                  </w:pPr>
                  <w:r>
                    <w:rPr>
                      <w:rFonts w:hint="eastAsia"/>
                      <w:b/>
                      <w:bCs/>
                      <w:color w:val="000000" w:themeColor="text1"/>
                      <w:sz w:val="21"/>
                      <w:szCs w:val="21"/>
                    </w:rPr>
                    <w:t>备注</w:t>
                  </w:r>
                </w:p>
              </w:tc>
            </w:tr>
            <w:tr w14:paraId="5CF84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7" w:type="pct"/>
                  <w:vMerge w:val="restart"/>
                  <w:tcBorders>
                    <w:tl2br w:val="nil"/>
                    <w:tr2bl w:val="nil"/>
                  </w:tcBorders>
                  <w:shd w:val="clear" w:color="auto" w:fill="auto"/>
                  <w:vAlign w:val="center"/>
                </w:tcPr>
                <w:p w14:paraId="72F3F0B4">
                  <w:pPr>
                    <w:spacing w:line="240" w:lineRule="auto"/>
                    <w:ind w:firstLine="0" w:firstLineChars="0"/>
                    <w:jc w:val="center"/>
                    <w:rPr>
                      <w:color w:val="000000" w:themeColor="text1"/>
                      <w:sz w:val="21"/>
                      <w:szCs w:val="21"/>
                    </w:rPr>
                  </w:pPr>
                  <w:r>
                    <w:rPr>
                      <w:rFonts w:hint="eastAsia"/>
                      <w:color w:val="000000" w:themeColor="text1"/>
                      <w:sz w:val="21"/>
                      <w:szCs w:val="21"/>
                    </w:rPr>
                    <w:t>生物质能源颗粒</w:t>
                  </w:r>
                </w:p>
              </w:tc>
              <w:tc>
                <w:tcPr>
                  <w:tcW w:w="561" w:type="pct"/>
                  <w:tcBorders>
                    <w:tl2br w:val="nil"/>
                    <w:tr2bl w:val="nil"/>
                  </w:tcBorders>
                  <w:vAlign w:val="center"/>
                </w:tcPr>
                <w:p w14:paraId="2ED7414F">
                  <w:pPr>
                    <w:spacing w:line="240" w:lineRule="auto"/>
                    <w:ind w:firstLine="0" w:firstLineChars="0"/>
                    <w:jc w:val="center"/>
                    <w:rPr>
                      <w:color w:val="000000" w:themeColor="text1"/>
                      <w:sz w:val="21"/>
                      <w:szCs w:val="21"/>
                    </w:rPr>
                  </w:pPr>
                  <w:r>
                    <w:rPr>
                      <w:rFonts w:hint="eastAsia"/>
                      <w:color w:val="000000" w:themeColor="text1"/>
                      <w:sz w:val="21"/>
                      <w:szCs w:val="21"/>
                    </w:rPr>
                    <w:t>9672</w:t>
                  </w:r>
                </w:p>
              </w:tc>
              <w:tc>
                <w:tcPr>
                  <w:tcW w:w="416" w:type="pct"/>
                  <w:vMerge w:val="restart"/>
                  <w:tcBorders>
                    <w:tl2br w:val="nil"/>
                    <w:tr2bl w:val="nil"/>
                  </w:tcBorders>
                  <w:vAlign w:val="center"/>
                </w:tcPr>
                <w:p w14:paraId="0A481AE2">
                  <w:pPr>
                    <w:spacing w:line="240" w:lineRule="auto"/>
                    <w:ind w:firstLine="0" w:firstLineChars="0"/>
                    <w:jc w:val="center"/>
                    <w:rPr>
                      <w:color w:val="000000" w:themeColor="text1"/>
                      <w:sz w:val="21"/>
                      <w:szCs w:val="21"/>
                    </w:rPr>
                  </w:pPr>
                  <w:r>
                    <w:rPr>
                      <w:rFonts w:hint="eastAsia"/>
                      <w:color w:val="000000" w:themeColor="text1"/>
                      <w:sz w:val="21"/>
                      <w:szCs w:val="21"/>
                    </w:rPr>
                    <w:t>t/a</w:t>
                  </w:r>
                </w:p>
              </w:tc>
              <w:tc>
                <w:tcPr>
                  <w:tcW w:w="720" w:type="pct"/>
                  <w:vMerge w:val="restart"/>
                  <w:tcBorders>
                    <w:tl2br w:val="nil"/>
                    <w:tr2bl w:val="nil"/>
                  </w:tcBorders>
                  <w:vAlign w:val="center"/>
                </w:tcPr>
                <w:p w14:paraId="5E382DF1">
                  <w:pPr>
                    <w:spacing w:line="240" w:lineRule="auto"/>
                    <w:ind w:firstLine="0" w:firstLineChars="0"/>
                    <w:jc w:val="center"/>
                    <w:rPr>
                      <w:color w:val="000000" w:themeColor="text1"/>
                      <w:sz w:val="21"/>
                      <w:szCs w:val="21"/>
                    </w:rPr>
                  </w:pPr>
                  <w:r>
                    <w:rPr>
                      <w:rFonts w:hint="eastAsia"/>
                      <w:color w:val="000000" w:themeColor="text1"/>
                      <w:sz w:val="21"/>
                      <w:szCs w:val="21"/>
                    </w:rPr>
                    <w:t>Φ8</w:t>
                  </w:r>
                  <w:r>
                    <w:rPr>
                      <w:color w:val="000000" w:themeColor="text1"/>
                      <w:sz w:val="21"/>
                      <w:szCs w:val="21"/>
                    </w:rPr>
                    <w:t>mm</w:t>
                  </w:r>
                  <w:r>
                    <w:rPr>
                      <w:rFonts w:hint="eastAsia"/>
                      <w:color w:val="000000" w:themeColor="text1"/>
                      <w:sz w:val="21"/>
                      <w:szCs w:val="21"/>
                    </w:rPr>
                    <w:t>，长3~5cm，含水率7%</w:t>
                  </w:r>
                </w:p>
              </w:tc>
              <w:tc>
                <w:tcPr>
                  <w:tcW w:w="1086" w:type="pct"/>
                  <w:tcBorders>
                    <w:tl2br w:val="nil"/>
                    <w:tr2bl w:val="nil"/>
                  </w:tcBorders>
                  <w:vAlign w:val="center"/>
                </w:tcPr>
                <w:p w14:paraId="4A81F940">
                  <w:pPr>
                    <w:spacing w:line="240" w:lineRule="auto"/>
                    <w:ind w:firstLine="0" w:firstLineChars="0"/>
                    <w:jc w:val="center"/>
                    <w:rPr>
                      <w:color w:val="000000" w:themeColor="text1"/>
                      <w:sz w:val="21"/>
                      <w:szCs w:val="21"/>
                    </w:rPr>
                  </w:pPr>
                  <w:r>
                    <w:rPr>
                      <w:rFonts w:hint="eastAsia"/>
                      <w:color w:val="000000" w:themeColor="text1"/>
                      <w:sz w:val="21"/>
                      <w:szCs w:val="21"/>
                    </w:rPr>
                    <w:t>吨包袋（1t/袋）、25kg/袋</w:t>
                  </w:r>
                </w:p>
              </w:tc>
              <w:tc>
                <w:tcPr>
                  <w:tcW w:w="1547" w:type="pct"/>
                  <w:tcBorders>
                    <w:tl2br w:val="nil"/>
                    <w:tr2bl w:val="nil"/>
                  </w:tcBorders>
                  <w:vAlign w:val="center"/>
                </w:tcPr>
                <w:p w14:paraId="2A4A4910">
                  <w:pPr>
                    <w:spacing w:line="240" w:lineRule="auto"/>
                    <w:ind w:firstLine="0" w:firstLineChars="0"/>
                    <w:jc w:val="center"/>
                    <w:rPr>
                      <w:color w:val="000000" w:themeColor="text1"/>
                      <w:sz w:val="21"/>
                      <w:szCs w:val="21"/>
                    </w:rPr>
                  </w:pPr>
                  <w:r>
                    <w:rPr>
                      <w:rFonts w:hint="eastAsia"/>
                      <w:color w:val="000000" w:themeColor="text1"/>
                      <w:sz w:val="21"/>
                      <w:szCs w:val="21"/>
                    </w:rPr>
                    <w:t>外售，根据客户要求吨包袋装或小袋包装，吨包袋装产品约为6172t/a、25kg/袋产品约为3500t/a</w:t>
                  </w:r>
                </w:p>
              </w:tc>
            </w:tr>
            <w:tr w14:paraId="08F76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7" w:type="pct"/>
                  <w:vMerge w:val="continue"/>
                  <w:tcBorders>
                    <w:tl2br w:val="nil"/>
                    <w:tr2bl w:val="nil"/>
                  </w:tcBorders>
                  <w:shd w:val="clear" w:color="auto" w:fill="auto"/>
                  <w:vAlign w:val="center"/>
                </w:tcPr>
                <w:p w14:paraId="784E7379">
                  <w:pPr>
                    <w:spacing w:line="240" w:lineRule="auto"/>
                    <w:ind w:firstLine="0" w:firstLineChars="0"/>
                    <w:jc w:val="center"/>
                    <w:rPr>
                      <w:color w:val="000000" w:themeColor="text1"/>
                      <w:sz w:val="21"/>
                      <w:szCs w:val="21"/>
                    </w:rPr>
                  </w:pPr>
                </w:p>
              </w:tc>
              <w:tc>
                <w:tcPr>
                  <w:tcW w:w="561" w:type="pct"/>
                  <w:tcBorders>
                    <w:tl2br w:val="nil"/>
                    <w:tr2bl w:val="nil"/>
                  </w:tcBorders>
                  <w:vAlign w:val="center"/>
                </w:tcPr>
                <w:p w14:paraId="73518B4E">
                  <w:pPr>
                    <w:spacing w:line="240" w:lineRule="auto"/>
                    <w:ind w:firstLine="0" w:firstLineChars="0"/>
                    <w:jc w:val="center"/>
                    <w:rPr>
                      <w:color w:val="000000" w:themeColor="text1"/>
                      <w:sz w:val="21"/>
                      <w:szCs w:val="21"/>
                    </w:rPr>
                  </w:pPr>
                  <w:r>
                    <w:rPr>
                      <w:rFonts w:hint="eastAsia"/>
                      <w:color w:val="000000" w:themeColor="text1"/>
                      <w:sz w:val="21"/>
                      <w:szCs w:val="21"/>
                    </w:rPr>
                    <w:t>328</w:t>
                  </w:r>
                </w:p>
              </w:tc>
              <w:tc>
                <w:tcPr>
                  <w:tcW w:w="416" w:type="pct"/>
                  <w:vMerge w:val="continue"/>
                  <w:tcBorders>
                    <w:tl2br w:val="nil"/>
                    <w:tr2bl w:val="nil"/>
                  </w:tcBorders>
                  <w:vAlign w:val="center"/>
                </w:tcPr>
                <w:p w14:paraId="5B444B0C">
                  <w:pPr>
                    <w:spacing w:line="240" w:lineRule="auto"/>
                    <w:ind w:firstLine="0" w:firstLineChars="0"/>
                    <w:jc w:val="center"/>
                    <w:rPr>
                      <w:color w:val="000000" w:themeColor="text1"/>
                      <w:sz w:val="21"/>
                      <w:szCs w:val="21"/>
                    </w:rPr>
                  </w:pPr>
                </w:p>
              </w:tc>
              <w:tc>
                <w:tcPr>
                  <w:tcW w:w="720" w:type="pct"/>
                  <w:vMerge w:val="continue"/>
                  <w:tcBorders>
                    <w:tl2br w:val="nil"/>
                    <w:tr2bl w:val="nil"/>
                  </w:tcBorders>
                  <w:vAlign w:val="center"/>
                </w:tcPr>
                <w:p w14:paraId="5212B7C9">
                  <w:pPr>
                    <w:spacing w:line="240" w:lineRule="auto"/>
                    <w:ind w:firstLine="0" w:firstLineChars="0"/>
                    <w:jc w:val="center"/>
                    <w:rPr>
                      <w:color w:val="000000" w:themeColor="text1"/>
                      <w:sz w:val="21"/>
                      <w:szCs w:val="21"/>
                    </w:rPr>
                  </w:pPr>
                </w:p>
              </w:tc>
              <w:tc>
                <w:tcPr>
                  <w:tcW w:w="1086" w:type="pct"/>
                  <w:tcBorders>
                    <w:tl2br w:val="nil"/>
                    <w:tr2bl w:val="nil"/>
                  </w:tcBorders>
                  <w:vAlign w:val="center"/>
                </w:tcPr>
                <w:p w14:paraId="0F01B21B">
                  <w:pPr>
                    <w:spacing w:line="240" w:lineRule="auto"/>
                    <w:ind w:firstLine="0" w:firstLineChars="0"/>
                    <w:jc w:val="center"/>
                    <w:rPr>
                      <w:color w:val="000000" w:themeColor="text1"/>
                      <w:sz w:val="21"/>
                      <w:szCs w:val="21"/>
                    </w:rPr>
                  </w:pPr>
                  <w:r>
                    <w:rPr>
                      <w:rFonts w:hint="eastAsia"/>
                      <w:color w:val="000000" w:themeColor="text1"/>
                      <w:sz w:val="21"/>
                      <w:szCs w:val="21"/>
                    </w:rPr>
                    <w:t>吨包袋（1t/袋）</w:t>
                  </w:r>
                </w:p>
              </w:tc>
              <w:tc>
                <w:tcPr>
                  <w:tcW w:w="1547" w:type="pct"/>
                  <w:tcBorders>
                    <w:tl2br w:val="nil"/>
                    <w:tr2bl w:val="nil"/>
                  </w:tcBorders>
                  <w:vAlign w:val="center"/>
                </w:tcPr>
                <w:p w14:paraId="33EFCEC9">
                  <w:pPr>
                    <w:spacing w:line="240" w:lineRule="auto"/>
                    <w:ind w:firstLine="0" w:firstLineChars="0"/>
                    <w:jc w:val="center"/>
                    <w:rPr>
                      <w:color w:val="000000" w:themeColor="text1"/>
                      <w:sz w:val="21"/>
                      <w:szCs w:val="21"/>
                    </w:rPr>
                  </w:pPr>
                  <w:r>
                    <w:rPr>
                      <w:rFonts w:hint="eastAsia"/>
                      <w:color w:val="000000" w:themeColor="text1"/>
                      <w:sz w:val="21"/>
                      <w:szCs w:val="21"/>
                    </w:rPr>
                    <w:t>自用，用于热风炉燃料为烘干机提供热源</w:t>
                  </w:r>
                </w:p>
              </w:tc>
            </w:tr>
            <w:tr w14:paraId="68CEB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7" w:type="pct"/>
                  <w:tcBorders>
                    <w:tl2br w:val="nil"/>
                    <w:tr2bl w:val="nil"/>
                  </w:tcBorders>
                  <w:shd w:val="clear" w:color="auto" w:fill="auto"/>
                  <w:vAlign w:val="center"/>
                </w:tcPr>
                <w:p w14:paraId="4405067D">
                  <w:pPr>
                    <w:spacing w:line="240" w:lineRule="auto"/>
                    <w:ind w:firstLine="0" w:firstLineChars="0"/>
                    <w:jc w:val="center"/>
                    <w:rPr>
                      <w:color w:val="000000" w:themeColor="text1"/>
                      <w:sz w:val="21"/>
                      <w:szCs w:val="21"/>
                    </w:rPr>
                  </w:pPr>
                  <w:r>
                    <w:rPr>
                      <w:rFonts w:hint="eastAsia"/>
                      <w:color w:val="000000" w:themeColor="text1"/>
                      <w:sz w:val="21"/>
                      <w:szCs w:val="21"/>
                    </w:rPr>
                    <w:t>合计</w:t>
                  </w:r>
                </w:p>
              </w:tc>
              <w:tc>
                <w:tcPr>
                  <w:tcW w:w="561" w:type="pct"/>
                  <w:tcBorders>
                    <w:tl2br w:val="nil"/>
                    <w:tr2bl w:val="nil"/>
                  </w:tcBorders>
                  <w:vAlign w:val="center"/>
                </w:tcPr>
                <w:p w14:paraId="67128B8F">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416" w:type="pct"/>
                  <w:vMerge w:val="continue"/>
                  <w:tcBorders>
                    <w:tl2br w:val="nil"/>
                    <w:tr2bl w:val="nil"/>
                  </w:tcBorders>
                  <w:vAlign w:val="center"/>
                </w:tcPr>
                <w:p w14:paraId="6B7E4FE9">
                  <w:pPr>
                    <w:spacing w:line="240" w:lineRule="auto"/>
                    <w:ind w:firstLine="0" w:firstLineChars="0"/>
                    <w:jc w:val="center"/>
                    <w:rPr>
                      <w:color w:val="000000" w:themeColor="text1"/>
                      <w:sz w:val="21"/>
                      <w:szCs w:val="21"/>
                    </w:rPr>
                  </w:pPr>
                </w:p>
              </w:tc>
              <w:tc>
                <w:tcPr>
                  <w:tcW w:w="720" w:type="pct"/>
                  <w:vMerge w:val="continue"/>
                  <w:tcBorders>
                    <w:tl2br w:val="nil"/>
                    <w:tr2bl w:val="nil"/>
                  </w:tcBorders>
                  <w:vAlign w:val="center"/>
                </w:tcPr>
                <w:p w14:paraId="3662A687">
                  <w:pPr>
                    <w:spacing w:line="240" w:lineRule="auto"/>
                    <w:ind w:firstLine="0" w:firstLineChars="0"/>
                    <w:jc w:val="center"/>
                    <w:rPr>
                      <w:color w:val="000000" w:themeColor="text1"/>
                      <w:sz w:val="21"/>
                      <w:szCs w:val="21"/>
                    </w:rPr>
                  </w:pPr>
                </w:p>
              </w:tc>
              <w:tc>
                <w:tcPr>
                  <w:tcW w:w="1086" w:type="pct"/>
                  <w:tcBorders>
                    <w:tl2br w:val="nil"/>
                    <w:tr2bl w:val="nil"/>
                  </w:tcBorders>
                  <w:vAlign w:val="center"/>
                </w:tcPr>
                <w:p w14:paraId="2FAC1D7C">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1547" w:type="pct"/>
                  <w:tcBorders>
                    <w:tl2br w:val="nil"/>
                    <w:tr2bl w:val="nil"/>
                  </w:tcBorders>
                  <w:vAlign w:val="center"/>
                </w:tcPr>
                <w:p w14:paraId="6AC63F3F">
                  <w:pPr>
                    <w:spacing w:line="240" w:lineRule="auto"/>
                    <w:ind w:firstLine="0" w:firstLineChars="0"/>
                    <w:jc w:val="center"/>
                    <w:rPr>
                      <w:color w:val="000000" w:themeColor="text1"/>
                      <w:sz w:val="21"/>
                      <w:szCs w:val="21"/>
                    </w:rPr>
                  </w:pPr>
                  <w:r>
                    <w:rPr>
                      <w:rFonts w:hint="eastAsia"/>
                      <w:color w:val="000000" w:themeColor="text1"/>
                      <w:sz w:val="21"/>
                      <w:szCs w:val="21"/>
                    </w:rPr>
                    <w:t>/</w:t>
                  </w:r>
                </w:p>
              </w:tc>
            </w:tr>
          </w:tbl>
          <w:p w14:paraId="753B9B0D">
            <w:pPr>
              <w:ind w:firstLine="480"/>
              <w:rPr>
                <w:color w:val="000000" w:themeColor="text1"/>
              </w:rPr>
            </w:pPr>
            <w:r>
              <w:rPr>
                <w:rFonts w:hint="eastAsia"/>
                <w:color w:val="000000" w:themeColor="text1"/>
              </w:rPr>
              <w:t>生物质能源颗粒产品执行《生物质成型燃料质量分级》（NB/T34024-2015）标准要求，见下表。</w:t>
            </w:r>
          </w:p>
          <w:p w14:paraId="06E4A9FC">
            <w:pPr>
              <w:ind w:firstLine="0" w:firstLineChars="0"/>
              <w:jc w:val="center"/>
              <w:rPr>
                <w:b/>
                <w:bCs/>
                <w:color w:val="000000" w:themeColor="text1"/>
                <w:sz w:val="21"/>
                <w:szCs w:val="21"/>
              </w:rPr>
            </w:pPr>
            <w:r>
              <w:rPr>
                <w:rFonts w:hint="eastAsia"/>
                <w:b/>
                <w:bCs/>
                <w:color w:val="000000" w:themeColor="text1"/>
                <w:sz w:val="21"/>
                <w:szCs w:val="21"/>
              </w:rPr>
              <w:t>表12   生物质燃料分级指标</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288"/>
              <w:gridCol w:w="1303"/>
              <w:gridCol w:w="1531"/>
              <w:gridCol w:w="1531"/>
              <w:gridCol w:w="1396"/>
            </w:tblGrid>
            <w:tr w14:paraId="5D59F9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6B084414">
                  <w:pPr>
                    <w:pStyle w:val="65"/>
                    <w:autoSpaceDE/>
                    <w:autoSpaceDN/>
                    <w:spacing w:line="240" w:lineRule="auto"/>
                    <w:ind w:firstLine="0" w:firstLineChars="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pacing w:val="-2"/>
                      <w:sz w:val="21"/>
                      <w:szCs w:val="21"/>
                    </w:rPr>
                    <w:t>燃料属性</w:t>
                  </w:r>
                </w:p>
              </w:tc>
              <w:tc>
                <w:tcPr>
                  <w:tcW w:w="810" w:type="pct"/>
                  <w:tcBorders>
                    <w:tl2br w:val="nil"/>
                    <w:tr2bl w:val="nil"/>
                  </w:tcBorders>
                  <w:vAlign w:val="center"/>
                </w:tcPr>
                <w:p w14:paraId="7171CBDD">
                  <w:pPr>
                    <w:pStyle w:val="65"/>
                    <w:autoSpaceDE/>
                    <w:autoSpaceDN/>
                    <w:spacing w:line="240" w:lineRule="auto"/>
                    <w:ind w:firstLine="0" w:firstLineChars="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pacing w:val="-2"/>
                      <w:sz w:val="21"/>
                      <w:szCs w:val="21"/>
                    </w:rPr>
                    <w:t>单位</w:t>
                  </w:r>
                </w:p>
              </w:tc>
              <w:tc>
                <w:tcPr>
                  <w:tcW w:w="950" w:type="pct"/>
                  <w:tcBorders>
                    <w:tl2br w:val="nil"/>
                    <w:tr2bl w:val="nil"/>
                  </w:tcBorders>
                  <w:vAlign w:val="center"/>
                </w:tcPr>
                <w:p w14:paraId="5FADCE23">
                  <w:pPr>
                    <w:pStyle w:val="65"/>
                    <w:autoSpaceDE/>
                    <w:autoSpaceDN/>
                    <w:spacing w:line="240" w:lineRule="auto"/>
                    <w:ind w:firstLine="0" w:firstLineChars="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pacing w:val="4"/>
                      <w:sz w:val="21"/>
                      <w:szCs w:val="21"/>
                    </w:rPr>
                    <w:t>1级</w:t>
                  </w:r>
                </w:p>
              </w:tc>
              <w:tc>
                <w:tcPr>
                  <w:tcW w:w="950" w:type="pct"/>
                  <w:tcBorders>
                    <w:tl2br w:val="nil"/>
                    <w:tr2bl w:val="nil"/>
                  </w:tcBorders>
                  <w:vAlign w:val="center"/>
                </w:tcPr>
                <w:p w14:paraId="63BBECD1">
                  <w:pPr>
                    <w:pStyle w:val="65"/>
                    <w:autoSpaceDE/>
                    <w:autoSpaceDN/>
                    <w:spacing w:line="240" w:lineRule="auto"/>
                    <w:ind w:firstLine="0" w:firstLineChars="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pacing w:val="-2"/>
                      <w:sz w:val="21"/>
                      <w:szCs w:val="21"/>
                    </w:rPr>
                    <w:t>2级</w:t>
                  </w:r>
                </w:p>
              </w:tc>
              <w:tc>
                <w:tcPr>
                  <w:tcW w:w="866" w:type="pct"/>
                  <w:tcBorders>
                    <w:tl2br w:val="nil"/>
                    <w:tr2bl w:val="nil"/>
                  </w:tcBorders>
                  <w:vAlign w:val="center"/>
                </w:tcPr>
                <w:p w14:paraId="10ADD6F4">
                  <w:pPr>
                    <w:pStyle w:val="65"/>
                    <w:autoSpaceDE/>
                    <w:autoSpaceDN/>
                    <w:spacing w:line="240" w:lineRule="auto"/>
                    <w:ind w:firstLine="0" w:firstLineChars="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pacing w:val="-2"/>
                      <w:sz w:val="21"/>
                      <w:szCs w:val="21"/>
                    </w:rPr>
                    <w:t>3级</w:t>
                  </w:r>
                </w:p>
              </w:tc>
            </w:tr>
            <w:tr w14:paraId="3C75B3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61A2F25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2"/>
                      <w:sz w:val="21"/>
                      <w:szCs w:val="21"/>
                    </w:rPr>
                    <w:t>堆积密度</w:t>
                  </w:r>
                </w:p>
              </w:tc>
              <w:tc>
                <w:tcPr>
                  <w:tcW w:w="810" w:type="pct"/>
                  <w:tcBorders>
                    <w:tl2br w:val="nil"/>
                    <w:tr2bl w:val="nil"/>
                  </w:tcBorders>
                  <w:vAlign w:val="center"/>
                </w:tcPr>
                <w:p w14:paraId="3C253AB6">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
                      <w:sz w:val="21"/>
                      <w:szCs w:val="21"/>
                    </w:rPr>
                    <w:t>kg/m³</w:t>
                  </w:r>
                </w:p>
              </w:tc>
              <w:tc>
                <w:tcPr>
                  <w:tcW w:w="950" w:type="pct"/>
                  <w:tcBorders>
                    <w:tl2br w:val="nil"/>
                    <w:tr2bl w:val="nil"/>
                  </w:tcBorders>
                  <w:vAlign w:val="center"/>
                </w:tcPr>
                <w:p w14:paraId="2E3CEF4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w:t>
                  </w:r>
                  <w:r>
                    <w:rPr>
                      <w:rFonts w:hint="eastAsia" w:ascii="Times New Roman" w:hAnsi="Times New Roman" w:cs="Times New Roman"/>
                      <w:color w:val="000000" w:themeColor="text1"/>
                      <w:spacing w:val="-4"/>
                      <w:sz w:val="21"/>
                      <w:szCs w:val="21"/>
                      <w:lang w:eastAsia="zh-CN"/>
                    </w:rPr>
                    <w:t>6</w:t>
                  </w:r>
                  <w:r>
                    <w:rPr>
                      <w:rFonts w:ascii="Times New Roman" w:hAnsi="Times New Roman" w:cs="Times New Roman"/>
                      <w:color w:val="000000" w:themeColor="text1"/>
                      <w:spacing w:val="-4"/>
                      <w:sz w:val="21"/>
                      <w:szCs w:val="21"/>
                    </w:rPr>
                    <w:t>00</w:t>
                  </w:r>
                </w:p>
              </w:tc>
              <w:tc>
                <w:tcPr>
                  <w:tcW w:w="950" w:type="pct"/>
                  <w:tcBorders>
                    <w:tl2br w:val="nil"/>
                    <w:tr2bl w:val="nil"/>
                  </w:tcBorders>
                  <w:vAlign w:val="center"/>
                </w:tcPr>
                <w:p w14:paraId="714E9AB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w:t>
                  </w:r>
                  <w:r>
                    <w:rPr>
                      <w:rFonts w:hint="eastAsia" w:ascii="Times New Roman" w:hAnsi="Times New Roman" w:cs="Times New Roman"/>
                      <w:color w:val="000000" w:themeColor="text1"/>
                      <w:spacing w:val="-4"/>
                      <w:sz w:val="21"/>
                      <w:szCs w:val="21"/>
                      <w:lang w:eastAsia="zh-CN"/>
                    </w:rPr>
                    <w:t>5</w:t>
                  </w:r>
                  <w:r>
                    <w:rPr>
                      <w:rFonts w:ascii="Times New Roman" w:hAnsi="Times New Roman" w:cs="Times New Roman"/>
                      <w:color w:val="000000" w:themeColor="text1"/>
                      <w:spacing w:val="-4"/>
                      <w:sz w:val="21"/>
                      <w:szCs w:val="21"/>
                    </w:rPr>
                    <w:t>00</w:t>
                  </w:r>
                </w:p>
              </w:tc>
              <w:tc>
                <w:tcPr>
                  <w:tcW w:w="866" w:type="pct"/>
                  <w:tcBorders>
                    <w:tl2br w:val="nil"/>
                    <w:tr2bl w:val="nil"/>
                  </w:tcBorders>
                  <w:vAlign w:val="center"/>
                </w:tcPr>
                <w:p w14:paraId="4B9E4CA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w:t>
                  </w:r>
                  <w:r>
                    <w:rPr>
                      <w:rFonts w:hint="eastAsia" w:ascii="Times New Roman" w:hAnsi="Times New Roman" w:cs="Times New Roman"/>
                      <w:color w:val="000000" w:themeColor="text1"/>
                      <w:spacing w:val="-5"/>
                      <w:sz w:val="21"/>
                      <w:szCs w:val="21"/>
                      <w:lang w:eastAsia="zh-CN"/>
                    </w:rPr>
                    <w:t>5</w:t>
                  </w:r>
                  <w:r>
                    <w:rPr>
                      <w:rFonts w:ascii="Times New Roman" w:hAnsi="Times New Roman" w:cs="Times New Roman"/>
                      <w:color w:val="000000" w:themeColor="text1"/>
                      <w:spacing w:val="-5"/>
                      <w:sz w:val="21"/>
                      <w:szCs w:val="21"/>
                    </w:rPr>
                    <w:t>00</w:t>
                  </w:r>
                </w:p>
              </w:tc>
            </w:tr>
            <w:tr w14:paraId="7CC75C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0339F28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
                      <w:sz w:val="21"/>
                      <w:szCs w:val="21"/>
                    </w:rPr>
                    <w:t>机械耐久性</w:t>
                  </w:r>
                </w:p>
              </w:tc>
              <w:tc>
                <w:tcPr>
                  <w:tcW w:w="810" w:type="pct"/>
                  <w:tcBorders>
                    <w:tl2br w:val="nil"/>
                    <w:tr2bl w:val="nil"/>
                  </w:tcBorders>
                  <w:vAlign w:val="center"/>
                </w:tcPr>
                <w:p w14:paraId="3764F096">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950" w:type="pct"/>
                  <w:tcBorders>
                    <w:tl2br w:val="nil"/>
                    <w:tr2bl w:val="nil"/>
                  </w:tcBorders>
                  <w:vAlign w:val="center"/>
                </w:tcPr>
                <w:p w14:paraId="4049F53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≥97.5</w:t>
                  </w:r>
                </w:p>
              </w:tc>
              <w:tc>
                <w:tcPr>
                  <w:tcW w:w="950" w:type="pct"/>
                  <w:tcBorders>
                    <w:tl2br w:val="nil"/>
                    <w:tr2bl w:val="nil"/>
                  </w:tcBorders>
                  <w:vAlign w:val="center"/>
                </w:tcPr>
                <w:p w14:paraId="62A8EA5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≥97.5</w:t>
                  </w:r>
                </w:p>
              </w:tc>
              <w:tc>
                <w:tcPr>
                  <w:tcW w:w="866" w:type="pct"/>
                  <w:tcBorders>
                    <w:tl2br w:val="nil"/>
                    <w:tr2bl w:val="nil"/>
                  </w:tcBorders>
                  <w:vAlign w:val="center"/>
                </w:tcPr>
                <w:p w14:paraId="3198424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≥95</w:t>
                  </w:r>
                </w:p>
              </w:tc>
            </w:tr>
            <w:tr w14:paraId="2053D1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5A2C679A">
                  <w:pPr>
                    <w:pStyle w:val="65"/>
                    <w:autoSpaceDE/>
                    <w:autoSpaceDN/>
                    <w:spacing w:line="240" w:lineRule="auto"/>
                    <w:ind w:firstLine="0" w:firstLineChars="0"/>
                    <w:jc w:val="center"/>
                    <w:rPr>
                      <w:rFonts w:ascii="Times New Roman" w:hAnsi="Times New Roman" w:cs="Times New Roman"/>
                      <w:color w:val="000000" w:themeColor="text1"/>
                      <w:spacing w:val="-1"/>
                      <w:sz w:val="21"/>
                      <w:szCs w:val="21"/>
                      <w:lang w:eastAsia="zh-CN"/>
                    </w:rPr>
                  </w:pPr>
                  <w:r>
                    <w:rPr>
                      <w:rFonts w:hint="eastAsia" w:ascii="Times New Roman" w:hAnsi="Times New Roman" w:cs="Times New Roman"/>
                      <w:color w:val="000000" w:themeColor="text1"/>
                      <w:spacing w:val="-1"/>
                      <w:sz w:val="21"/>
                      <w:szCs w:val="21"/>
                      <w:lang w:eastAsia="zh-CN"/>
                    </w:rPr>
                    <w:t>小于3.15mm颗粒量</w:t>
                  </w:r>
                </w:p>
              </w:tc>
              <w:tc>
                <w:tcPr>
                  <w:tcW w:w="810" w:type="pct"/>
                  <w:tcBorders>
                    <w:tl2br w:val="nil"/>
                    <w:tr2bl w:val="nil"/>
                  </w:tcBorders>
                  <w:vAlign w:val="center"/>
                </w:tcPr>
                <w:p w14:paraId="2692827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w:t>
                  </w:r>
                </w:p>
              </w:tc>
              <w:tc>
                <w:tcPr>
                  <w:tcW w:w="950" w:type="pct"/>
                  <w:tcBorders>
                    <w:tl2br w:val="nil"/>
                    <w:tr2bl w:val="nil"/>
                  </w:tcBorders>
                  <w:vAlign w:val="center"/>
                </w:tcPr>
                <w:p w14:paraId="2015947D">
                  <w:pPr>
                    <w:pStyle w:val="65"/>
                    <w:autoSpaceDE/>
                    <w:autoSpaceDN/>
                    <w:spacing w:line="240" w:lineRule="auto"/>
                    <w:ind w:firstLine="0" w:firstLineChars="0"/>
                    <w:jc w:val="center"/>
                    <w:rPr>
                      <w:rFonts w:ascii="Times New Roman" w:hAnsi="Times New Roman" w:cs="Times New Roman"/>
                      <w:color w:val="000000" w:themeColor="text1"/>
                      <w:spacing w:val="-5"/>
                      <w:sz w:val="21"/>
                      <w:szCs w:val="21"/>
                      <w:lang w:eastAsia="zh-CN"/>
                    </w:rPr>
                  </w:pPr>
                  <w:r>
                    <w:rPr>
                      <w:rFonts w:ascii="Times New Roman" w:hAnsi="Times New Roman" w:cs="Times New Roman"/>
                      <w:color w:val="000000" w:themeColor="text1"/>
                      <w:spacing w:val="-5"/>
                      <w:sz w:val="21"/>
                      <w:szCs w:val="21"/>
                    </w:rPr>
                    <w:t>≤</w:t>
                  </w:r>
                  <w:r>
                    <w:rPr>
                      <w:rFonts w:hint="eastAsia" w:ascii="Times New Roman" w:hAnsi="Times New Roman" w:cs="Times New Roman"/>
                      <w:color w:val="000000" w:themeColor="text1"/>
                      <w:spacing w:val="-5"/>
                      <w:sz w:val="21"/>
                      <w:szCs w:val="21"/>
                      <w:lang w:eastAsia="zh-CN"/>
                    </w:rPr>
                    <w:t>1.0</w:t>
                  </w:r>
                </w:p>
              </w:tc>
              <w:tc>
                <w:tcPr>
                  <w:tcW w:w="950" w:type="pct"/>
                  <w:tcBorders>
                    <w:tl2br w:val="nil"/>
                    <w:tr2bl w:val="nil"/>
                  </w:tcBorders>
                  <w:vAlign w:val="center"/>
                </w:tcPr>
                <w:p w14:paraId="1A93DECA">
                  <w:pPr>
                    <w:pStyle w:val="65"/>
                    <w:autoSpaceDE/>
                    <w:autoSpaceDN/>
                    <w:spacing w:line="240" w:lineRule="auto"/>
                    <w:ind w:firstLine="0" w:firstLineChars="0"/>
                    <w:jc w:val="center"/>
                    <w:rPr>
                      <w:rFonts w:ascii="Times New Roman" w:hAnsi="Times New Roman" w:cs="Times New Roman"/>
                      <w:color w:val="000000" w:themeColor="text1"/>
                      <w:spacing w:val="-5"/>
                      <w:sz w:val="21"/>
                      <w:szCs w:val="21"/>
                    </w:rPr>
                  </w:pPr>
                  <w:r>
                    <w:rPr>
                      <w:rFonts w:ascii="Times New Roman" w:hAnsi="Times New Roman" w:cs="Times New Roman"/>
                      <w:color w:val="000000" w:themeColor="text1"/>
                      <w:spacing w:val="-5"/>
                      <w:sz w:val="21"/>
                      <w:szCs w:val="21"/>
                    </w:rPr>
                    <w:t>≤</w:t>
                  </w:r>
                  <w:r>
                    <w:rPr>
                      <w:rFonts w:hint="eastAsia" w:ascii="Times New Roman" w:hAnsi="Times New Roman" w:cs="Times New Roman"/>
                      <w:color w:val="000000" w:themeColor="text1"/>
                      <w:spacing w:val="-5"/>
                      <w:sz w:val="21"/>
                      <w:szCs w:val="21"/>
                      <w:lang w:eastAsia="zh-CN"/>
                    </w:rPr>
                    <w:t>1.0</w:t>
                  </w:r>
                </w:p>
              </w:tc>
              <w:tc>
                <w:tcPr>
                  <w:tcW w:w="866" w:type="pct"/>
                  <w:tcBorders>
                    <w:tl2br w:val="nil"/>
                    <w:tr2bl w:val="nil"/>
                  </w:tcBorders>
                  <w:vAlign w:val="center"/>
                </w:tcPr>
                <w:p w14:paraId="7043BC7F">
                  <w:pPr>
                    <w:pStyle w:val="65"/>
                    <w:autoSpaceDE/>
                    <w:autoSpaceDN/>
                    <w:spacing w:line="240" w:lineRule="auto"/>
                    <w:ind w:firstLine="0" w:firstLineChars="0"/>
                    <w:jc w:val="center"/>
                    <w:rPr>
                      <w:rFonts w:ascii="Times New Roman" w:hAnsi="Times New Roman" w:cs="Times New Roman"/>
                      <w:color w:val="000000" w:themeColor="text1"/>
                      <w:spacing w:val="-6"/>
                      <w:sz w:val="21"/>
                      <w:szCs w:val="21"/>
                    </w:rPr>
                  </w:pPr>
                  <w:r>
                    <w:rPr>
                      <w:rFonts w:ascii="Times New Roman" w:hAnsi="Times New Roman" w:cs="Times New Roman"/>
                      <w:color w:val="000000" w:themeColor="text1"/>
                      <w:spacing w:val="-5"/>
                      <w:sz w:val="21"/>
                      <w:szCs w:val="21"/>
                    </w:rPr>
                    <w:t>≤</w:t>
                  </w:r>
                  <w:r>
                    <w:rPr>
                      <w:rFonts w:hint="eastAsia" w:ascii="Times New Roman" w:hAnsi="Times New Roman" w:cs="Times New Roman"/>
                      <w:color w:val="000000" w:themeColor="text1"/>
                      <w:spacing w:val="-5"/>
                      <w:sz w:val="21"/>
                      <w:szCs w:val="21"/>
                      <w:lang w:eastAsia="zh-CN"/>
                    </w:rPr>
                    <w:t>1.0</w:t>
                  </w:r>
                </w:p>
              </w:tc>
            </w:tr>
            <w:tr w14:paraId="15CBF0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47EB2B6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全水分</w:t>
                  </w:r>
                  <w:r>
                    <w:rPr>
                      <w:rFonts w:ascii="Times New Roman" w:hAnsi="Times New Roman" w:cs="Times New Roman"/>
                      <w:color w:val="000000" w:themeColor="text1"/>
                      <w:spacing w:val="4"/>
                      <w:sz w:val="21"/>
                      <w:szCs w:val="21"/>
                      <w:lang w:eastAsia="zh-CN"/>
                    </w:rPr>
                    <w:t>（</w:t>
                  </w:r>
                  <w:r>
                    <w:rPr>
                      <w:rFonts w:ascii="Times New Roman" w:hAnsi="Times New Roman" w:cs="Times New Roman"/>
                      <w:color w:val="000000" w:themeColor="text1"/>
                      <w:spacing w:val="4"/>
                      <w:sz w:val="21"/>
                      <w:szCs w:val="21"/>
                    </w:rPr>
                    <w:t>收到基</w:t>
                  </w:r>
                  <w:r>
                    <w:rPr>
                      <w:rFonts w:ascii="Times New Roman" w:hAnsi="Times New Roman" w:cs="Times New Roman"/>
                      <w:color w:val="000000" w:themeColor="text1"/>
                      <w:spacing w:val="4"/>
                      <w:sz w:val="21"/>
                      <w:szCs w:val="21"/>
                      <w:lang w:eastAsia="zh-CN"/>
                    </w:rPr>
                    <w:t>）</w:t>
                  </w:r>
                </w:p>
              </w:tc>
              <w:tc>
                <w:tcPr>
                  <w:tcW w:w="810" w:type="pct"/>
                  <w:tcBorders>
                    <w:tl2br w:val="nil"/>
                    <w:tr2bl w:val="nil"/>
                  </w:tcBorders>
                  <w:vAlign w:val="center"/>
                </w:tcPr>
                <w:p w14:paraId="665EE94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950" w:type="pct"/>
                  <w:tcBorders>
                    <w:tl2br w:val="nil"/>
                    <w:tr2bl w:val="nil"/>
                  </w:tcBorders>
                  <w:vAlign w:val="center"/>
                </w:tcPr>
                <w:p w14:paraId="57C94460">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rPr>
                    <w:t>≤</w:t>
                  </w:r>
                  <w:r>
                    <w:rPr>
                      <w:rFonts w:hint="eastAsia" w:ascii="Times New Roman" w:hAnsi="Times New Roman" w:cs="Times New Roman"/>
                      <w:color w:val="000000" w:themeColor="text1"/>
                      <w:spacing w:val="-5"/>
                      <w:sz w:val="21"/>
                      <w:szCs w:val="21"/>
                      <w:lang w:eastAsia="zh-CN"/>
                    </w:rPr>
                    <w:t>8</w:t>
                  </w:r>
                </w:p>
              </w:tc>
              <w:tc>
                <w:tcPr>
                  <w:tcW w:w="950" w:type="pct"/>
                  <w:tcBorders>
                    <w:tl2br w:val="nil"/>
                    <w:tr2bl w:val="nil"/>
                  </w:tcBorders>
                  <w:vAlign w:val="center"/>
                </w:tcPr>
                <w:p w14:paraId="3F9C826C">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rPr>
                    <w:t>≤1</w:t>
                  </w:r>
                  <w:r>
                    <w:rPr>
                      <w:rFonts w:hint="eastAsia" w:ascii="Times New Roman" w:hAnsi="Times New Roman" w:cs="Times New Roman"/>
                      <w:color w:val="000000" w:themeColor="text1"/>
                      <w:spacing w:val="-5"/>
                      <w:sz w:val="21"/>
                      <w:szCs w:val="21"/>
                      <w:lang w:eastAsia="zh-CN"/>
                    </w:rPr>
                    <w:t>0</w:t>
                  </w:r>
                </w:p>
              </w:tc>
              <w:tc>
                <w:tcPr>
                  <w:tcW w:w="866" w:type="pct"/>
                  <w:tcBorders>
                    <w:tl2br w:val="nil"/>
                    <w:tr2bl w:val="nil"/>
                  </w:tcBorders>
                  <w:vAlign w:val="center"/>
                </w:tcPr>
                <w:p w14:paraId="77839BC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rPr>
                    <w:t>≤1</w:t>
                  </w:r>
                  <w:r>
                    <w:rPr>
                      <w:rFonts w:hint="eastAsia" w:ascii="Times New Roman" w:hAnsi="Times New Roman" w:cs="Times New Roman"/>
                      <w:color w:val="000000" w:themeColor="text1"/>
                      <w:spacing w:val="-5"/>
                      <w:sz w:val="21"/>
                      <w:szCs w:val="21"/>
                      <w:lang w:eastAsia="zh-CN"/>
                    </w:rPr>
                    <w:t>2</w:t>
                  </w:r>
                </w:p>
              </w:tc>
            </w:tr>
            <w:tr w14:paraId="2E06F3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4115783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灰分</w:t>
                  </w:r>
                  <w:r>
                    <w:rPr>
                      <w:rFonts w:ascii="Times New Roman" w:hAnsi="Times New Roman" w:cs="Times New Roman"/>
                      <w:color w:val="000000" w:themeColor="text1"/>
                      <w:spacing w:val="5"/>
                      <w:sz w:val="21"/>
                      <w:szCs w:val="21"/>
                      <w:lang w:eastAsia="zh-CN"/>
                    </w:rPr>
                    <w:t>（</w:t>
                  </w:r>
                  <w:r>
                    <w:rPr>
                      <w:rFonts w:ascii="Times New Roman" w:hAnsi="Times New Roman" w:cs="Times New Roman"/>
                      <w:color w:val="000000" w:themeColor="text1"/>
                      <w:spacing w:val="5"/>
                      <w:sz w:val="21"/>
                      <w:szCs w:val="21"/>
                    </w:rPr>
                    <w:t>干燥基</w:t>
                  </w:r>
                  <w:r>
                    <w:rPr>
                      <w:rFonts w:ascii="Times New Roman" w:hAnsi="Times New Roman" w:cs="Times New Roman"/>
                      <w:color w:val="000000" w:themeColor="text1"/>
                      <w:spacing w:val="5"/>
                      <w:sz w:val="21"/>
                      <w:szCs w:val="21"/>
                      <w:lang w:eastAsia="zh-CN"/>
                    </w:rPr>
                    <w:t>）</w:t>
                  </w:r>
                </w:p>
              </w:tc>
              <w:tc>
                <w:tcPr>
                  <w:tcW w:w="810" w:type="pct"/>
                  <w:tcBorders>
                    <w:tl2br w:val="nil"/>
                    <w:tr2bl w:val="nil"/>
                  </w:tcBorders>
                  <w:vAlign w:val="center"/>
                </w:tcPr>
                <w:p w14:paraId="5D28D14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950" w:type="pct"/>
                  <w:tcBorders>
                    <w:tl2br w:val="nil"/>
                    <w:tr2bl w:val="nil"/>
                  </w:tcBorders>
                  <w:vAlign w:val="center"/>
                </w:tcPr>
                <w:p w14:paraId="16744D0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≤1.5</w:t>
                  </w:r>
                </w:p>
              </w:tc>
              <w:tc>
                <w:tcPr>
                  <w:tcW w:w="950" w:type="pct"/>
                  <w:tcBorders>
                    <w:tl2br w:val="nil"/>
                    <w:tr2bl w:val="nil"/>
                  </w:tcBorders>
                  <w:vAlign w:val="center"/>
                </w:tcPr>
                <w:p w14:paraId="019BF93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w:t>
                  </w:r>
                  <w:r>
                    <w:rPr>
                      <w:rFonts w:ascii="Times New Roman" w:hAnsi="Times New Roman" w:cs="Times New Roman"/>
                      <w:color w:val="000000" w:themeColor="text1"/>
                      <w:sz w:val="21"/>
                      <w:szCs w:val="21"/>
                    </w:rPr>
                    <w:t>3</w:t>
                  </w:r>
                </w:p>
              </w:tc>
              <w:tc>
                <w:tcPr>
                  <w:tcW w:w="866" w:type="pct"/>
                  <w:tcBorders>
                    <w:tl2br w:val="nil"/>
                    <w:tr2bl w:val="nil"/>
                  </w:tcBorders>
                  <w:vAlign w:val="center"/>
                </w:tcPr>
                <w:p w14:paraId="29B3B6A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≤6</w:t>
                  </w:r>
                </w:p>
              </w:tc>
            </w:tr>
            <w:tr w14:paraId="6C73BC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600FFC1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2"/>
                      <w:sz w:val="21"/>
                      <w:szCs w:val="21"/>
                    </w:rPr>
                    <w:t>收到基低位发热量</w:t>
                  </w:r>
                </w:p>
              </w:tc>
              <w:tc>
                <w:tcPr>
                  <w:tcW w:w="810" w:type="pct"/>
                  <w:tcBorders>
                    <w:tl2br w:val="nil"/>
                    <w:tr2bl w:val="nil"/>
                  </w:tcBorders>
                  <w:vAlign w:val="center"/>
                </w:tcPr>
                <w:p w14:paraId="5CCAE58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
                      <w:sz w:val="21"/>
                      <w:szCs w:val="21"/>
                    </w:rPr>
                    <w:t>MJ/kg</w:t>
                  </w:r>
                </w:p>
              </w:tc>
              <w:tc>
                <w:tcPr>
                  <w:tcW w:w="950" w:type="pct"/>
                  <w:tcBorders>
                    <w:tl2br w:val="nil"/>
                    <w:tr2bl w:val="nil"/>
                  </w:tcBorders>
                  <w:vAlign w:val="center"/>
                </w:tcPr>
                <w:p w14:paraId="35B0E903">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rPr>
                    <w:t>≥1</w:t>
                  </w:r>
                  <w:r>
                    <w:rPr>
                      <w:rFonts w:hint="eastAsia" w:ascii="Times New Roman" w:hAnsi="Times New Roman" w:cs="Times New Roman"/>
                      <w:color w:val="000000" w:themeColor="text1"/>
                      <w:spacing w:val="-5"/>
                      <w:sz w:val="21"/>
                      <w:szCs w:val="21"/>
                      <w:lang w:eastAsia="zh-CN"/>
                    </w:rPr>
                    <w:t>6.9</w:t>
                  </w:r>
                </w:p>
              </w:tc>
              <w:tc>
                <w:tcPr>
                  <w:tcW w:w="950" w:type="pct"/>
                  <w:tcBorders>
                    <w:tl2br w:val="nil"/>
                    <w:tr2bl w:val="nil"/>
                  </w:tcBorders>
                  <w:vAlign w:val="center"/>
                </w:tcPr>
                <w:p w14:paraId="5A7695E2">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5"/>
                      <w:sz w:val="21"/>
                      <w:szCs w:val="21"/>
                    </w:rPr>
                    <w:t>≥15.</w:t>
                  </w:r>
                  <w:r>
                    <w:rPr>
                      <w:rFonts w:hint="eastAsia" w:ascii="Times New Roman" w:hAnsi="Times New Roman" w:cs="Times New Roman"/>
                      <w:color w:val="000000" w:themeColor="text1"/>
                      <w:spacing w:val="-5"/>
                      <w:sz w:val="21"/>
                      <w:szCs w:val="21"/>
                      <w:lang w:eastAsia="zh-CN"/>
                    </w:rPr>
                    <w:t>9</w:t>
                  </w:r>
                </w:p>
              </w:tc>
              <w:tc>
                <w:tcPr>
                  <w:tcW w:w="866" w:type="pct"/>
                  <w:tcBorders>
                    <w:tl2br w:val="nil"/>
                    <w:tr2bl w:val="nil"/>
                  </w:tcBorders>
                  <w:vAlign w:val="center"/>
                </w:tcPr>
                <w:p w14:paraId="76B5A59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≥14.6</w:t>
                  </w:r>
                </w:p>
              </w:tc>
            </w:tr>
            <w:tr w14:paraId="3015B4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502DABD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29"/>
                      <w:sz w:val="21"/>
                      <w:szCs w:val="21"/>
                    </w:rPr>
                    <w:t>氮</w:t>
                  </w:r>
                  <w:r>
                    <w:rPr>
                      <w:rFonts w:ascii="Times New Roman" w:hAnsi="Times New Roman" w:cs="Times New Roman"/>
                      <w:color w:val="000000" w:themeColor="text1"/>
                      <w:spacing w:val="4"/>
                      <w:sz w:val="21"/>
                      <w:szCs w:val="21"/>
                      <w:lang w:eastAsia="zh-CN"/>
                    </w:rPr>
                    <w:t>（</w:t>
                  </w:r>
                  <w:r>
                    <w:rPr>
                      <w:rFonts w:hint="eastAsia" w:ascii="Times New Roman" w:hAnsi="Times New Roman" w:cs="Times New Roman"/>
                      <w:color w:val="000000" w:themeColor="text1"/>
                      <w:spacing w:val="4"/>
                      <w:sz w:val="21"/>
                      <w:szCs w:val="21"/>
                      <w:lang w:eastAsia="zh-CN"/>
                    </w:rPr>
                    <w:t>N</w:t>
                  </w:r>
                  <w:r>
                    <w:rPr>
                      <w:rFonts w:ascii="Times New Roman" w:hAnsi="Times New Roman" w:cs="Times New Roman"/>
                      <w:color w:val="000000" w:themeColor="text1"/>
                      <w:spacing w:val="4"/>
                      <w:sz w:val="21"/>
                      <w:szCs w:val="21"/>
                      <w:lang w:eastAsia="zh-CN"/>
                    </w:rPr>
                    <w:t>，</w:t>
                  </w:r>
                  <w:r>
                    <w:rPr>
                      <w:rFonts w:ascii="Times New Roman" w:hAnsi="Times New Roman" w:cs="Times New Roman"/>
                      <w:color w:val="000000" w:themeColor="text1"/>
                      <w:spacing w:val="4"/>
                      <w:sz w:val="21"/>
                      <w:szCs w:val="21"/>
                    </w:rPr>
                    <w:t>干燥基</w:t>
                  </w:r>
                  <w:r>
                    <w:rPr>
                      <w:rFonts w:ascii="Times New Roman" w:hAnsi="Times New Roman" w:cs="Times New Roman"/>
                      <w:color w:val="000000" w:themeColor="text1"/>
                      <w:spacing w:val="4"/>
                      <w:sz w:val="21"/>
                      <w:szCs w:val="21"/>
                      <w:lang w:eastAsia="zh-CN"/>
                    </w:rPr>
                    <w:t>）</w:t>
                  </w:r>
                </w:p>
              </w:tc>
              <w:tc>
                <w:tcPr>
                  <w:tcW w:w="810" w:type="pct"/>
                  <w:tcBorders>
                    <w:tl2br w:val="nil"/>
                    <w:tr2bl w:val="nil"/>
                  </w:tcBorders>
                  <w:vAlign w:val="center"/>
                </w:tcPr>
                <w:p w14:paraId="7F75E77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950" w:type="pct"/>
                  <w:tcBorders>
                    <w:tl2br w:val="nil"/>
                    <w:tr2bl w:val="nil"/>
                  </w:tcBorders>
                  <w:vAlign w:val="center"/>
                </w:tcPr>
                <w:p w14:paraId="38E813E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≤0.3</w:t>
                  </w:r>
                </w:p>
              </w:tc>
              <w:tc>
                <w:tcPr>
                  <w:tcW w:w="950" w:type="pct"/>
                  <w:tcBorders>
                    <w:tl2br w:val="nil"/>
                    <w:tr2bl w:val="nil"/>
                  </w:tcBorders>
                  <w:vAlign w:val="center"/>
                </w:tcPr>
                <w:p w14:paraId="58F63E7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≤0.5</w:t>
                  </w:r>
                </w:p>
              </w:tc>
              <w:tc>
                <w:tcPr>
                  <w:tcW w:w="866" w:type="pct"/>
                  <w:tcBorders>
                    <w:tl2br w:val="nil"/>
                    <w:tr2bl w:val="nil"/>
                  </w:tcBorders>
                  <w:vAlign w:val="center"/>
                </w:tcPr>
                <w:p w14:paraId="6BED0BE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≤1.0</w:t>
                  </w:r>
                </w:p>
              </w:tc>
            </w:tr>
            <w:tr w14:paraId="30B735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1421" w:type="pct"/>
                  <w:tcBorders>
                    <w:tl2br w:val="nil"/>
                    <w:tr2bl w:val="nil"/>
                  </w:tcBorders>
                  <w:vAlign w:val="center"/>
                </w:tcPr>
                <w:p w14:paraId="1DED692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lang w:eastAsia="zh-CN"/>
                    </w:rPr>
                    <w:t>硫（</w:t>
                  </w:r>
                  <w:r>
                    <w:rPr>
                      <w:rFonts w:ascii="Times New Roman" w:hAnsi="Times New Roman" w:cs="Times New Roman"/>
                      <w:color w:val="000000" w:themeColor="text1"/>
                      <w:spacing w:val="4"/>
                      <w:sz w:val="21"/>
                      <w:szCs w:val="21"/>
                    </w:rPr>
                    <w:t>S</w:t>
                  </w:r>
                  <w:r>
                    <w:rPr>
                      <w:rFonts w:ascii="Times New Roman" w:hAnsi="Times New Roman" w:cs="Times New Roman"/>
                      <w:color w:val="000000" w:themeColor="text1"/>
                      <w:spacing w:val="4"/>
                      <w:sz w:val="21"/>
                      <w:szCs w:val="21"/>
                      <w:lang w:eastAsia="zh-CN"/>
                    </w:rPr>
                    <w:t>，</w:t>
                  </w:r>
                  <w:r>
                    <w:rPr>
                      <w:rFonts w:ascii="Times New Roman" w:hAnsi="Times New Roman" w:cs="Times New Roman"/>
                      <w:color w:val="000000" w:themeColor="text1"/>
                      <w:spacing w:val="4"/>
                      <w:sz w:val="21"/>
                      <w:szCs w:val="21"/>
                    </w:rPr>
                    <w:t>干燥基</w:t>
                  </w:r>
                  <w:r>
                    <w:rPr>
                      <w:rFonts w:ascii="Times New Roman" w:hAnsi="Times New Roman" w:cs="Times New Roman"/>
                      <w:color w:val="000000" w:themeColor="text1"/>
                      <w:spacing w:val="4"/>
                      <w:sz w:val="21"/>
                      <w:szCs w:val="21"/>
                      <w:lang w:eastAsia="zh-CN"/>
                    </w:rPr>
                    <w:t>）</w:t>
                  </w:r>
                </w:p>
              </w:tc>
              <w:tc>
                <w:tcPr>
                  <w:tcW w:w="810" w:type="pct"/>
                  <w:tcBorders>
                    <w:tl2br w:val="nil"/>
                    <w:tr2bl w:val="nil"/>
                  </w:tcBorders>
                  <w:vAlign w:val="center"/>
                </w:tcPr>
                <w:p w14:paraId="501EA6A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950" w:type="pct"/>
                  <w:tcBorders>
                    <w:tl2br w:val="nil"/>
                    <w:tr2bl w:val="nil"/>
                  </w:tcBorders>
                  <w:vAlign w:val="center"/>
                </w:tcPr>
                <w:p w14:paraId="22BB30F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≤0.05</w:t>
                  </w:r>
                </w:p>
              </w:tc>
              <w:tc>
                <w:tcPr>
                  <w:tcW w:w="950" w:type="pct"/>
                  <w:tcBorders>
                    <w:tl2br w:val="nil"/>
                    <w:tr2bl w:val="nil"/>
                  </w:tcBorders>
                  <w:vAlign w:val="center"/>
                </w:tcPr>
                <w:p w14:paraId="62997A3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≤0.08</w:t>
                  </w:r>
                </w:p>
              </w:tc>
              <w:tc>
                <w:tcPr>
                  <w:tcW w:w="866" w:type="pct"/>
                  <w:tcBorders>
                    <w:tl2br w:val="nil"/>
                    <w:tr2bl w:val="nil"/>
                  </w:tcBorders>
                  <w:vAlign w:val="center"/>
                </w:tcPr>
                <w:p w14:paraId="7F482C7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≤0.1</w:t>
                  </w:r>
                </w:p>
              </w:tc>
            </w:tr>
            <w:tr w14:paraId="2BF3C9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2770FC94">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氯</w:t>
                  </w:r>
                  <w:r>
                    <w:rPr>
                      <w:rFonts w:ascii="Times New Roman" w:hAnsi="Times New Roman" w:cs="Times New Roman"/>
                      <w:color w:val="000000" w:themeColor="text1"/>
                      <w:spacing w:val="5"/>
                      <w:sz w:val="21"/>
                      <w:szCs w:val="21"/>
                      <w:lang w:eastAsia="zh-CN"/>
                    </w:rPr>
                    <w:t>（</w:t>
                  </w:r>
                  <w:r>
                    <w:rPr>
                      <w:rFonts w:ascii="Times New Roman" w:hAnsi="Times New Roman" w:cs="Times New Roman"/>
                      <w:color w:val="000000" w:themeColor="text1"/>
                      <w:sz w:val="21"/>
                      <w:szCs w:val="21"/>
                    </w:rPr>
                    <w:t>C</w:t>
                  </w:r>
                  <w:r>
                    <w:rPr>
                      <w:rFonts w:ascii="Times New Roman" w:hAnsi="Times New Roman" w:cs="Times New Roman"/>
                      <w:color w:val="000000" w:themeColor="text1"/>
                      <w:sz w:val="21"/>
                      <w:szCs w:val="21"/>
                      <w:lang w:eastAsia="zh-CN"/>
                    </w:rPr>
                    <w:t>l</w:t>
                  </w:r>
                  <w:r>
                    <w:rPr>
                      <w:rFonts w:ascii="Times New Roman" w:hAnsi="Times New Roman" w:cs="Times New Roman"/>
                      <w:color w:val="000000" w:themeColor="text1"/>
                      <w:spacing w:val="5"/>
                      <w:sz w:val="21"/>
                      <w:szCs w:val="21"/>
                      <w:lang w:eastAsia="zh-CN"/>
                    </w:rPr>
                    <w:t>，</w:t>
                  </w:r>
                  <w:r>
                    <w:rPr>
                      <w:rFonts w:ascii="Times New Roman" w:hAnsi="Times New Roman" w:cs="Times New Roman"/>
                      <w:color w:val="000000" w:themeColor="text1"/>
                      <w:spacing w:val="5"/>
                      <w:sz w:val="21"/>
                      <w:szCs w:val="21"/>
                    </w:rPr>
                    <w:t>干燥基</w:t>
                  </w:r>
                  <w:r>
                    <w:rPr>
                      <w:rFonts w:ascii="Times New Roman" w:hAnsi="Times New Roman" w:cs="Times New Roman"/>
                      <w:color w:val="000000" w:themeColor="text1"/>
                      <w:spacing w:val="5"/>
                      <w:sz w:val="21"/>
                      <w:szCs w:val="21"/>
                      <w:lang w:eastAsia="zh-CN"/>
                    </w:rPr>
                    <w:t>）</w:t>
                  </w:r>
                </w:p>
              </w:tc>
              <w:tc>
                <w:tcPr>
                  <w:tcW w:w="810" w:type="pct"/>
                  <w:tcBorders>
                    <w:tl2br w:val="nil"/>
                    <w:tr2bl w:val="nil"/>
                  </w:tcBorders>
                  <w:vAlign w:val="center"/>
                </w:tcPr>
                <w:p w14:paraId="34A62B5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950" w:type="pct"/>
                  <w:tcBorders>
                    <w:tl2br w:val="nil"/>
                    <w:tr2bl w:val="nil"/>
                  </w:tcBorders>
                  <w:vAlign w:val="center"/>
                </w:tcPr>
                <w:p w14:paraId="70822FA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≤0.03</w:t>
                  </w:r>
                </w:p>
              </w:tc>
              <w:tc>
                <w:tcPr>
                  <w:tcW w:w="950" w:type="pct"/>
                  <w:tcBorders>
                    <w:tl2br w:val="nil"/>
                    <w:tr2bl w:val="nil"/>
                  </w:tcBorders>
                  <w:vAlign w:val="center"/>
                </w:tcPr>
                <w:p w14:paraId="76D73F7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≤0.03</w:t>
                  </w:r>
                </w:p>
              </w:tc>
              <w:tc>
                <w:tcPr>
                  <w:tcW w:w="866" w:type="pct"/>
                  <w:tcBorders>
                    <w:tl2br w:val="nil"/>
                    <w:tr2bl w:val="nil"/>
                  </w:tcBorders>
                  <w:vAlign w:val="center"/>
                </w:tcPr>
                <w:p w14:paraId="0C15440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≤0.03</w:t>
                  </w:r>
                </w:p>
              </w:tc>
            </w:tr>
            <w:tr w14:paraId="4BAC12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421" w:type="pct"/>
                  <w:tcBorders>
                    <w:tl2br w:val="nil"/>
                    <w:tr2bl w:val="nil"/>
                  </w:tcBorders>
                  <w:vAlign w:val="center"/>
                </w:tcPr>
                <w:p w14:paraId="2565579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3"/>
                      <w:sz w:val="21"/>
                      <w:szCs w:val="21"/>
                    </w:rPr>
                    <w:t>结渣性</w:t>
                  </w:r>
                </w:p>
              </w:tc>
              <w:tc>
                <w:tcPr>
                  <w:tcW w:w="810" w:type="pct"/>
                  <w:tcBorders>
                    <w:tl2br w:val="nil"/>
                    <w:tr2bl w:val="nil"/>
                  </w:tcBorders>
                  <w:vAlign w:val="center"/>
                </w:tcPr>
                <w:p w14:paraId="2766D35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position w:val="-3"/>
                      <w:sz w:val="21"/>
                      <w:szCs w:val="21"/>
                    </w:rPr>
                    <w:t>一</w:t>
                  </w:r>
                </w:p>
              </w:tc>
              <w:tc>
                <w:tcPr>
                  <w:tcW w:w="950" w:type="pct"/>
                  <w:tcBorders>
                    <w:tl2br w:val="nil"/>
                    <w:tr2bl w:val="nil"/>
                  </w:tcBorders>
                  <w:vAlign w:val="center"/>
                </w:tcPr>
                <w:p w14:paraId="5BE3AC40">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3"/>
                      <w:sz w:val="21"/>
                      <w:szCs w:val="21"/>
                    </w:rPr>
                    <w:t>弱结渣区</w:t>
                  </w:r>
                </w:p>
              </w:tc>
              <w:tc>
                <w:tcPr>
                  <w:tcW w:w="950" w:type="pct"/>
                  <w:tcBorders>
                    <w:tl2br w:val="nil"/>
                    <w:tr2bl w:val="nil"/>
                  </w:tcBorders>
                  <w:vAlign w:val="center"/>
                </w:tcPr>
                <w:p w14:paraId="42F37A9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3"/>
                      <w:sz w:val="21"/>
                      <w:szCs w:val="21"/>
                    </w:rPr>
                    <w:t>弱结渣区</w:t>
                  </w:r>
                </w:p>
              </w:tc>
              <w:tc>
                <w:tcPr>
                  <w:tcW w:w="866" w:type="pct"/>
                  <w:tcBorders>
                    <w:tl2br w:val="nil"/>
                    <w:tr2bl w:val="nil"/>
                  </w:tcBorders>
                  <w:vAlign w:val="center"/>
                </w:tcPr>
                <w:p w14:paraId="71262F8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3"/>
                      <w:sz w:val="21"/>
                      <w:szCs w:val="21"/>
                    </w:rPr>
                    <w:t>弱结渣区</w:t>
                  </w:r>
                </w:p>
              </w:tc>
            </w:tr>
          </w:tbl>
          <w:p w14:paraId="77C032D5">
            <w:pPr>
              <w:ind w:firstLine="422"/>
              <w:rPr>
                <w:b/>
                <w:bCs/>
                <w:color w:val="000000" w:themeColor="text1"/>
                <w:sz w:val="21"/>
                <w:szCs w:val="21"/>
              </w:rPr>
            </w:pPr>
            <w:r>
              <w:rPr>
                <w:b/>
                <w:bCs/>
                <w:color w:val="000000" w:themeColor="text1"/>
                <w:sz w:val="21"/>
                <w:szCs w:val="21"/>
              </w:rPr>
              <w:t>注：本项目产品为生物质能源颗粒，其原料为锯末，因此产品按1级指标要求。</w:t>
            </w:r>
          </w:p>
          <w:p w14:paraId="48F81140">
            <w:pPr>
              <w:ind w:firstLine="480"/>
              <w:rPr>
                <w:color w:val="000000" w:themeColor="text1"/>
              </w:rPr>
            </w:pPr>
            <w:r>
              <w:rPr>
                <w:color w:val="000000" w:themeColor="text1"/>
              </w:rPr>
              <w:t>7、工作制度及劳动定员：本项目工作制度为年工作</w:t>
            </w:r>
            <w:r>
              <w:rPr>
                <w:rFonts w:hint="eastAsia"/>
                <w:color w:val="000000" w:themeColor="text1"/>
              </w:rPr>
              <w:t>30</w:t>
            </w:r>
            <w:r>
              <w:rPr>
                <w:color w:val="000000" w:themeColor="text1"/>
              </w:rPr>
              <w:t>0d，</w:t>
            </w:r>
            <w:r>
              <w:rPr>
                <w:rFonts w:hint="eastAsia"/>
                <w:color w:val="000000" w:themeColor="text1"/>
              </w:rPr>
              <w:t>根据产品生物质能源颗粒作为燃料的使用特点，夏季为生产及销售淡季，冬季为生产及销售旺季，旺季生产</w:t>
            </w:r>
            <w:r>
              <w:rPr>
                <w:color w:val="000000" w:themeColor="text1"/>
              </w:rPr>
              <w:t>每天</w:t>
            </w:r>
            <w:r>
              <w:rPr>
                <w:rFonts w:hint="eastAsia"/>
                <w:color w:val="000000" w:themeColor="text1"/>
              </w:rPr>
              <w:t>3</w:t>
            </w:r>
            <w:r>
              <w:rPr>
                <w:color w:val="000000" w:themeColor="text1"/>
              </w:rPr>
              <w:t>班，每班8h，</w:t>
            </w:r>
            <w:r>
              <w:rPr>
                <w:rFonts w:hint="eastAsia"/>
                <w:color w:val="000000" w:themeColor="text1"/>
              </w:rPr>
              <w:t>每天24h，淡季生产每天1班，</w:t>
            </w:r>
            <w:r>
              <w:rPr>
                <w:color w:val="000000" w:themeColor="text1"/>
              </w:rPr>
              <w:t>每班8h，</w:t>
            </w:r>
            <w:r>
              <w:rPr>
                <w:rFonts w:hint="eastAsia"/>
                <w:color w:val="000000" w:themeColor="text1"/>
              </w:rPr>
              <w:t>每天8h，全年有效生产时间最高为2400h。主要生产工序生产时间为：滚筒筛筛分工序生产时间为1200h/a、烘干工序生产时间为1800h/a、制粒工序生产时间为1600h/a、振筛筛分工序生产时间为1200h/a、吨包袋包装时间为450h/a、打包机小袋包装时间为720h/a；</w:t>
            </w:r>
            <w:r>
              <w:rPr>
                <w:color w:val="000000" w:themeColor="text1"/>
              </w:rPr>
              <w:t>劳动定员6人。</w:t>
            </w:r>
          </w:p>
          <w:p w14:paraId="201D10BC">
            <w:pPr>
              <w:ind w:firstLine="480"/>
              <w:rPr>
                <w:color w:val="000000" w:themeColor="text1"/>
              </w:rPr>
            </w:pPr>
            <w:r>
              <w:rPr>
                <w:color w:val="000000" w:themeColor="text1"/>
              </w:rPr>
              <w:t>8、主要原辅材料及能源消耗</w:t>
            </w:r>
          </w:p>
          <w:p w14:paraId="643CC96C">
            <w:pPr>
              <w:ind w:left="480" w:leftChars="200" w:firstLine="0" w:firstLineChars="0"/>
              <w:rPr>
                <w:color w:val="000000" w:themeColor="text1"/>
              </w:rPr>
            </w:pPr>
            <w:r>
              <w:rPr>
                <w:color w:val="000000" w:themeColor="text1"/>
              </w:rPr>
              <w:t>本项目主要原辅材料及能源消耗情况见下表。</w:t>
            </w:r>
          </w:p>
          <w:p w14:paraId="69A40CA5">
            <w:pPr>
              <w:pStyle w:val="34"/>
              <w:spacing w:line="360" w:lineRule="auto"/>
              <w:rPr>
                <w:color w:val="000000" w:themeColor="text1"/>
                <w:sz w:val="24"/>
                <w:szCs w:val="24"/>
              </w:rPr>
            </w:pPr>
            <w:r>
              <w:rPr>
                <w:color w:val="000000" w:themeColor="text1"/>
              </w:rPr>
              <w:t>表1</w:t>
            </w:r>
            <w:r>
              <w:rPr>
                <w:rFonts w:hint="eastAsia"/>
                <w:color w:val="000000" w:themeColor="text1"/>
              </w:rPr>
              <w:t>3</w:t>
            </w:r>
            <w:r>
              <w:rPr>
                <w:color w:val="000000" w:themeColor="text1"/>
              </w:rPr>
              <w:t xml:space="preserve">  本项目主要原辅材料及能源消耗情况一览表</w:t>
            </w:r>
          </w:p>
          <w:tbl>
            <w:tblPr>
              <w:tblStyle w:val="24"/>
              <w:tblW w:w="8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4"/>
              <w:gridCol w:w="751"/>
              <w:gridCol w:w="766"/>
              <w:gridCol w:w="1094"/>
              <w:gridCol w:w="1350"/>
              <w:gridCol w:w="929"/>
              <w:gridCol w:w="915"/>
              <w:gridCol w:w="1943"/>
            </w:tblGrid>
            <w:tr w14:paraId="39829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30200E80">
                  <w:pPr>
                    <w:autoSpaceDE w:val="0"/>
                    <w:autoSpaceDN w:val="0"/>
                    <w:adjustRightInd w:val="0"/>
                    <w:spacing w:line="240" w:lineRule="auto"/>
                    <w:ind w:firstLine="0" w:firstLineChars="0"/>
                    <w:jc w:val="center"/>
                    <w:rPr>
                      <w:b/>
                      <w:bCs/>
                      <w:snapToGrid w:val="0"/>
                      <w:color w:val="000000" w:themeColor="text1"/>
                      <w:kern w:val="0"/>
                      <w:sz w:val="21"/>
                      <w:szCs w:val="21"/>
                      <w:lang w:val="zh-CN"/>
                    </w:rPr>
                  </w:pPr>
                  <w:r>
                    <w:rPr>
                      <w:b/>
                      <w:bCs/>
                      <w:snapToGrid w:val="0"/>
                      <w:color w:val="000000" w:themeColor="text1"/>
                      <w:kern w:val="0"/>
                      <w:sz w:val="21"/>
                      <w:szCs w:val="21"/>
                      <w:lang w:val="zh-CN"/>
                    </w:rPr>
                    <w:t>名称</w:t>
                  </w:r>
                </w:p>
              </w:tc>
              <w:tc>
                <w:tcPr>
                  <w:tcW w:w="473" w:type="pct"/>
                  <w:tcBorders>
                    <w:tl2br w:val="nil"/>
                    <w:tr2bl w:val="nil"/>
                  </w:tcBorders>
                  <w:vAlign w:val="center"/>
                </w:tcPr>
                <w:p w14:paraId="75A9B77B">
                  <w:pPr>
                    <w:autoSpaceDE w:val="0"/>
                    <w:autoSpaceDN w:val="0"/>
                    <w:adjustRightInd w:val="0"/>
                    <w:spacing w:line="240" w:lineRule="auto"/>
                    <w:ind w:firstLine="0" w:firstLineChars="0"/>
                    <w:jc w:val="center"/>
                    <w:rPr>
                      <w:b/>
                      <w:bCs/>
                      <w:snapToGrid w:val="0"/>
                      <w:color w:val="000000" w:themeColor="text1"/>
                      <w:kern w:val="0"/>
                      <w:sz w:val="21"/>
                      <w:szCs w:val="21"/>
                      <w:lang w:val="zh-CN"/>
                    </w:rPr>
                  </w:pPr>
                  <w:r>
                    <w:rPr>
                      <w:b/>
                      <w:bCs/>
                      <w:snapToGrid w:val="0"/>
                      <w:color w:val="000000" w:themeColor="text1"/>
                      <w:kern w:val="0"/>
                      <w:sz w:val="21"/>
                      <w:szCs w:val="21"/>
                      <w:lang w:val="zh-CN"/>
                    </w:rPr>
                    <w:t>单位</w:t>
                  </w:r>
                </w:p>
              </w:tc>
              <w:tc>
                <w:tcPr>
                  <w:tcW w:w="677" w:type="pct"/>
                  <w:tcBorders>
                    <w:tl2br w:val="nil"/>
                    <w:tr2bl w:val="nil"/>
                  </w:tcBorders>
                  <w:vAlign w:val="center"/>
                </w:tcPr>
                <w:p w14:paraId="15284926">
                  <w:pPr>
                    <w:autoSpaceDE w:val="0"/>
                    <w:autoSpaceDN w:val="0"/>
                    <w:adjustRightInd w:val="0"/>
                    <w:spacing w:line="240" w:lineRule="auto"/>
                    <w:ind w:firstLine="0" w:firstLineChars="0"/>
                    <w:jc w:val="center"/>
                    <w:rPr>
                      <w:b/>
                      <w:bCs/>
                      <w:snapToGrid w:val="0"/>
                      <w:color w:val="000000" w:themeColor="text1"/>
                      <w:kern w:val="0"/>
                      <w:sz w:val="21"/>
                      <w:szCs w:val="21"/>
                      <w:lang w:val="zh-CN"/>
                    </w:rPr>
                  </w:pPr>
                  <w:r>
                    <w:rPr>
                      <w:b/>
                      <w:bCs/>
                      <w:snapToGrid w:val="0"/>
                      <w:color w:val="000000" w:themeColor="text1"/>
                      <w:kern w:val="0"/>
                      <w:sz w:val="21"/>
                      <w:szCs w:val="21"/>
                      <w:lang w:val="zh-CN"/>
                    </w:rPr>
                    <w:t>消耗量</w:t>
                  </w:r>
                </w:p>
              </w:tc>
              <w:tc>
                <w:tcPr>
                  <w:tcW w:w="835" w:type="pct"/>
                  <w:tcBorders>
                    <w:tl2br w:val="nil"/>
                    <w:tr2bl w:val="nil"/>
                  </w:tcBorders>
                  <w:vAlign w:val="center"/>
                </w:tcPr>
                <w:p w14:paraId="2135102E">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lang w:val="zh-CN"/>
                    </w:rPr>
                    <w:t>性状、</w:t>
                  </w:r>
                  <w:r>
                    <w:rPr>
                      <w:b/>
                      <w:bCs/>
                      <w:snapToGrid w:val="0"/>
                      <w:color w:val="000000" w:themeColor="text1"/>
                      <w:kern w:val="0"/>
                      <w:sz w:val="21"/>
                      <w:szCs w:val="21"/>
                    </w:rPr>
                    <w:t>规格</w:t>
                  </w:r>
                </w:p>
              </w:tc>
              <w:tc>
                <w:tcPr>
                  <w:tcW w:w="575" w:type="pct"/>
                  <w:tcBorders>
                    <w:tl2br w:val="nil"/>
                    <w:tr2bl w:val="nil"/>
                  </w:tcBorders>
                  <w:vAlign w:val="center"/>
                </w:tcPr>
                <w:p w14:paraId="0F233E93">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lang w:val="zh-CN"/>
                    </w:rPr>
                    <w:t>包装方式</w:t>
                  </w:r>
                  <w:r>
                    <w:rPr>
                      <w:b/>
                      <w:bCs/>
                      <w:snapToGrid w:val="0"/>
                      <w:color w:val="000000" w:themeColor="text1"/>
                      <w:kern w:val="0"/>
                      <w:sz w:val="21"/>
                      <w:szCs w:val="21"/>
                    </w:rPr>
                    <w:t>及规格</w:t>
                  </w:r>
                </w:p>
              </w:tc>
              <w:tc>
                <w:tcPr>
                  <w:tcW w:w="566" w:type="pct"/>
                  <w:tcBorders>
                    <w:tl2br w:val="nil"/>
                    <w:tr2bl w:val="nil"/>
                  </w:tcBorders>
                  <w:vAlign w:val="center"/>
                </w:tcPr>
                <w:p w14:paraId="0396947B">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储存位置</w:t>
                  </w:r>
                </w:p>
              </w:tc>
              <w:tc>
                <w:tcPr>
                  <w:tcW w:w="1202" w:type="pct"/>
                  <w:tcBorders>
                    <w:tl2br w:val="nil"/>
                    <w:tr2bl w:val="nil"/>
                  </w:tcBorders>
                  <w:vAlign w:val="center"/>
                </w:tcPr>
                <w:p w14:paraId="7E146F3B">
                  <w:pPr>
                    <w:autoSpaceDE w:val="0"/>
                    <w:autoSpaceDN w:val="0"/>
                    <w:adjustRightIn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备注</w:t>
                  </w:r>
                </w:p>
              </w:tc>
            </w:tr>
            <w:tr w14:paraId="49825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restart"/>
                  <w:tcBorders>
                    <w:tl2br w:val="nil"/>
                    <w:tr2bl w:val="nil"/>
                  </w:tcBorders>
                  <w:vAlign w:val="center"/>
                </w:tcPr>
                <w:p w14:paraId="5DC6011A">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木废</w:t>
                  </w:r>
                </w:p>
              </w:tc>
              <w:tc>
                <w:tcPr>
                  <w:tcW w:w="463" w:type="pct"/>
                  <w:vMerge w:val="restart"/>
                  <w:tcBorders>
                    <w:tl2br w:val="nil"/>
                    <w:tr2bl w:val="nil"/>
                  </w:tcBorders>
                  <w:shd w:val="clear" w:color="auto" w:fill="auto"/>
                  <w:vAlign w:val="center"/>
                </w:tcPr>
                <w:p w14:paraId="5CC29184">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锯末（湿料）</w:t>
                  </w:r>
                </w:p>
              </w:tc>
              <w:tc>
                <w:tcPr>
                  <w:tcW w:w="473" w:type="pct"/>
                  <w:tcBorders>
                    <w:tl2br w:val="nil"/>
                    <w:tr2bl w:val="nil"/>
                  </w:tcBorders>
                  <w:vAlign w:val="center"/>
                </w:tcPr>
                <w:p w14:paraId="0CC17E38">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val="zh-CN"/>
                    </w:rPr>
                  </w:pPr>
                  <w:r>
                    <w:rPr>
                      <w:rFonts w:ascii="Times New Roman" w:hAnsi="Times New Roman" w:cs="Times New Roman"/>
                      <w:snapToGrid w:val="0"/>
                      <w:color w:val="000000" w:themeColor="text1"/>
                      <w:kern w:val="0"/>
                      <w:sz w:val="21"/>
                      <w:szCs w:val="21"/>
                      <w:lang w:eastAsia="zh-CN"/>
                    </w:rPr>
                    <w:t>t/a</w:t>
                  </w:r>
                </w:p>
              </w:tc>
              <w:tc>
                <w:tcPr>
                  <w:tcW w:w="677" w:type="pct"/>
                  <w:tcBorders>
                    <w:tl2br w:val="nil"/>
                    <w:tr2bl w:val="nil"/>
                  </w:tcBorders>
                  <w:vAlign w:val="center"/>
                </w:tcPr>
                <w:p w14:paraId="7CAF461D">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10049</w:t>
                  </w:r>
                </w:p>
              </w:tc>
              <w:tc>
                <w:tcPr>
                  <w:tcW w:w="835" w:type="pct"/>
                  <w:vMerge w:val="restart"/>
                  <w:tcBorders>
                    <w:tl2br w:val="nil"/>
                    <w:tr2bl w:val="nil"/>
                  </w:tcBorders>
                  <w:vAlign w:val="center"/>
                </w:tcPr>
                <w:p w14:paraId="0D1893C3">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ascii="Times New Roman" w:hAnsi="Times New Roman" w:cs="Times New Roman"/>
                      <w:snapToGrid w:val="0"/>
                      <w:color w:val="000000" w:themeColor="text1"/>
                      <w:kern w:val="0"/>
                      <w:sz w:val="21"/>
                      <w:szCs w:val="21"/>
                      <w:lang w:eastAsia="zh-CN"/>
                    </w:rPr>
                    <w:t>固体，</w:t>
                  </w:r>
                  <w:r>
                    <w:rPr>
                      <w:rFonts w:hint="eastAsia"/>
                      <w:color w:val="000000" w:themeColor="text1"/>
                      <w:sz w:val="21"/>
                      <w:szCs w:val="21"/>
                      <w:lang w:eastAsia="zh-CN"/>
                    </w:rPr>
                    <w:t>φ</w:t>
                  </w:r>
                  <w:r>
                    <w:rPr>
                      <w:rFonts w:hint="eastAsia" w:ascii="Times New Roman" w:hAnsi="Times New Roman" w:cs="Times New Roman"/>
                      <w:color w:val="000000" w:themeColor="text1"/>
                      <w:sz w:val="21"/>
                      <w:szCs w:val="21"/>
                      <w:lang w:eastAsia="zh-CN"/>
                    </w:rPr>
                    <w:t>2mm~5mm，含水率30%</w:t>
                  </w:r>
                </w:p>
              </w:tc>
              <w:tc>
                <w:tcPr>
                  <w:tcW w:w="575" w:type="pct"/>
                  <w:vMerge w:val="restart"/>
                  <w:tcBorders>
                    <w:tl2br w:val="nil"/>
                    <w:tr2bl w:val="nil"/>
                  </w:tcBorders>
                  <w:vAlign w:val="center"/>
                </w:tcPr>
                <w:p w14:paraId="175329C2">
                  <w:pPr>
                    <w:pStyle w:val="66"/>
                    <w:spacing w:line="240" w:lineRule="auto"/>
                    <w:ind w:left="0" w:right="0" w:firstLine="0" w:firstLineChars="0"/>
                    <w:rPr>
                      <w:color w:val="000000" w:themeColor="text1"/>
                      <w:sz w:val="21"/>
                    </w:rPr>
                  </w:pPr>
                  <w:r>
                    <w:rPr>
                      <w:rFonts w:hint="eastAsia"/>
                      <w:color w:val="000000" w:themeColor="text1"/>
                      <w:sz w:val="21"/>
                    </w:rPr>
                    <w:t>散状堆存</w:t>
                  </w:r>
                </w:p>
              </w:tc>
              <w:tc>
                <w:tcPr>
                  <w:tcW w:w="566" w:type="pct"/>
                  <w:vMerge w:val="restart"/>
                  <w:tcBorders>
                    <w:tl2br w:val="nil"/>
                    <w:tr2bl w:val="nil"/>
                  </w:tcBorders>
                  <w:vAlign w:val="center"/>
                </w:tcPr>
                <w:p w14:paraId="6C14A2AE">
                  <w:pPr>
                    <w:pStyle w:val="66"/>
                    <w:spacing w:line="240" w:lineRule="auto"/>
                    <w:ind w:left="0" w:right="0" w:firstLine="0" w:firstLineChars="0"/>
                    <w:rPr>
                      <w:color w:val="000000" w:themeColor="text1"/>
                      <w:sz w:val="21"/>
                    </w:rPr>
                  </w:pPr>
                  <w:r>
                    <w:rPr>
                      <w:rFonts w:hint="eastAsia"/>
                      <w:color w:val="000000" w:themeColor="text1"/>
                      <w:sz w:val="21"/>
                    </w:rPr>
                    <w:t>厂房内锯末（湿料）原料区</w:t>
                  </w:r>
                </w:p>
              </w:tc>
              <w:tc>
                <w:tcPr>
                  <w:tcW w:w="1202" w:type="pct"/>
                  <w:vMerge w:val="restart"/>
                  <w:tcBorders>
                    <w:tl2br w:val="nil"/>
                    <w:tr2bl w:val="nil"/>
                  </w:tcBorders>
                  <w:vAlign w:val="center"/>
                </w:tcPr>
                <w:p w14:paraId="6C171F51">
                  <w:pPr>
                    <w:pStyle w:val="66"/>
                    <w:spacing w:line="240" w:lineRule="auto"/>
                    <w:ind w:left="0" w:right="0" w:firstLine="0" w:firstLineChars="0"/>
                    <w:rPr>
                      <w:color w:val="000000" w:themeColor="text1"/>
                      <w:sz w:val="21"/>
                    </w:rPr>
                  </w:pPr>
                  <w:r>
                    <w:rPr>
                      <w:rFonts w:hint="eastAsia"/>
                      <w:color w:val="000000" w:themeColor="text1"/>
                      <w:sz w:val="21"/>
                    </w:rPr>
                    <w:t>外购，为周边原木加工厂产生的原木锯末，以松木锯末为主</w:t>
                  </w:r>
                </w:p>
              </w:tc>
            </w:tr>
            <w:tr w14:paraId="64C01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7374CE2C">
                  <w:pPr>
                    <w:spacing w:line="240" w:lineRule="auto"/>
                    <w:ind w:firstLine="0" w:firstLineChars="0"/>
                    <w:jc w:val="center"/>
                    <w:rPr>
                      <w:color w:val="000000" w:themeColor="text1"/>
                    </w:rPr>
                  </w:pPr>
                </w:p>
              </w:tc>
              <w:tc>
                <w:tcPr>
                  <w:tcW w:w="463" w:type="pct"/>
                  <w:vMerge w:val="continue"/>
                  <w:tcBorders>
                    <w:tl2br w:val="nil"/>
                    <w:tr2bl w:val="nil"/>
                  </w:tcBorders>
                  <w:shd w:val="clear" w:color="auto" w:fill="auto"/>
                  <w:vAlign w:val="center"/>
                </w:tcPr>
                <w:p w14:paraId="5BDF046D">
                  <w:pPr>
                    <w:spacing w:line="240" w:lineRule="auto"/>
                    <w:ind w:firstLine="0" w:firstLineChars="0"/>
                    <w:jc w:val="center"/>
                    <w:rPr>
                      <w:color w:val="000000" w:themeColor="text1"/>
                    </w:rPr>
                  </w:pPr>
                </w:p>
              </w:tc>
              <w:tc>
                <w:tcPr>
                  <w:tcW w:w="473" w:type="pct"/>
                  <w:tcBorders>
                    <w:tl2br w:val="nil"/>
                    <w:tr2bl w:val="nil"/>
                  </w:tcBorders>
                  <w:vAlign w:val="center"/>
                </w:tcPr>
                <w:p w14:paraId="51719582">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m</w:t>
                  </w:r>
                  <w:r>
                    <w:rPr>
                      <w:rFonts w:hint="eastAsia"/>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1891B322">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21766</w:t>
                  </w:r>
                </w:p>
              </w:tc>
              <w:tc>
                <w:tcPr>
                  <w:tcW w:w="835" w:type="pct"/>
                  <w:vMerge w:val="continue"/>
                  <w:tcBorders>
                    <w:tl2br w:val="nil"/>
                    <w:tr2bl w:val="nil"/>
                  </w:tcBorders>
                  <w:vAlign w:val="center"/>
                </w:tcPr>
                <w:p w14:paraId="36FA3136">
                  <w:pPr>
                    <w:spacing w:line="240" w:lineRule="auto"/>
                    <w:ind w:firstLine="0" w:firstLineChars="0"/>
                    <w:jc w:val="center"/>
                    <w:rPr>
                      <w:snapToGrid w:val="0"/>
                      <w:color w:val="000000" w:themeColor="text1"/>
                      <w:kern w:val="0"/>
                      <w:sz w:val="21"/>
                      <w:szCs w:val="21"/>
                    </w:rPr>
                  </w:pPr>
                </w:p>
              </w:tc>
              <w:tc>
                <w:tcPr>
                  <w:tcW w:w="575" w:type="pct"/>
                  <w:vMerge w:val="continue"/>
                  <w:tcBorders>
                    <w:tl2br w:val="nil"/>
                    <w:tr2bl w:val="nil"/>
                  </w:tcBorders>
                  <w:vAlign w:val="center"/>
                </w:tcPr>
                <w:p w14:paraId="7F5BFB40">
                  <w:pPr>
                    <w:spacing w:line="240" w:lineRule="auto"/>
                    <w:ind w:firstLine="0" w:firstLineChars="0"/>
                    <w:jc w:val="center"/>
                    <w:rPr>
                      <w:snapToGrid w:val="0"/>
                      <w:color w:val="000000" w:themeColor="text1"/>
                      <w:kern w:val="0"/>
                      <w:sz w:val="21"/>
                      <w:szCs w:val="21"/>
                    </w:rPr>
                  </w:pPr>
                </w:p>
              </w:tc>
              <w:tc>
                <w:tcPr>
                  <w:tcW w:w="566" w:type="pct"/>
                  <w:vMerge w:val="continue"/>
                  <w:tcBorders>
                    <w:tl2br w:val="nil"/>
                    <w:tr2bl w:val="nil"/>
                  </w:tcBorders>
                  <w:vAlign w:val="center"/>
                </w:tcPr>
                <w:p w14:paraId="2785E6D8">
                  <w:pPr>
                    <w:spacing w:line="240" w:lineRule="auto"/>
                    <w:ind w:firstLine="0" w:firstLineChars="0"/>
                    <w:jc w:val="center"/>
                    <w:rPr>
                      <w:snapToGrid w:val="0"/>
                      <w:color w:val="000000" w:themeColor="text1"/>
                      <w:kern w:val="0"/>
                      <w:sz w:val="21"/>
                      <w:szCs w:val="21"/>
                    </w:rPr>
                  </w:pPr>
                </w:p>
              </w:tc>
              <w:tc>
                <w:tcPr>
                  <w:tcW w:w="1202" w:type="pct"/>
                  <w:vMerge w:val="continue"/>
                  <w:tcBorders>
                    <w:tl2br w:val="nil"/>
                    <w:tr2bl w:val="nil"/>
                  </w:tcBorders>
                  <w:vAlign w:val="center"/>
                </w:tcPr>
                <w:p w14:paraId="798253DA">
                  <w:pPr>
                    <w:spacing w:line="240" w:lineRule="auto"/>
                    <w:ind w:firstLine="0" w:firstLineChars="0"/>
                    <w:jc w:val="center"/>
                    <w:rPr>
                      <w:snapToGrid w:val="0"/>
                      <w:color w:val="000000" w:themeColor="text1"/>
                      <w:kern w:val="0"/>
                      <w:sz w:val="21"/>
                      <w:szCs w:val="21"/>
                    </w:rPr>
                  </w:pPr>
                </w:p>
              </w:tc>
            </w:tr>
            <w:tr w14:paraId="6EAE5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57EC4D1B">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p>
              </w:tc>
              <w:tc>
                <w:tcPr>
                  <w:tcW w:w="463" w:type="pct"/>
                  <w:vMerge w:val="restart"/>
                  <w:tcBorders>
                    <w:tl2br w:val="nil"/>
                    <w:tr2bl w:val="nil"/>
                  </w:tcBorders>
                  <w:shd w:val="clear" w:color="auto" w:fill="auto"/>
                  <w:vAlign w:val="center"/>
                </w:tcPr>
                <w:p w14:paraId="23C9E182">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锯末（干料）</w:t>
                  </w:r>
                </w:p>
              </w:tc>
              <w:tc>
                <w:tcPr>
                  <w:tcW w:w="473" w:type="pct"/>
                  <w:tcBorders>
                    <w:tl2br w:val="nil"/>
                    <w:tr2bl w:val="nil"/>
                  </w:tcBorders>
                  <w:vAlign w:val="center"/>
                </w:tcPr>
                <w:p w14:paraId="35FAF3CE">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vAlign w:val="center"/>
                </w:tcPr>
                <w:p w14:paraId="72F5372B">
                  <w:pPr>
                    <w:spacing w:line="240" w:lineRule="auto"/>
                    <w:ind w:firstLine="0" w:firstLineChars="0"/>
                    <w:jc w:val="center"/>
                    <w:rPr>
                      <w:snapToGrid w:val="0"/>
                      <w:color w:val="000000" w:themeColor="text1"/>
                      <w:kern w:val="0"/>
                      <w:sz w:val="21"/>
                      <w:szCs w:val="21"/>
                    </w:rPr>
                  </w:pPr>
                  <w:r>
                    <w:rPr>
                      <w:color w:val="000000" w:themeColor="text1"/>
                      <w:sz w:val="21"/>
                      <w:szCs w:val="21"/>
                    </w:rPr>
                    <w:t>27</w:t>
                  </w:r>
                  <w:r>
                    <w:rPr>
                      <w:rFonts w:hint="eastAsia"/>
                      <w:color w:val="000000" w:themeColor="text1"/>
                      <w:sz w:val="21"/>
                      <w:szCs w:val="21"/>
                    </w:rPr>
                    <w:t>42</w:t>
                  </w:r>
                </w:p>
              </w:tc>
              <w:tc>
                <w:tcPr>
                  <w:tcW w:w="835" w:type="pct"/>
                  <w:vMerge w:val="restart"/>
                  <w:tcBorders>
                    <w:tl2br w:val="nil"/>
                    <w:tr2bl w:val="nil"/>
                  </w:tcBorders>
                  <w:vAlign w:val="center"/>
                </w:tcPr>
                <w:p w14:paraId="7E2ECF5C">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r>
                    <w:rPr>
                      <w:rFonts w:hint="eastAsia"/>
                      <w:color w:val="000000" w:themeColor="text1"/>
                      <w:sz w:val="21"/>
                      <w:szCs w:val="21"/>
                      <w:lang w:eastAsia="zh-CN"/>
                    </w:rPr>
                    <w:t>φ</w:t>
                  </w:r>
                  <w:r>
                    <w:rPr>
                      <w:rFonts w:hint="eastAsia" w:ascii="Times New Roman" w:hAnsi="Times New Roman" w:cs="Times New Roman"/>
                      <w:color w:val="000000" w:themeColor="text1"/>
                      <w:sz w:val="21"/>
                      <w:szCs w:val="21"/>
                      <w:lang w:eastAsia="zh-CN"/>
                    </w:rPr>
                    <w:t>2mm~5mm，含水率15%</w:t>
                  </w:r>
                </w:p>
              </w:tc>
              <w:tc>
                <w:tcPr>
                  <w:tcW w:w="575" w:type="pct"/>
                  <w:vMerge w:val="restart"/>
                  <w:tcBorders>
                    <w:tl2br w:val="nil"/>
                    <w:tr2bl w:val="nil"/>
                  </w:tcBorders>
                  <w:vAlign w:val="center"/>
                </w:tcPr>
                <w:p w14:paraId="62BE8406">
                  <w:pPr>
                    <w:pStyle w:val="66"/>
                    <w:spacing w:line="240" w:lineRule="auto"/>
                    <w:ind w:left="0" w:right="0" w:firstLine="0" w:firstLineChars="0"/>
                    <w:rPr>
                      <w:color w:val="000000" w:themeColor="text1"/>
                      <w:sz w:val="21"/>
                    </w:rPr>
                  </w:pPr>
                  <w:r>
                    <w:rPr>
                      <w:rFonts w:hint="eastAsia"/>
                      <w:color w:val="000000" w:themeColor="text1"/>
                      <w:sz w:val="21"/>
                    </w:rPr>
                    <w:t>散状堆存</w:t>
                  </w:r>
                </w:p>
              </w:tc>
              <w:tc>
                <w:tcPr>
                  <w:tcW w:w="566" w:type="pct"/>
                  <w:vMerge w:val="restart"/>
                  <w:tcBorders>
                    <w:tl2br w:val="nil"/>
                    <w:tr2bl w:val="nil"/>
                  </w:tcBorders>
                  <w:shd w:val="clear" w:color="auto" w:fill="auto"/>
                  <w:vAlign w:val="center"/>
                </w:tcPr>
                <w:p w14:paraId="2F9497CD">
                  <w:pPr>
                    <w:pStyle w:val="66"/>
                    <w:spacing w:line="240" w:lineRule="auto"/>
                    <w:ind w:left="0" w:right="0" w:firstLine="0" w:firstLineChars="0"/>
                    <w:rPr>
                      <w:color w:val="000000" w:themeColor="text1"/>
                      <w:sz w:val="21"/>
                    </w:rPr>
                  </w:pPr>
                  <w:r>
                    <w:rPr>
                      <w:rFonts w:hint="eastAsia"/>
                      <w:color w:val="000000" w:themeColor="text1"/>
                      <w:sz w:val="21"/>
                    </w:rPr>
                    <w:t>厂房内锯末（干料）原料区</w:t>
                  </w:r>
                </w:p>
              </w:tc>
              <w:tc>
                <w:tcPr>
                  <w:tcW w:w="1202" w:type="pct"/>
                  <w:vMerge w:val="continue"/>
                  <w:tcBorders>
                    <w:tl2br w:val="nil"/>
                    <w:tr2bl w:val="nil"/>
                  </w:tcBorders>
                  <w:shd w:val="clear" w:color="auto" w:fill="auto"/>
                  <w:vAlign w:val="center"/>
                </w:tcPr>
                <w:p w14:paraId="2DA256BD">
                  <w:pPr>
                    <w:pStyle w:val="66"/>
                    <w:spacing w:line="240" w:lineRule="auto"/>
                    <w:ind w:left="0" w:right="0" w:firstLine="0" w:firstLineChars="0"/>
                    <w:rPr>
                      <w:color w:val="000000" w:themeColor="text1"/>
                      <w:sz w:val="21"/>
                    </w:rPr>
                  </w:pPr>
                </w:p>
              </w:tc>
            </w:tr>
            <w:tr w14:paraId="4D59C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06" w:type="pct"/>
                  <w:vMerge w:val="continue"/>
                  <w:tcBorders>
                    <w:tl2br w:val="nil"/>
                    <w:tr2bl w:val="nil"/>
                  </w:tcBorders>
                  <w:vAlign w:val="center"/>
                </w:tcPr>
                <w:p w14:paraId="6BFE8E63">
                  <w:pPr>
                    <w:spacing w:line="240" w:lineRule="auto"/>
                    <w:ind w:firstLine="0" w:firstLineChars="0"/>
                    <w:jc w:val="center"/>
                    <w:rPr>
                      <w:color w:val="000000" w:themeColor="text1"/>
                    </w:rPr>
                  </w:pPr>
                </w:p>
              </w:tc>
              <w:tc>
                <w:tcPr>
                  <w:tcW w:w="463" w:type="pct"/>
                  <w:vMerge w:val="continue"/>
                  <w:tcBorders>
                    <w:tl2br w:val="nil"/>
                    <w:tr2bl w:val="nil"/>
                  </w:tcBorders>
                  <w:shd w:val="clear" w:color="auto" w:fill="auto"/>
                  <w:vAlign w:val="center"/>
                </w:tcPr>
                <w:p w14:paraId="22D2A210">
                  <w:pPr>
                    <w:spacing w:line="240" w:lineRule="auto"/>
                    <w:ind w:firstLine="0" w:firstLineChars="0"/>
                    <w:jc w:val="center"/>
                    <w:rPr>
                      <w:snapToGrid w:val="0"/>
                      <w:color w:val="000000" w:themeColor="text1"/>
                      <w:kern w:val="0"/>
                      <w:sz w:val="21"/>
                      <w:szCs w:val="21"/>
                    </w:rPr>
                  </w:pPr>
                </w:p>
              </w:tc>
              <w:tc>
                <w:tcPr>
                  <w:tcW w:w="473" w:type="pct"/>
                  <w:tcBorders>
                    <w:tl2br w:val="nil"/>
                    <w:tr2bl w:val="nil"/>
                  </w:tcBorders>
                  <w:vAlign w:val="center"/>
                </w:tcPr>
                <w:p w14:paraId="6369106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m</w:t>
                  </w:r>
                  <w:r>
                    <w:rPr>
                      <w:rFonts w:hint="eastAsia"/>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74F6693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8234</w:t>
                  </w:r>
                </w:p>
              </w:tc>
              <w:tc>
                <w:tcPr>
                  <w:tcW w:w="835" w:type="pct"/>
                  <w:vMerge w:val="continue"/>
                  <w:tcBorders>
                    <w:tl2br w:val="nil"/>
                    <w:tr2bl w:val="nil"/>
                  </w:tcBorders>
                  <w:vAlign w:val="center"/>
                </w:tcPr>
                <w:p w14:paraId="05200CC2">
                  <w:pPr>
                    <w:spacing w:line="240" w:lineRule="auto"/>
                    <w:ind w:firstLine="0" w:firstLineChars="0"/>
                    <w:jc w:val="center"/>
                    <w:rPr>
                      <w:snapToGrid w:val="0"/>
                      <w:color w:val="000000" w:themeColor="text1"/>
                      <w:kern w:val="0"/>
                      <w:sz w:val="21"/>
                      <w:szCs w:val="21"/>
                    </w:rPr>
                  </w:pPr>
                </w:p>
              </w:tc>
              <w:tc>
                <w:tcPr>
                  <w:tcW w:w="575" w:type="pct"/>
                  <w:vMerge w:val="continue"/>
                  <w:tcBorders>
                    <w:tl2br w:val="nil"/>
                    <w:tr2bl w:val="nil"/>
                  </w:tcBorders>
                  <w:vAlign w:val="center"/>
                </w:tcPr>
                <w:p w14:paraId="3CC68465">
                  <w:pPr>
                    <w:spacing w:line="240" w:lineRule="auto"/>
                    <w:ind w:firstLine="0" w:firstLineChars="0"/>
                    <w:jc w:val="center"/>
                    <w:rPr>
                      <w:snapToGrid w:val="0"/>
                      <w:color w:val="000000" w:themeColor="text1"/>
                      <w:kern w:val="0"/>
                      <w:sz w:val="21"/>
                      <w:szCs w:val="21"/>
                    </w:rPr>
                  </w:pPr>
                </w:p>
              </w:tc>
              <w:tc>
                <w:tcPr>
                  <w:tcW w:w="566" w:type="pct"/>
                  <w:vMerge w:val="continue"/>
                  <w:tcBorders>
                    <w:tl2br w:val="nil"/>
                    <w:tr2bl w:val="nil"/>
                  </w:tcBorders>
                  <w:shd w:val="clear" w:color="auto" w:fill="auto"/>
                  <w:vAlign w:val="center"/>
                </w:tcPr>
                <w:p w14:paraId="37516FAA">
                  <w:pPr>
                    <w:spacing w:line="240" w:lineRule="auto"/>
                    <w:ind w:firstLine="0" w:firstLineChars="0"/>
                    <w:jc w:val="center"/>
                    <w:rPr>
                      <w:snapToGrid w:val="0"/>
                      <w:color w:val="000000" w:themeColor="text1"/>
                      <w:kern w:val="0"/>
                      <w:sz w:val="21"/>
                      <w:szCs w:val="21"/>
                    </w:rPr>
                  </w:pPr>
                </w:p>
              </w:tc>
              <w:tc>
                <w:tcPr>
                  <w:tcW w:w="1202" w:type="pct"/>
                  <w:vMerge w:val="continue"/>
                  <w:tcBorders>
                    <w:tl2br w:val="nil"/>
                    <w:tr2bl w:val="nil"/>
                  </w:tcBorders>
                  <w:shd w:val="clear" w:color="auto" w:fill="auto"/>
                  <w:vAlign w:val="center"/>
                </w:tcPr>
                <w:p w14:paraId="61AACF0A">
                  <w:pPr>
                    <w:spacing w:line="240" w:lineRule="auto"/>
                    <w:ind w:firstLine="0" w:firstLineChars="0"/>
                    <w:jc w:val="center"/>
                    <w:rPr>
                      <w:snapToGrid w:val="0"/>
                      <w:color w:val="000000" w:themeColor="text1"/>
                      <w:kern w:val="0"/>
                      <w:sz w:val="21"/>
                      <w:szCs w:val="21"/>
                    </w:rPr>
                  </w:pPr>
                </w:p>
              </w:tc>
            </w:tr>
            <w:tr w14:paraId="21DB85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06" w:type="pct"/>
                  <w:vMerge w:val="continue"/>
                  <w:tcBorders>
                    <w:tl2br w:val="nil"/>
                    <w:tr2bl w:val="nil"/>
                  </w:tcBorders>
                  <w:vAlign w:val="center"/>
                </w:tcPr>
                <w:p w14:paraId="5DF63D73">
                  <w:pPr>
                    <w:spacing w:line="240" w:lineRule="auto"/>
                    <w:ind w:firstLine="0" w:firstLineChars="0"/>
                    <w:jc w:val="center"/>
                    <w:rPr>
                      <w:color w:val="000000" w:themeColor="text1"/>
                    </w:rPr>
                  </w:pPr>
                </w:p>
              </w:tc>
              <w:tc>
                <w:tcPr>
                  <w:tcW w:w="463" w:type="pct"/>
                  <w:tcBorders>
                    <w:tl2br w:val="nil"/>
                    <w:tr2bl w:val="nil"/>
                  </w:tcBorders>
                  <w:shd w:val="clear" w:color="auto" w:fill="auto"/>
                  <w:vAlign w:val="center"/>
                </w:tcPr>
                <w:p w14:paraId="1592110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合计</w:t>
                  </w:r>
                </w:p>
              </w:tc>
              <w:tc>
                <w:tcPr>
                  <w:tcW w:w="473" w:type="pct"/>
                  <w:tcBorders>
                    <w:tl2br w:val="nil"/>
                    <w:tr2bl w:val="nil"/>
                  </w:tcBorders>
                  <w:vAlign w:val="center"/>
                </w:tcPr>
                <w:p w14:paraId="1BD8633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m</w:t>
                  </w:r>
                  <w:r>
                    <w:rPr>
                      <w:rFonts w:hint="eastAsia"/>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0A95652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30000</w:t>
                  </w:r>
                </w:p>
              </w:tc>
              <w:tc>
                <w:tcPr>
                  <w:tcW w:w="835" w:type="pct"/>
                  <w:tcBorders>
                    <w:tl2br w:val="nil"/>
                    <w:tr2bl w:val="nil"/>
                  </w:tcBorders>
                  <w:vAlign w:val="center"/>
                </w:tcPr>
                <w:p w14:paraId="4C5FBF1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575" w:type="pct"/>
                  <w:tcBorders>
                    <w:tl2br w:val="nil"/>
                    <w:tr2bl w:val="nil"/>
                  </w:tcBorders>
                  <w:vAlign w:val="center"/>
                </w:tcPr>
                <w:p w14:paraId="1BE1DB8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566" w:type="pct"/>
                  <w:tcBorders>
                    <w:tl2br w:val="nil"/>
                    <w:tr2bl w:val="nil"/>
                  </w:tcBorders>
                  <w:shd w:val="clear" w:color="auto" w:fill="auto"/>
                  <w:vAlign w:val="center"/>
                </w:tcPr>
                <w:p w14:paraId="2CB5FF4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202" w:type="pct"/>
                  <w:tcBorders>
                    <w:tl2br w:val="nil"/>
                    <w:tr2bl w:val="nil"/>
                  </w:tcBorders>
                  <w:shd w:val="clear" w:color="auto" w:fill="auto"/>
                  <w:vAlign w:val="center"/>
                </w:tcPr>
                <w:p w14:paraId="4B80CF7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r>
            <w:tr w14:paraId="31041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11286D52">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生物质能源颗粒</w:t>
                  </w:r>
                </w:p>
              </w:tc>
              <w:tc>
                <w:tcPr>
                  <w:tcW w:w="473" w:type="pct"/>
                  <w:tcBorders>
                    <w:tl2br w:val="nil"/>
                    <w:tr2bl w:val="nil"/>
                  </w:tcBorders>
                  <w:vAlign w:val="center"/>
                </w:tcPr>
                <w:p w14:paraId="3FA935E3">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vAlign w:val="center"/>
                </w:tcPr>
                <w:p w14:paraId="7B7008C0">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328</w:t>
                  </w:r>
                </w:p>
              </w:tc>
              <w:tc>
                <w:tcPr>
                  <w:tcW w:w="835" w:type="pct"/>
                  <w:tcBorders>
                    <w:tl2br w:val="nil"/>
                    <w:tr2bl w:val="nil"/>
                  </w:tcBorders>
                  <w:vAlign w:val="center"/>
                </w:tcPr>
                <w:p w14:paraId="154F34F8">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p>
              </w:tc>
              <w:tc>
                <w:tcPr>
                  <w:tcW w:w="575" w:type="pct"/>
                  <w:tcBorders>
                    <w:tl2br w:val="nil"/>
                    <w:tr2bl w:val="nil"/>
                  </w:tcBorders>
                  <w:vAlign w:val="center"/>
                </w:tcPr>
                <w:p w14:paraId="38196545">
                  <w:pPr>
                    <w:pStyle w:val="66"/>
                    <w:spacing w:line="240" w:lineRule="auto"/>
                    <w:ind w:left="0" w:right="0" w:firstLine="0" w:firstLineChars="0"/>
                    <w:rPr>
                      <w:color w:val="000000" w:themeColor="text1"/>
                      <w:spacing w:val="-10"/>
                      <w:sz w:val="21"/>
                    </w:rPr>
                  </w:pPr>
                  <w:r>
                    <w:rPr>
                      <w:rFonts w:hint="eastAsia"/>
                      <w:color w:val="000000" w:themeColor="text1"/>
                      <w:spacing w:val="-10"/>
                      <w:sz w:val="21"/>
                    </w:rPr>
                    <w:t>吨包袋装，1t/袋</w:t>
                  </w:r>
                </w:p>
              </w:tc>
              <w:tc>
                <w:tcPr>
                  <w:tcW w:w="566" w:type="pct"/>
                  <w:tcBorders>
                    <w:tl2br w:val="nil"/>
                    <w:tr2bl w:val="nil"/>
                  </w:tcBorders>
                  <w:vAlign w:val="center"/>
                </w:tcPr>
                <w:p w14:paraId="1FD4AF9A">
                  <w:pPr>
                    <w:pStyle w:val="66"/>
                    <w:spacing w:line="240" w:lineRule="auto"/>
                    <w:ind w:left="0" w:right="0" w:firstLine="0" w:firstLineChars="0"/>
                    <w:rPr>
                      <w:color w:val="000000" w:themeColor="text1"/>
                      <w:sz w:val="21"/>
                    </w:rPr>
                  </w:pPr>
                  <w:r>
                    <w:rPr>
                      <w:rFonts w:hint="eastAsia"/>
                      <w:color w:val="000000" w:themeColor="text1"/>
                      <w:sz w:val="21"/>
                    </w:rPr>
                    <w:t>厂房内成品区</w:t>
                  </w:r>
                </w:p>
              </w:tc>
              <w:tc>
                <w:tcPr>
                  <w:tcW w:w="1202" w:type="pct"/>
                  <w:tcBorders>
                    <w:tl2br w:val="nil"/>
                    <w:tr2bl w:val="nil"/>
                  </w:tcBorders>
                  <w:vAlign w:val="center"/>
                </w:tcPr>
                <w:p w14:paraId="3344BB01">
                  <w:pPr>
                    <w:pStyle w:val="66"/>
                    <w:spacing w:line="240" w:lineRule="auto"/>
                    <w:ind w:left="0" w:right="0" w:firstLine="0" w:firstLineChars="0"/>
                    <w:rPr>
                      <w:color w:val="000000" w:themeColor="text1"/>
                      <w:sz w:val="21"/>
                    </w:rPr>
                  </w:pPr>
                  <w:r>
                    <w:rPr>
                      <w:rFonts w:hint="eastAsia"/>
                      <w:color w:val="000000" w:themeColor="text1"/>
                      <w:sz w:val="21"/>
                    </w:rPr>
                    <w:t>自产，用于烘干热源热风炉的燃料</w:t>
                  </w:r>
                </w:p>
              </w:tc>
            </w:tr>
            <w:tr w14:paraId="26B62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shd w:val="clear" w:color="auto" w:fill="auto"/>
                  <w:vAlign w:val="center"/>
                </w:tcPr>
                <w:p w14:paraId="22889718">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液压油</w:t>
                  </w:r>
                </w:p>
              </w:tc>
              <w:tc>
                <w:tcPr>
                  <w:tcW w:w="473" w:type="pct"/>
                  <w:tcBorders>
                    <w:tl2br w:val="nil"/>
                    <w:tr2bl w:val="nil"/>
                  </w:tcBorders>
                  <w:vAlign w:val="center"/>
                </w:tcPr>
                <w:p w14:paraId="66DACA52">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vAlign w:val="center"/>
                </w:tcPr>
                <w:p w14:paraId="4BBE9642">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0.25</w:t>
                  </w:r>
                </w:p>
              </w:tc>
              <w:tc>
                <w:tcPr>
                  <w:tcW w:w="835" w:type="pct"/>
                  <w:tcBorders>
                    <w:tl2br w:val="nil"/>
                    <w:tr2bl w:val="nil"/>
                  </w:tcBorders>
                  <w:vAlign w:val="center"/>
                </w:tcPr>
                <w:p w14:paraId="5EEEC288">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p>
              </w:tc>
              <w:tc>
                <w:tcPr>
                  <w:tcW w:w="575" w:type="pct"/>
                  <w:tcBorders>
                    <w:tl2br w:val="nil"/>
                    <w:tr2bl w:val="nil"/>
                  </w:tcBorders>
                  <w:vAlign w:val="center"/>
                </w:tcPr>
                <w:p w14:paraId="62B6790B">
                  <w:pPr>
                    <w:spacing w:line="240" w:lineRule="auto"/>
                    <w:ind w:firstLine="0" w:firstLineChars="0"/>
                    <w:jc w:val="center"/>
                    <w:rPr>
                      <w:color w:val="000000" w:themeColor="text1"/>
                      <w:spacing w:val="-10"/>
                      <w:sz w:val="21"/>
                      <w:szCs w:val="21"/>
                    </w:rPr>
                  </w:pPr>
                  <w:r>
                    <w:rPr>
                      <w:snapToGrid w:val="0"/>
                      <w:color w:val="000000" w:themeColor="text1"/>
                      <w:kern w:val="0"/>
                      <w:sz w:val="21"/>
                      <w:szCs w:val="21"/>
                    </w:rPr>
                    <w:t>桶装</w:t>
                  </w:r>
                  <w:r>
                    <w:rPr>
                      <w:rFonts w:hint="eastAsia"/>
                      <w:snapToGrid w:val="0"/>
                      <w:color w:val="000000" w:themeColor="text1"/>
                      <w:kern w:val="0"/>
                      <w:sz w:val="21"/>
                      <w:szCs w:val="21"/>
                    </w:rPr>
                    <w:t>，25kg/桶</w:t>
                  </w:r>
                </w:p>
              </w:tc>
              <w:tc>
                <w:tcPr>
                  <w:tcW w:w="566" w:type="pct"/>
                  <w:tcBorders>
                    <w:tl2br w:val="nil"/>
                    <w:tr2bl w:val="nil"/>
                  </w:tcBorders>
                  <w:vAlign w:val="center"/>
                </w:tcPr>
                <w:p w14:paraId="3FF27A5B">
                  <w:pPr>
                    <w:pStyle w:val="66"/>
                    <w:spacing w:line="240" w:lineRule="auto"/>
                    <w:ind w:left="0" w:right="0" w:firstLine="0" w:firstLineChars="0"/>
                    <w:rPr>
                      <w:color w:val="000000" w:themeColor="text1"/>
                      <w:sz w:val="21"/>
                    </w:rPr>
                  </w:pPr>
                  <w:r>
                    <w:rPr>
                      <w:rFonts w:hint="eastAsia"/>
                      <w:color w:val="000000" w:themeColor="text1"/>
                      <w:sz w:val="21"/>
                    </w:rPr>
                    <w:t>油品储存库</w:t>
                  </w:r>
                </w:p>
              </w:tc>
              <w:tc>
                <w:tcPr>
                  <w:tcW w:w="1202" w:type="pct"/>
                  <w:tcBorders>
                    <w:tl2br w:val="nil"/>
                    <w:tr2bl w:val="nil"/>
                  </w:tcBorders>
                  <w:vAlign w:val="center"/>
                </w:tcPr>
                <w:p w14:paraId="79D080F8">
                  <w:pPr>
                    <w:pStyle w:val="66"/>
                    <w:spacing w:line="240" w:lineRule="auto"/>
                    <w:ind w:left="0" w:right="0" w:firstLine="0" w:firstLineChars="0"/>
                    <w:rPr>
                      <w:color w:val="000000" w:themeColor="text1"/>
                      <w:sz w:val="21"/>
                    </w:rPr>
                  </w:pPr>
                  <w:r>
                    <w:rPr>
                      <w:rFonts w:hint="eastAsia"/>
                      <w:color w:val="000000" w:themeColor="text1"/>
                      <w:sz w:val="21"/>
                    </w:rPr>
                    <w:t>外购，用于生物质颗粒机液压系统维护保养，最大储存量125kg</w:t>
                  </w:r>
                </w:p>
              </w:tc>
            </w:tr>
            <w:tr w14:paraId="7F63F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shd w:val="clear" w:color="auto" w:fill="auto"/>
                  <w:vAlign w:val="center"/>
                </w:tcPr>
                <w:p w14:paraId="75E6C124">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机油</w:t>
                  </w:r>
                </w:p>
              </w:tc>
              <w:tc>
                <w:tcPr>
                  <w:tcW w:w="473" w:type="pct"/>
                  <w:tcBorders>
                    <w:tl2br w:val="nil"/>
                    <w:tr2bl w:val="nil"/>
                  </w:tcBorders>
                  <w:shd w:val="clear" w:color="auto" w:fill="auto"/>
                  <w:vAlign w:val="center"/>
                </w:tcPr>
                <w:p w14:paraId="12D14F36">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t</w:t>
                  </w:r>
                  <w:r>
                    <w:rPr>
                      <w:rFonts w:ascii="Times New Roman" w:hAnsi="Times New Roman" w:cs="Times New Roman"/>
                      <w:snapToGrid w:val="0"/>
                      <w:color w:val="000000" w:themeColor="text1"/>
                      <w:kern w:val="0"/>
                      <w:sz w:val="21"/>
                      <w:szCs w:val="21"/>
                      <w:lang w:eastAsia="zh-CN"/>
                    </w:rPr>
                    <w:t>/a</w:t>
                  </w:r>
                </w:p>
              </w:tc>
              <w:tc>
                <w:tcPr>
                  <w:tcW w:w="677" w:type="pct"/>
                  <w:tcBorders>
                    <w:tl2br w:val="nil"/>
                    <w:tr2bl w:val="nil"/>
                  </w:tcBorders>
                  <w:shd w:val="clear" w:color="auto" w:fill="auto"/>
                  <w:vAlign w:val="center"/>
                </w:tcPr>
                <w:p w14:paraId="7B87DD75">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0.4</w:t>
                  </w:r>
                </w:p>
              </w:tc>
              <w:tc>
                <w:tcPr>
                  <w:tcW w:w="835" w:type="pct"/>
                  <w:tcBorders>
                    <w:tl2br w:val="nil"/>
                    <w:tr2bl w:val="nil"/>
                  </w:tcBorders>
                  <w:vAlign w:val="center"/>
                </w:tcPr>
                <w:p w14:paraId="33B956CE">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固体</w:t>
                  </w:r>
                </w:p>
              </w:tc>
              <w:tc>
                <w:tcPr>
                  <w:tcW w:w="575" w:type="pct"/>
                  <w:tcBorders>
                    <w:tl2br w:val="nil"/>
                    <w:tr2bl w:val="nil"/>
                  </w:tcBorders>
                  <w:vAlign w:val="center"/>
                </w:tcPr>
                <w:p w14:paraId="61722A28">
                  <w:pPr>
                    <w:spacing w:line="240" w:lineRule="auto"/>
                    <w:ind w:firstLine="0" w:firstLineChars="0"/>
                    <w:jc w:val="center"/>
                    <w:rPr>
                      <w:color w:val="000000" w:themeColor="text1"/>
                      <w:spacing w:val="-10"/>
                      <w:sz w:val="21"/>
                      <w:szCs w:val="21"/>
                    </w:rPr>
                  </w:pPr>
                  <w:r>
                    <w:rPr>
                      <w:snapToGrid w:val="0"/>
                      <w:color w:val="000000" w:themeColor="text1"/>
                      <w:kern w:val="0"/>
                      <w:sz w:val="21"/>
                      <w:szCs w:val="21"/>
                    </w:rPr>
                    <w:t>桶装</w:t>
                  </w:r>
                  <w:r>
                    <w:rPr>
                      <w:rFonts w:hint="eastAsia"/>
                      <w:snapToGrid w:val="0"/>
                      <w:color w:val="000000" w:themeColor="text1"/>
                      <w:kern w:val="0"/>
                      <w:sz w:val="21"/>
                      <w:szCs w:val="21"/>
                    </w:rPr>
                    <w:t>，25kg/桶</w:t>
                  </w:r>
                </w:p>
              </w:tc>
              <w:tc>
                <w:tcPr>
                  <w:tcW w:w="566" w:type="pct"/>
                  <w:tcBorders>
                    <w:tl2br w:val="nil"/>
                    <w:tr2bl w:val="nil"/>
                  </w:tcBorders>
                  <w:vAlign w:val="center"/>
                </w:tcPr>
                <w:p w14:paraId="34C70B6C">
                  <w:pPr>
                    <w:pStyle w:val="66"/>
                    <w:spacing w:line="240" w:lineRule="auto"/>
                    <w:ind w:left="0" w:right="0" w:firstLine="0" w:firstLineChars="0"/>
                    <w:rPr>
                      <w:color w:val="000000" w:themeColor="text1"/>
                      <w:sz w:val="21"/>
                    </w:rPr>
                  </w:pPr>
                  <w:r>
                    <w:rPr>
                      <w:rFonts w:hint="eastAsia"/>
                      <w:color w:val="000000" w:themeColor="text1"/>
                      <w:sz w:val="21"/>
                    </w:rPr>
                    <w:t>油品储存库</w:t>
                  </w:r>
                </w:p>
              </w:tc>
              <w:tc>
                <w:tcPr>
                  <w:tcW w:w="1202" w:type="pct"/>
                  <w:tcBorders>
                    <w:tl2br w:val="nil"/>
                    <w:tr2bl w:val="nil"/>
                  </w:tcBorders>
                  <w:vAlign w:val="center"/>
                </w:tcPr>
                <w:p w14:paraId="023C07C8">
                  <w:pPr>
                    <w:pStyle w:val="66"/>
                    <w:spacing w:line="240" w:lineRule="auto"/>
                    <w:ind w:left="0" w:right="0" w:firstLine="0" w:firstLineChars="0"/>
                    <w:rPr>
                      <w:color w:val="000000" w:themeColor="text1"/>
                      <w:sz w:val="21"/>
                    </w:rPr>
                  </w:pPr>
                  <w:r>
                    <w:rPr>
                      <w:rFonts w:hint="eastAsia"/>
                      <w:color w:val="000000" w:themeColor="text1"/>
                      <w:sz w:val="21"/>
                    </w:rPr>
                    <w:t>外购，用于生物质颗粒机减速机、皮带输送机减速机维护保养，最大储存量100kg</w:t>
                  </w:r>
                </w:p>
              </w:tc>
            </w:tr>
            <w:tr w14:paraId="1252A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27A5E544">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润滑油</w:t>
                  </w:r>
                </w:p>
              </w:tc>
              <w:tc>
                <w:tcPr>
                  <w:tcW w:w="473" w:type="pct"/>
                  <w:tcBorders>
                    <w:tl2br w:val="nil"/>
                    <w:tr2bl w:val="nil"/>
                  </w:tcBorders>
                  <w:vAlign w:val="center"/>
                </w:tcPr>
                <w:p w14:paraId="30C893D2">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t/a</w:t>
                  </w:r>
                </w:p>
              </w:tc>
              <w:tc>
                <w:tcPr>
                  <w:tcW w:w="677" w:type="pct"/>
                  <w:tcBorders>
                    <w:tl2br w:val="nil"/>
                    <w:tr2bl w:val="nil"/>
                  </w:tcBorders>
                  <w:vAlign w:val="center"/>
                </w:tcPr>
                <w:p w14:paraId="33F0AA34">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0.3</w:t>
                  </w:r>
                </w:p>
              </w:tc>
              <w:tc>
                <w:tcPr>
                  <w:tcW w:w="835" w:type="pct"/>
                  <w:tcBorders>
                    <w:tl2br w:val="nil"/>
                    <w:tr2bl w:val="nil"/>
                  </w:tcBorders>
                  <w:vAlign w:val="center"/>
                </w:tcPr>
                <w:p w14:paraId="6849A34B">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液体</w:t>
                  </w:r>
                </w:p>
              </w:tc>
              <w:tc>
                <w:tcPr>
                  <w:tcW w:w="575" w:type="pct"/>
                  <w:tcBorders>
                    <w:tl2br w:val="nil"/>
                    <w:tr2bl w:val="nil"/>
                  </w:tcBorders>
                  <w:shd w:val="clear" w:color="auto" w:fill="auto"/>
                  <w:vAlign w:val="center"/>
                </w:tcPr>
                <w:p w14:paraId="5DE62551">
                  <w:pPr>
                    <w:pStyle w:val="66"/>
                    <w:spacing w:line="240" w:lineRule="auto"/>
                    <w:ind w:left="0" w:right="0" w:firstLine="0" w:firstLineChars="0"/>
                    <w:rPr>
                      <w:color w:val="000000" w:themeColor="text1"/>
                      <w:sz w:val="21"/>
                    </w:rPr>
                  </w:pPr>
                  <w:r>
                    <w:rPr>
                      <w:color w:val="000000" w:themeColor="text1"/>
                      <w:sz w:val="21"/>
                    </w:rPr>
                    <w:t>桶装</w:t>
                  </w:r>
                  <w:r>
                    <w:rPr>
                      <w:rFonts w:hint="eastAsia"/>
                      <w:color w:val="000000" w:themeColor="text1"/>
                      <w:sz w:val="21"/>
                    </w:rPr>
                    <w:t>，25kg/桶</w:t>
                  </w:r>
                </w:p>
              </w:tc>
              <w:tc>
                <w:tcPr>
                  <w:tcW w:w="566" w:type="pct"/>
                  <w:tcBorders>
                    <w:tl2br w:val="nil"/>
                    <w:tr2bl w:val="nil"/>
                  </w:tcBorders>
                  <w:shd w:val="clear" w:color="auto" w:fill="auto"/>
                  <w:vAlign w:val="center"/>
                </w:tcPr>
                <w:p w14:paraId="474F8010">
                  <w:pPr>
                    <w:pStyle w:val="66"/>
                    <w:spacing w:line="240" w:lineRule="auto"/>
                    <w:ind w:left="0" w:right="0" w:firstLine="0" w:firstLineChars="0"/>
                    <w:rPr>
                      <w:color w:val="000000" w:themeColor="text1"/>
                      <w:sz w:val="21"/>
                    </w:rPr>
                  </w:pPr>
                  <w:r>
                    <w:rPr>
                      <w:rFonts w:hint="eastAsia"/>
                      <w:color w:val="000000" w:themeColor="text1"/>
                      <w:sz w:val="21"/>
                    </w:rPr>
                    <w:t>油品储存库</w:t>
                  </w:r>
                </w:p>
              </w:tc>
              <w:tc>
                <w:tcPr>
                  <w:tcW w:w="1202" w:type="pct"/>
                  <w:tcBorders>
                    <w:tl2br w:val="nil"/>
                    <w:tr2bl w:val="nil"/>
                  </w:tcBorders>
                  <w:shd w:val="clear" w:color="auto" w:fill="auto"/>
                  <w:vAlign w:val="center"/>
                </w:tcPr>
                <w:p w14:paraId="79E91399">
                  <w:pPr>
                    <w:pStyle w:val="66"/>
                    <w:spacing w:line="240" w:lineRule="auto"/>
                    <w:ind w:left="0" w:right="0" w:firstLine="0" w:firstLineChars="0"/>
                    <w:rPr>
                      <w:color w:val="000000" w:themeColor="text1"/>
                      <w:sz w:val="21"/>
                    </w:rPr>
                  </w:pPr>
                  <w:r>
                    <w:rPr>
                      <w:color w:val="000000" w:themeColor="text1"/>
                      <w:sz w:val="21"/>
                    </w:rPr>
                    <w:t>外购，</w:t>
                  </w:r>
                  <w:r>
                    <w:rPr>
                      <w:rFonts w:hint="eastAsia"/>
                      <w:color w:val="000000" w:themeColor="text1"/>
                      <w:sz w:val="21"/>
                    </w:rPr>
                    <w:t>用于机械设备维护保养，最大储存量75kg</w:t>
                  </w:r>
                </w:p>
              </w:tc>
            </w:tr>
            <w:tr w14:paraId="6BC05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vMerge w:val="restart"/>
                  <w:tcBorders>
                    <w:tl2br w:val="nil"/>
                    <w:tr2bl w:val="nil"/>
                  </w:tcBorders>
                  <w:vAlign w:val="center"/>
                </w:tcPr>
                <w:p w14:paraId="6F3D413F">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包装袋</w:t>
                  </w:r>
                </w:p>
              </w:tc>
              <w:tc>
                <w:tcPr>
                  <w:tcW w:w="473" w:type="pct"/>
                  <w:vMerge w:val="restart"/>
                  <w:tcBorders>
                    <w:tl2br w:val="nil"/>
                    <w:tr2bl w:val="nil"/>
                  </w:tcBorders>
                  <w:vAlign w:val="center"/>
                </w:tcPr>
                <w:p w14:paraId="6CFF621B">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个/a</w:t>
                  </w:r>
                </w:p>
              </w:tc>
              <w:tc>
                <w:tcPr>
                  <w:tcW w:w="677" w:type="pct"/>
                  <w:tcBorders>
                    <w:tl2br w:val="nil"/>
                    <w:tr2bl w:val="nil"/>
                  </w:tcBorders>
                  <w:vAlign w:val="center"/>
                </w:tcPr>
                <w:p w14:paraId="6705226B">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6500</w:t>
                  </w:r>
                </w:p>
              </w:tc>
              <w:tc>
                <w:tcPr>
                  <w:tcW w:w="835" w:type="pct"/>
                  <w:tcBorders>
                    <w:tl2br w:val="nil"/>
                    <w:tr2bl w:val="nil"/>
                  </w:tcBorders>
                  <w:vAlign w:val="center"/>
                </w:tcPr>
                <w:p w14:paraId="377274AC">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固体</w:t>
                  </w:r>
                </w:p>
              </w:tc>
              <w:tc>
                <w:tcPr>
                  <w:tcW w:w="575" w:type="pct"/>
                  <w:vMerge w:val="restart"/>
                  <w:tcBorders>
                    <w:tl2br w:val="nil"/>
                    <w:tr2bl w:val="nil"/>
                  </w:tcBorders>
                  <w:shd w:val="clear" w:color="auto" w:fill="auto"/>
                  <w:vAlign w:val="center"/>
                </w:tcPr>
                <w:p w14:paraId="365FA598">
                  <w:pPr>
                    <w:pStyle w:val="66"/>
                    <w:spacing w:line="240" w:lineRule="auto"/>
                    <w:ind w:left="0" w:right="0" w:firstLine="0" w:firstLineChars="0"/>
                    <w:rPr>
                      <w:color w:val="000000" w:themeColor="text1"/>
                      <w:sz w:val="21"/>
                    </w:rPr>
                  </w:pPr>
                  <w:r>
                    <w:rPr>
                      <w:rFonts w:hint="eastAsia"/>
                      <w:color w:val="000000" w:themeColor="text1"/>
                      <w:sz w:val="21"/>
                    </w:rPr>
                    <w:t>捆扎包装</w:t>
                  </w:r>
                </w:p>
              </w:tc>
              <w:tc>
                <w:tcPr>
                  <w:tcW w:w="566" w:type="pct"/>
                  <w:vMerge w:val="restart"/>
                  <w:tcBorders>
                    <w:tl2br w:val="nil"/>
                    <w:tr2bl w:val="nil"/>
                  </w:tcBorders>
                  <w:shd w:val="clear" w:color="auto" w:fill="auto"/>
                  <w:vAlign w:val="center"/>
                </w:tcPr>
                <w:p w14:paraId="7C3B34B6">
                  <w:pPr>
                    <w:pStyle w:val="66"/>
                    <w:spacing w:line="240" w:lineRule="auto"/>
                    <w:ind w:left="0" w:right="0" w:firstLine="0" w:firstLineChars="0"/>
                    <w:rPr>
                      <w:color w:val="000000" w:themeColor="text1"/>
                      <w:sz w:val="21"/>
                    </w:rPr>
                  </w:pPr>
                  <w:r>
                    <w:rPr>
                      <w:rFonts w:hint="eastAsia"/>
                      <w:color w:val="000000" w:themeColor="text1"/>
                      <w:sz w:val="21"/>
                    </w:rPr>
                    <w:t>厂房内</w:t>
                  </w:r>
                </w:p>
              </w:tc>
              <w:tc>
                <w:tcPr>
                  <w:tcW w:w="1202" w:type="pct"/>
                  <w:tcBorders>
                    <w:tl2br w:val="nil"/>
                    <w:tr2bl w:val="nil"/>
                  </w:tcBorders>
                  <w:shd w:val="clear" w:color="auto" w:fill="auto"/>
                  <w:vAlign w:val="center"/>
                </w:tcPr>
                <w:p w14:paraId="16686E43">
                  <w:pPr>
                    <w:pStyle w:val="66"/>
                    <w:spacing w:line="240" w:lineRule="auto"/>
                    <w:ind w:left="0" w:right="0" w:firstLine="0" w:firstLineChars="0"/>
                    <w:rPr>
                      <w:color w:val="000000" w:themeColor="text1"/>
                      <w:sz w:val="21"/>
                    </w:rPr>
                  </w:pPr>
                  <w:r>
                    <w:rPr>
                      <w:rFonts w:hint="eastAsia"/>
                      <w:color w:val="000000" w:themeColor="text1"/>
                      <w:sz w:val="21"/>
                    </w:rPr>
                    <w:t>外购，吨包袋</w:t>
                  </w:r>
                </w:p>
              </w:tc>
            </w:tr>
            <w:tr w14:paraId="09C6F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vMerge w:val="continue"/>
                  <w:tcBorders>
                    <w:tl2br w:val="nil"/>
                    <w:tr2bl w:val="nil"/>
                  </w:tcBorders>
                  <w:vAlign w:val="center"/>
                </w:tcPr>
                <w:p w14:paraId="0913130B">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p>
              </w:tc>
              <w:tc>
                <w:tcPr>
                  <w:tcW w:w="473" w:type="pct"/>
                  <w:vMerge w:val="continue"/>
                  <w:tcBorders>
                    <w:tl2br w:val="nil"/>
                    <w:tr2bl w:val="nil"/>
                  </w:tcBorders>
                  <w:vAlign w:val="center"/>
                </w:tcPr>
                <w:p w14:paraId="20738938">
                  <w:pPr>
                    <w:autoSpaceDE w:val="0"/>
                    <w:autoSpaceDN w:val="0"/>
                    <w:adjustRightInd w:val="0"/>
                    <w:spacing w:line="240" w:lineRule="auto"/>
                    <w:ind w:firstLine="0" w:firstLineChars="0"/>
                    <w:jc w:val="center"/>
                    <w:rPr>
                      <w:snapToGrid w:val="0"/>
                      <w:color w:val="000000" w:themeColor="text1"/>
                      <w:kern w:val="0"/>
                      <w:sz w:val="21"/>
                      <w:szCs w:val="21"/>
                    </w:rPr>
                  </w:pPr>
                </w:p>
              </w:tc>
              <w:tc>
                <w:tcPr>
                  <w:tcW w:w="677" w:type="pct"/>
                  <w:tcBorders>
                    <w:tl2br w:val="nil"/>
                    <w:tr2bl w:val="nil"/>
                  </w:tcBorders>
                  <w:vAlign w:val="center"/>
                </w:tcPr>
                <w:p w14:paraId="2A3C8E89">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140000</w:t>
                  </w:r>
                </w:p>
              </w:tc>
              <w:tc>
                <w:tcPr>
                  <w:tcW w:w="835" w:type="pct"/>
                  <w:tcBorders>
                    <w:tl2br w:val="nil"/>
                    <w:tr2bl w:val="nil"/>
                  </w:tcBorders>
                  <w:vAlign w:val="center"/>
                </w:tcPr>
                <w:p w14:paraId="0C9681AF">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固体</w:t>
                  </w:r>
                </w:p>
              </w:tc>
              <w:tc>
                <w:tcPr>
                  <w:tcW w:w="575" w:type="pct"/>
                  <w:vMerge w:val="continue"/>
                  <w:tcBorders>
                    <w:tl2br w:val="nil"/>
                    <w:tr2bl w:val="nil"/>
                  </w:tcBorders>
                  <w:shd w:val="clear" w:color="auto" w:fill="auto"/>
                  <w:vAlign w:val="center"/>
                </w:tcPr>
                <w:p w14:paraId="135EF760">
                  <w:pPr>
                    <w:pStyle w:val="66"/>
                    <w:spacing w:line="240" w:lineRule="auto"/>
                    <w:ind w:left="0" w:right="0" w:firstLine="0" w:firstLineChars="0"/>
                    <w:rPr>
                      <w:color w:val="000000" w:themeColor="text1"/>
                      <w:sz w:val="21"/>
                    </w:rPr>
                  </w:pPr>
                </w:p>
              </w:tc>
              <w:tc>
                <w:tcPr>
                  <w:tcW w:w="566" w:type="pct"/>
                  <w:vMerge w:val="continue"/>
                  <w:tcBorders>
                    <w:tl2br w:val="nil"/>
                    <w:tr2bl w:val="nil"/>
                  </w:tcBorders>
                  <w:shd w:val="clear" w:color="auto" w:fill="auto"/>
                  <w:vAlign w:val="center"/>
                </w:tcPr>
                <w:p w14:paraId="77ABF0AA">
                  <w:pPr>
                    <w:pStyle w:val="66"/>
                    <w:spacing w:line="240" w:lineRule="auto"/>
                    <w:ind w:left="0" w:right="0" w:firstLine="0" w:firstLineChars="0"/>
                    <w:rPr>
                      <w:color w:val="000000" w:themeColor="text1"/>
                      <w:sz w:val="21"/>
                    </w:rPr>
                  </w:pPr>
                </w:p>
              </w:tc>
              <w:tc>
                <w:tcPr>
                  <w:tcW w:w="1202" w:type="pct"/>
                  <w:tcBorders>
                    <w:tl2br w:val="nil"/>
                    <w:tr2bl w:val="nil"/>
                  </w:tcBorders>
                  <w:shd w:val="clear" w:color="auto" w:fill="auto"/>
                  <w:vAlign w:val="center"/>
                </w:tcPr>
                <w:p w14:paraId="4A67570C">
                  <w:pPr>
                    <w:pStyle w:val="66"/>
                    <w:spacing w:line="240" w:lineRule="auto"/>
                    <w:ind w:left="0" w:right="0" w:firstLine="0" w:firstLineChars="0"/>
                    <w:rPr>
                      <w:color w:val="000000" w:themeColor="text1"/>
                      <w:sz w:val="21"/>
                    </w:rPr>
                  </w:pPr>
                  <w:r>
                    <w:rPr>
                      <w:rFonts w:hint="eastAsia"/>
                      <w:color w:val="000000" w:themeColor="text1"/>
                      <w:sz w:val="21"/>
                    </w:rPr>
                    <w:t>外购，25kg/袋</w:t>
                  </w:r>
                </w:p>
              </w:tc>
            </w:tr>
            <w:tr w14:paraId="77199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541E6386">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布袋</w:t>
                  </w:r>
                </w:p>
              </w:tc>
              <w:tc>
                <w:tcPr>
                  <w:tcW w:w="473" w:type="pct"/>
                  <w:tcBorders>
                    <w:tl2br w:val="nil"/>
                    <w:tr2bl w:val="nil"/>
                  </w:tcBorders>
                  <w:vAlign w:val="center"/>
                </w:tcPr>
                <w:p w14:paraId="2CE3D1FB">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t/a</w:t>
                  </w:r>
                </w:p>
              </w:tc>
              <w:tc>
                <w:tcPr>
                  <w:tcW w:w="677" w:type="pct"/>
                  <w:tcBorders>
                    <w:tl2br w:val="nil"/>
                    <w:tr2bl w:val="nil"/>
                  </w:tcBorders>
                  <w:vAlign w:val="center"/>
                </w:tcPr>
                <w:p w14:paraId="0FDE67F7">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w:t>
                  </w:r>
                </w:p>
              </w:tc>
              <w:tc>
                <w:tcPr>
                  <w:tcW w:w="835" w:type="pct"/>
                  <w:tcBorders>
                    <w:tl2br w:val="nil"/>
                    <w:tr2bl w:val="nil"/>
                  </w:tcBorders>
                  <w:vAlign w:val="center"/>
                </w:tcPr>
                <w:p w14:paraId="21EFAB51">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固体</w:t>
                  </w:r>
                </w:p>
              </w:tc>
              <w:tc>
                <w:tcPr>
                  <w:tcW w:w="575" w:type="pct"/>
                  <w:tcBorders>
                    <w:tl2br w:val="nil"/>
                    <w:tr2bl w:val="nil"/>
                  </w:tcBorders>
                  <w:shd w:val="clear" w:color="auto" w:fill="auto"/>
                  <w:vAlign w:val="center"/>
                </w:tcPr>
                <w:p w14:paraId="4CD1165D">
                  <w:pPr>
                    <w:pStyle w:val="66"/>
                    <w:spacing w:line="240" w:lineRule="auto"/>
                    <w:ind w:left="0" w:right="0" w:firstLine="0" w:firstLineChars="0"/>
                    <w:rPr>
                      <w:color w:val="000000" w:themeColor="text1"/>
                      <w:sz w:val="21"/>
                    </w:rPr>
                  </w:pPr>
                  <w:r>
                    <w:rPr>
                      <w:rFonts w:hint="eastAsia"/>
                      <w:color w:val="000000" w:themeColor="text1"/>
                      <w:sz w:val="21"/>
                    </w:rPr>
                    <w:t>/</w:t>
                  </w:r>
                </w:p>
              </w:tc>
              <w:tc>
                <w:tcPr>
                  <w:tcW w:w="566" w:type="pct"/>
                  <w:tcBorders>
                    <w:tl2br w:val="nil"/>
                    <w:tr2bl w:val="nil"/>
                  </w:tcBorders>
                  <w:shd w:val="clear" w:color="auto" w:fill="auto"/>
                  <w:vAlign w:val="center"/>
                </w:tcPr>
                <w:p w14:paraId="4D0353AD">
                  <w:pPr>
                    <w:pStyle w:val="66"/>
                    <w:spacing w:line="240" w:lineRule="auto"/>
                    <w:ind w:left="0" w:right="0" w:firstLine="0" w:firstLineChars="0"/>
                    <w:rPr>
                      <w:color w:val="000000" w:themeColor="text1"/>
                      <w:sz w:val="21"/>
                    </w:rPr>
                  </w:pPr>
                  <w:r>
                    <w:rPr>
                      <w:rFonts w:hint="eastAsia"/>
                      <w:color w:val="000000" w:themeColor="text1"/>
                      <w:sz w:val="21"/>
                    </w:rPr>
                    <w:t>随用随买</w:t>
                  </w:r>
                </w:p>
              </w:tc>
              <w:tc>
                <w:tcPr>
                  <w:tcW w:w="1202" w:type="pct"/>
                  <w:tcBorders>
                    <w:tl2br w:val="nil"/>
                    <w:tr2bl w:val="nil"/>
                  </w:tcBorders>
                  <w:shd w:val="clear" w:color="auto" w:fill="auto"/>
                  <w:vAlign w:val="center"/>
                </w:tcPr>
                <w:p w14:paraId="79A52C87">
                  <w:pPr>
                    <w:pStyle w:val="66"/>
                    <w:spacing w:line="240" w:lineRule="auto"/>
                    <w:ind w:left="0" w:right="0" w:firstLine="0" w:firstLineChars="0"/>
                    <w:rPr>
                      <w:color w:val="000000" w:themeColor="text1"/>
                      <w:sz w:val="21"/>
                    </w:rPr>
                  </w:pPr>
                  <w:r>
                    <w:rPr>
                      <w:rFonts w:hint="eastAsia"/>
                      <w:color w:val="000000" w:themeColor="text1"/>
                      <w:sz w:val="21"/>
                    </w:rPr>
                    <w:t>外购，用于布袋除尘器更换布袋</w:t>
                  </w:r>
                </w:p>
              </w:tc>
            </w:tr>
            <w:tr w14:paraId="0801D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7FF08B33">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新水</w:t>
                  </w:r>
                </w:p>
              </w:tc>
              <w:tc>
                <w:tcPr>
                  <w:tcW w:w="473" w:type="pct"/>
                  <w:tcBorders>
                    <w:tl2br w:val="nil"/>
                    <w:tr2bl w:val="nil"/>
                  </w:tcBorders>
                  <w:vAlign w:val="center"/>
                </w:tcPr>
                <w:p w14:paraId="64A415B7">
                  <w:pPr>
                    <w:autoSpaceDE w:val="0"/>
                    <w:autoSpaceDN w:val="0"/>
                    <w:adjustRightIn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m</w:t>
                  </w:r>
                  <w:r>
                    <w:rPr>
                      <w:snapToGrid w:val="0"/>
                      <w:color w:val="000000" w:themeColor="text1"/>
                      <w:kern w:val="0"/>
                      <w:sz w:val="21"/>
                      <w:szCs w:val="21"/>
                      <w:vertAlign w:val="superscript"/>
                    </w:rPr>
                    <w:t>3</w:t>
                  </w:r>
                  <w:r>
                    <w:rPr>
                      <w:snapToGrid w:val="0"/>
                      <w:color w:val="000000" w:themeColor="text1"/>
                      <w:kern w:val="0"/>
                      <w:sz w:val="21"/>
                      <w:szCs w:val="21"/>
                    </w:rPr>
                    <w:t>/a</w:t>
                  </w:r>
                </w:p>
              </w:tc>
              <w:tc>
                <w:tcPr>
                  <w:tcW w:w="677" w:type="pct"/>
                  <w:tcBorders>
                    <w:tl2br w:val="nil"/>
                    <w:tr2bl w:val="nil"/>
                  </w:tcBorders>
                  <w:vAlign w:val="center"/>
                </w:tcPr>
                <w:p w14:paraId="3AF32768">
                  <w:pPr>
                    <w:autoSpaceDE w:val="0"/>
                    <w:autoSpaceDN w:val="0"/>
                    <w:adjustRightIn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158.4</w:t>
                  </w:r>
                </w:p>
              </w:tc>
              <w:tc>
                <w:tcPr>
                  <w:tcW w:w="835" w:type="pct"/>
                  <w:tcBorders>
                    <w:tl2br w:val="nil"/>
                    <w:tr2bl w:val="nil"/>
                  </w:tcBorders>
                  <w:shd w:val="clear" w:color="auto" w:fill="auto"/>
                  <w:vAlign w:val="center"/>
                </w:tcPr>
                <w:p w14:paraId="42467180">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液体</w:t>
                  </w:r>
                </w:p>
              </w:tc>
              <w:tc>
                <w:tcPr>
                  <w:tcW w:w="575" w:type="pct"/>
                  <w:tcBorders>
                    <w:tl2br w:val="nil"/>
                    <w:tr2bl w:val="nil"/>
                  </w:tcBorders>
                  <w:shd w:val="clear" w:color="auto" w:fill="auto"/>
                  <w:vAlign w:val="center"/>
                </w:tcPr>
                <w:p w14:paraId="0A76AC7F">
                  <w:pPr>
                    <w:pStyle w:val="66"/>
                    <w:spacing w:line="240" w:lineRule="auto"/>
                    <w:ind w:left="0" w:right="0" w:firstLine="0" w:firstLineChars="0"/>
                    <w:rPr>
                      <w:color w:val="000000" w:themeColor="text1"/>
                      <w:sz w:val="21"/>
                    </w:rPr>
                  </w:pPr>
                  <w:r>
                    <w:rPr>
                      <w:rFonts w:hint="eastAsia"/>
                      <w:color w:val="000000" w:themeColor="text1"/>
                      <w:sz w:val="21"/>
                    </w:rPr>
                    <w:t>/</w:t>
                  </w:r>
                </w:p>
              </w:tc>
              <w:tc>
                <w:tcPr>
                  <w:tcW w:w="566" w:type="pct"/>
                  <w:tcBorders>
                    <w:tl2br w:val="nil"/>
                    <w:tr2bl w:val="nil"/>
                  </w:tcBorders>
                  <w:shd w:val="clear" w:color="auto" w:fill="auto"/>
                  <w:vAlign w:val="center"/>
                </w:tcPr>
                <w:p w14:paraId="5F2BD162">
                  <w:pPr>
                    <w:pStyle w:val="66"/>
                    <w:spacing w:line="240" w:lineRule="auto"/>
                    <w:ind w:left="0" w:right="0" w:firstLine="0" w:firstLineChars="0"/>
                    <w:rPr>
                      <w:color w:val="000000" w:themeColor="text1"/>
                      <w:sz w:val="21"/>
                    </w:rPr>
                  </w:pPr>
                  <w:r>
                    <w:rPr>
                      <w:color w:val="000000" w:themeColor="text1"/>
                      <w:sz w:val="21"/>
                    </w:rPr>
                    <w:t>/</w:t>
                  </w:r>
                </w:p>
              </w:tc>
              <w:tc>
                <w:tcPr>
                  <w:tcW w:w="1202" w:type="pct"/>
                  <w:tcBorders>
                    <w:tl2br w:val="nil"/>
                    <w:tr2bl w:val="nil"/>
                  </w:tcBorders>
                  <w:shd w:val="clear" w:color="auto" w:fill="auto"/>
                  <w:vAlign w:val="center"/>
                </w:tcPr>
                <w:p w14:paraId="453FC38C">
                  <w:pPr>
                    <w:pStyle w:val="66"/>
                    <w:spacing w:line="240" w:lineRule="auto"/>
                    <w:ind w:left="0" w:right="0" w:firstLine="0" w:firstLineChars="0"/>
                    <w:rPr>
                      <w:color w:val="000000" w:themeColor="text1"/>
                      <w:sz w:val="21"/>
                    </w:rPr>
                  </w:pPr>
                  <w:r>
                    <w:rPr>
                      <w:color w:val="000000" w:themeColor="text1"/>
                      <w:sz w:val="21"/>
                    </w:rPr>
                    <w:t>由</w:t>
                  </w:r>
                  <w:r>
                    <w:rPr>
                      <w:rFonts w:hint="eastAsia"/>
                      <w:color w:val="000000" w:themeColor="text1"/>
                      <w:sz w:val="21"/>
                    </w:rPr>
                    <w:t>园区</w:t>
                  </w:r>
                  <w:r>
                    <w:rPr>
                      <w:color w:val="000000" w:themeColor="text1"/>
                      <w:sz w:val="21"/>
                    </w:rPr>
                    <w:t>供水管网提供</w:t>
                  </w:r>
                </w:p>
              </w:tc>
            </w:tr>
            <w:tr w14:paraId="040C2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70" w:type="pct"/>
                  <w:gridSpan w:val="2"/>
                  <w:tcBorders>
                    <w:tl2br w:val="nil"/>
                    <w:tr2bl w:val="nil"/>
                  </w:tcBorders>
                  <w:vAlign w:val="center"/>
                </w:tcPr>
                <w:p w14:paraId="2F36AD90">
                  <w:pPr>
                    <w:pStyle w:val="65"/>
                    <w:widowControl/>
                    <w:spacing w:line="240" w:lineRule="auto"/>
                    <w:ind w:firstLine="0" w:firstLineChars="0"/>
                    <w:jc w:val="center"/>
                    <w:textAlignment w:val="baseline"/>
                    <w:rPr>
                      <w:rFonts w:ascii="Times New Roman" w:hAnsi="Times New Roman" w:cs="Times New Roman"/>
                      <w:snapToGrid w:val="0"/>
                      <w:color w:val="000000" w:themeColor="text1"/>
                      <w:kern w:val="0"/>
                      <w:sz w:val="21"/>
                      <w:szCs w:val="21"/>
                      <w:lang w:eastAsia="zh-CN"/>
                    </w:rPr>
                  </w:pPr>
                  <w:r>
                    <w:rPr>
                      <w:rFonts w:hint="eastAsia" w:ascii="Times New Roman" w:hAnsi="Times New Roman" w:cs="Times New Roman"/>
                      <w:snapToGrid w:val="0"/>
                      <w:color w:val="000000" w:themeColor="text1"/>
                      <w:kern w:val="0"/>
                      <w:sz w:val="21"/>
                      <w:szCs w:val="21"/>
                      <w:lang w:eastAsia="zh-CN"/>
                    </w:rPr>
                    <w:t>电</w:t>
                  </w:r>
                </w:p>
              </w:tc>
              <w:tc>
                <w:tcPr>
                  <w:tcW w:w="473" w:type="pct"/>
                  <w:tcBorders>
                    <w:tl2br w:val="nil"/>
                    <w:tr2bl w:val="nil"/>
                  </w:tcBorders>
                  <w:shd w:val="clear" w:color="auto" w:fill="auto"/>
                  <w:vAlign w:val="center"/>
                </w:tcPr>
                <w:p w14:paraId="766D2911">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万kW</w:t>
                  </w:r>
                  <w:r>
                    <w:rPr>
                      <w:snapToGrid w:val="0"/>
                      <w:color w:val="000000" w:themeColor="text1"/>
                      <w:kern w:val="0"/>
                      <w:sz w:val="21"/>
                      <w:szCs w:val="21"/>
                    </w:rPr>
                    <w:t>h/a</w:t>
                  </w:r>
                </w:p>
              </w:tc>
              <w:tc>
                <w:tcPr>
                  <w:tcW w:w="677" w:type="pct"/>
                  <w:tcBorders>
                    <w:tl2br w:val="nil"/>
                    <w:tr2bl w:val="nil"/>
                  </w:tcBorders>
                  <w:shd w:val="clear" w:color="auto" w:fill="auto"/>
                  <w:vAlign w:val="center"/>
                </w:tcPr>
                <w:p w14:paraId="1C89D6AC">
                  <w:pPr>
                    <w:autoSpaceDE w:val="0"/>
                    <w:autoSpaceDN w:val="0"/>
                    <w:adjustRightIn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180</w:t>
                  </w:r>
                </w:p>
              </w:tc>
              <w:tc>
                <w:tcPr>
                  <w:tcW w:w="835" w:type="pct"/>
                  <w:tcBorders>
                    <w:tl2br w:val="nil"/>
                    <w:tr2bl w:val="nil"/>
                  </w:tcBorders>
                  <w:shd w:val="clear" w:color="auto" w:fill="auto"/>
                  <w:vAlign w:val="center"/>
                </w:tcPr>
                <w:p w14:paraId="610BE451">
                  <w:pPr>
                    <w:autoSpaceDE w:val="0"/>
                    <w:autoSpaceDN w:val="0"/>
                    <w:adjustRightIn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w:t>
                  </w:r>
                </w:p>
              </w:tc>
              <w:tc>
                <w:tcPr>
                  <w:tcW w:w="575" w:type="pct"/>
                  <w:tcBorders>
                    <w:tl2br w:val="nil"/>
                    <w:tr2bl w:val="nil"/>
                  </w:tcBorders>
                  <w:shd w:val="clear" w:color="auto" w:fill="auto"/>
                  <w:vAlign w:val="center"/>
                </w:tcPr>
                <w:p w14:paraId="7FA47B71">
                  <w:pPr>
                    <w:pStyle w:val="66"/>
                    <w:spacing w:line="240" w:lineRule="auto"/>
                    <w:ind w:left="0" w:right="0" w:firstLine="0" w:firstLineChars="0"/>
                    <w:rPr>
                      <w:color w:val="000000" w:themeColor="text1"/>
                      <w:sz w:val="21"/>
                    </w:rPr>
                  </w:pPr>
                  <w:r>
                    <w:rPr>
                      <w:rFonts w:hint="eastAsia"/>
                      <w:color w:val="000000" w:themeColor="text1"/>
                      <w:sz w:val="21"/>
                    </w:rPr>
                    <w:t>/</w:t>
                  </w:r>
                </w:p>
              </w:tc>
              <w:tc>
                <w:tcPr>
                  <w:tcW w:w="566" w:type="pct"/>
                  <w:tcBorders>
                    <w:tl2br w:val="nil"/>
                    <w:tr2bl w:val="nil"/>
                  </w:tcBorders>
                  <w:shd w:val="clear" w:color="auto" w:fill="auto"/>
                  <w:vAlign w:val="center"/>
                </w:tcPr>
                <w:p w14:paraId="41AC755A">
                  <w:pPr>
                    <w:pStyle w:val="66"/>
                    <w:spacing w:line="240" w:lineRule="auto"/>
                    <w:ind w:left="0" w:right="0" w:firstLine="0" w:firstLineChars="0"/>
                    <w:rPr>
                      <w:color w:val="000000" w:themeColor="text1"/>
                      <w:sz w:val="21"/>
                    </w:rPr>
                  </w:pPr>
                  <w:r>
                    <w:rPr>
                      <w:color w:val="000000" w:themeColor="text1"/>
                      <w:sz w:val="21"/>
                    </w:rPr>
                    <w:t>/</w:t>
                  </w:r>
                </w:p>
              </w:tc>
              <w:tc>
                <w:tcPr>
                  <w:tcW w:w="1202" w:type="pct"/>
                  <w:tcBorders>
                    <w:tl2br w:val="nil"/>
                    <w:tr2bl w:val="nil"/>
                  </w:tcBorders>
                  <w:shd w:val="clear" w:color="auto" w:fill="auto"/>
                  <w:vAlign w:val="center"/>
                </w:tcPr>
                <w:p w14:paraId="630C6A5B">
                  <w:pPr>
                    <w:pStyle w:val="66"/>
                    <w:spacing w:line="240" w:lineRule="auto"/>
                    <w:ind w:left="0" w:right="0" w:firstLine="0" w:firstLineChars="0"/>
                    <w:rPr>
                      <w:color w:val="000000" w:themeColor="text1"/>
                      <w:sz w:val="21"/>
                    </w:rPr>
                  </w:pPr>
                  <w:r>
                    <w:rPr>
                      <w:color w:val="000000" w:themeColor="text1"/>
                      <w:sz w:val="21"/>
                    </w:rPr>
                    <w:t>由</w:t>
                  </w:r>
                  <w:r>
                    <w:rPr>
                      <w:rFonts w:hint="eastAsia"/>
                      <w:color w:val="000000" w:themeColor="text1"/>
                      <w:sz w:val="21"/>
                    </w:rPr>
                    <w:t>园区</w:t>
                  </w:r>
                  <w:r>
                    <w:rPr>
                      <w:color w:val="000000" w:themeColor="text1"/>
                      <w:sz w:val="21"/>
                    </w:rPr>
                    <w:t>供电管网提供</w:t>
                  </w:r>
                </w:p>
              </w:tc>
            </w:tr>
          </w:tbl>
          <w:p w14:paraId="6C828C80">
            <w:pPr>
              <w:ind w:firstLine="480"/>
              <w:rPr>
                <w:color w:val="000000" w:themeColor="text1"/>
              </w:rPr>
            </w:pPr>
            <w:r>
              <w:rPr>
                <w:color w:val="000000" w:themeColor="text1"/>
              </w:rPr>
              <w:t>原辅材料中与污染物排放有关的物质：</w:t>
            </w:r>
          </w:p>
          <w:p w14:paraId="3897AFA3">
            <w:pPr>
              <w:ind w:firstLine="480"/>
              <w:rPr>
                <w:color w:val="000000" w:themeColor="text1"/>
              </w:rPr>
            </w:pPr>
            <w:r>
              <w:rPr>
                <w:color w:val="000000" w:themeColor="text1"/>
              </w:rPr>
              <w:t>废气：本项目</w:t>
            </w:r>
            <w:r>
              <w:rPr>
                <w:rFonts w:hint="eastAsia"/>
                <w:color w:val="000000" w:themeColor="text1"/>
              </w:rPr>
              <w:t>原料锯末在</w:t>
            </w:r>
            <w:r>
              <w:rPr>
                <w:rFonts w:hint="eastAsia"/>
                <w:snapToGrid w:val="0"/>
                <w:color w:val="000000" w:themeColor="text1"/>
                <w:kern w:val="0"/>
              </w:rPr>
              <w:t>装卸、堆存、</w:t>
            </w:r>
            <w:r>
              <w:rPr>
                <w:rStyle w:val="53"/>
                <w:rFonts w:hint="eastAsia"/>
                <w:b w:val="0"/>
                <w:color w:val="000000" w:themeColor="text1"/>
                <w:sz w:val="24"/>
                <w:szCs w:val="24"/>
              </w:rPr>
              <w:t>铲车转运、上料斗上料、</w:t>
            </w:r>
            <w:r>
              <w:rPr>
                <w:rFonts w:hint="eastAsia"/>
                <w:color w:val="000000" w:themeColor="text1"/>
              </w:rPr>
              <w:t>烘干、中转仓落料及入料、制粒、筛分及筛下料落料、成品网状料仓入料及冷却、成品皮带输送机落料、打包机包装过程</w:t>
            </w:r>
            <w:r>
              <w:rPr>
                <w:color w:val="000000" w:themeColor="text1"/>
              </w:rPr>
              <w:t>会产生颗粒物；</w:t>
            </w:r>
            <w:r>
              <w:rPr>
                <w:rFonts w:hint="eastAsia"/>
                <w:color w:val="000000" w:themeColor="text1"/>
              </w:rPr>
              <w:t>热风炉燃烧自产生物质能源颗粒会产生颗粒物、二氧化硫、氮氧化物、汞、烟气黑度等燃烧废气</w:t>
            </w:r>
            <w:r>
              <w:rPr>
                <w:color w:val="000000" w:themeColor="text1"/>
              </w:rPr>
              <w:t>。</w:t>
            </w:r>
          </w:p>
          <w:p w14:paraId="28BDCF72">
            <w:pPr>
              <w:ind w:firstLine="480"/>
              <w:rPr>
                <w:color w:val="000000" w:themeColor="text1"/>
              </w:rPr>
            </w:pPr>
            <w:r>
              <w:rPr>
                <w:color w:val="000000" w:themeColor="text1"/>
              </w:rPr>
              <w:t>固体废物：</w:t>
            </w:r>
            <w:r>
              <w:rPr>
                <w:rFonts w:hint="eastAsia"/>
                <w:color w:val="000000" w:themeColor="text1"/>
              </w:rPr>
              <w:t>锯末在滚筒筛筛分过程会产生大块木废边角料，在振筛筛分过程会产生不合格品，在砂石分离过程会产生石子等硬质杂质；热风炉燃烧自产生物质能源颗粒会产生灰渣；布袋在布袋除尘器更换滤袋后产生废布袋；包装袋在包装过程会产生废包装袋；液压油、机油、润滑油在维护和保养过程中会产生废液压油、废机油、废润滑油、废油桶</w:t>
            </w:r>
            <w:r>
              <w:rPr>
                <w:color w:val="000000" w:themeColor="text1"/>
              </w:rPr>
              <w:t>。</w:t>
            </w:r>
          </w:p>
          <w:p w14:paraId="3E2A598A">
            <w:pPr>
              <w:ind w:firstLine="480"/>
              <w:rPr>
                <w:color w:val="000000" w:themeColor="text1"/>
              </w:rPr>
            </w:pPr>
            <w:r>
              <w:rPr>
                <w:color w:val="000000" w:themeColor="text1"/>
              </w:rPr>
              <w:t>物料平衡：</w:t>
            </w:r>
          </w:p>
          <w:p w14:paraId="335464AE">
            <w:pPr>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14</w:t>
            </w:r>
            <w:r>
              <w:rPr>
                <w:b/>
                <w:bCs/>
                <w:color w:val="000000" w:themeColor="text1"/>
                <w:sz w:val="21"/>
                <w:szCs w:val="21"/>
              </w:rPr>
              <w:t xml:space="preserve">   </w:t>
            </w:r>
            <w:r>
              <w:rPr>
                <w:rFonts w:hint="eastAsia"/>
                <w:b/>
                <w:bCs/>
                <w:color w:val="000000" w:themeColor="text1"/>
                <w:sz w:val="21"/>
                <w:szCs w:val="21"/>
              </w:rPr>
              <w:t>生物质能源颗粒生产线</w:t>
            </w:r>
            <w:r>
              <w:rPr>
                <w:b/>
                <w:bCs/>
                <w:color w:val="000000" w:themeColor="text1"/>
                <w:sz w:val="21"/>
                <w:szCs w:val="21"/>
              </w:rPr>
              <w:t>物料平衡一览表   单位：t/a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75"/>
              <w:gridCol w:w="1412"/>
              <w:gridCol w:w="3331"/>
              <w:gridCol w:w="1365"/>
            </w:tblGrid>
            <w:tr w14:paraId="11C92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pct"/>
                  <w:vMerge w:val="restart"/>
                  <w:tcBorders>
                    <w:tl2br w:val="nil"/>
                    <w:tr2bl w:val="nil"/>
                  </w:tcBorders>
                  <w:vAlign w:val="center"/>
                </w:tcPr>
                <w:p w14:paraId="49F20A1B">
                  <w:pPr>
                    <w:spacing w:line="240" w:lineRule="auto"/>
                    <w:ind w:firstLine="0" w:firstLineChars="0"/>
                    <w:jc w:val="center"/>
                    <w:rPr>
                      <w:b/>
                      <w:bCs/>
                      <w:color w:val="000000" w:themeColor="text1"/>
                      <w:sz w:val="21"/>
                      <w:szCs w:val="21"/>
                    </w:rPr>
                  </w:pPr>
                  <w:r>
                    <w:rPr>
                      <w:b/>
                      <w:bCs/>
                      <w:color w:val="000000" w:themeColor="text1"/>
                      <w:sz w:val="21"/>
                      <w:szCs w:val="21"/>
                    </w:rPr>
                    <w:t>序号</w:t>
                  </w:r>
                </w:p>
              </w:tc>
              <w:tc>
                <w:tcPr>
                  <w:tcW w:w="1669" w:type="pct"/>
                  <w:gridSpan w:val="2"/>
                  <w:tcBorders>
                    <w:tl2br w:val="nil"/>
                    <w:tr2bl w:val="nil"/>
                  </w:tcBorders>
                  <w:vAlign w:val="center"/>
                </w:tcPr>
                <w:p w14:paraId="0C7F839B">
                  <w:pPr>
                    <w:spacing w:line="240" w:lineRule="auto"/>
                    <w:ind w:firstLine="0" w:firstLineChars="0"/>
                    <w:jc w:val="center"/>
                    <w:rPr>
                      <w:b/>
                      <w:bCs/>
                      <w:color w:val="000000" w:themeColor="text1"/>
                      <w:sz w:val="21"/>
                      <w:szCs w:val="21"/>
                    </w:rPr>
                  </w:pPr>
                  <w:r>
                    <w:rPr>
                      <w:b/>
                      <w:bCs/>
                      <w:color w:val="000000" w:themeColor="text1"/>
                      <w:sz w:val="21"/>
                      <w:szCs w:val="21"/>
                    </w:rPr>
                    <w:t>输入</w:t>
                  </w:r>
                </w:p>
              </w:tc>
              <w:tc>
                <w:tcPr>
                  <w:tcW w:w="2917" w:type="pct"/>
                  <w:gridSpan w:val="2"/>
                  <w:tcBorders>
                    <w:tl2br w:val="nil"/>
                    <w:tr2bl w:val="nil"/>
                  </w:tcBorders>
                  <w:vAlign w:val="center"/>
                </w:tcPr>
                <w:p w14:paraId="054BB53E">
                  <w:pPr>
                    <w:spacing w:line="240" w:lineRule="auto"/>
                    <w:ind w:firstLine="0" w:firstLineChars="0"/>
                    <w:jc w:val="center"/>
                    <w:rPr>
                      <w:b/>
                      <w:bCs/>
                      <w:color w:val="000000" w:themeColor="text1"/>
                      <w:sz w:val="21"/>
                      <w:szCs w:val="21"/>
                    </w:rPr>
                  </w:pPr>
                  <w:r>
                    <w:rPr>
                      <w:b/>
                      <w:bCs/>
                      <w:color w:val="000000" w:themeColor="text1"/>
                      <w:sz w:val="21"/>
                      <w:szCs w:val="21"/>
                    </w:rPr>
                    <w:t>输出</w:t>
                  </w:r>
                </w:p>
              </w:tc>
            </w:tr>
            <w:tr w14:paraId="7132D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3" w:type="pct"/>
                  <w:vMerge w:val="continue"/>
                  <w:tcBorders>
                    <w:tl2br w:val="nil"/>
                    <w:tr2bl w:val="nil"/>
                  </w:tcBorders>
                  <w:vAlign w:val="center"/>
                </w:tcPr>
                <w:p w14:paraId="7FF32730">
                  <w:pPr>
                    <w:spacing w:line="240" w:lineRule="auto"/>
                    <w:ind w:firstLine="0" w:firstLineChars="0"/>
                    <w:jc w:val="center"/>
                    <w:rPr>
                      <w:b/>
                      <w:bCs/>
                      <w:color w:val="000000" w:themeColor="text1"/>
                      <w:sz w:val="21"/>
                      <w:szCs w:val="21"/>
                    </w:rPr>
                  </w:pPr>
                </w:p>
              </w:tc>
              <w:tc>
                <w:tcPr>
                  <w:tcW w:w="792" w:type="pct"/>
                  <w:tcBorders>
                    <w:tl2br w:val="nil"/>
                    <w:tr2bl w:val="nil"/>
                  </w:tcBorders>
                  <w:vAlign w:val="center"/>
                </w:tcPr>
                <w:p w14:paraId="493705B1">
                  <w:pPr>
                    <w:spacing w:line="240" w:lineRule="auto"/>
                    <w:ind w:firstLine="0" w:firstLineChars="0"/>
                    <w:jc w:val="center"/>
                    <w:rPr>
                      <w:b/>
                      <w:bCs/>
                      <w:color w:val="000000" w:themeColor="text1"/>
                      <w:sz w:val="21"/>
                      <w:szCs w:val="21"/>
                    </w:rPr>
                  </w:pPr>
                  <w:r>
                    <w:rPr>
                      <w:b/>
                      <w:bCs/>
                      <w:color w:val="000000" w:themeColor="text1"/>
                      <w:sz w:val="21"/>
                      <w:szCs w:val="21"/>
                    </w:rPr>
                    <w:t>物料名称</w:t>
                  </w:r>
                </w:p>
              </w:tc>
              <w:tc>
                <w:tcPr>
                  <w:tcW w:w="877" w:type="pct"/>
                  <w:tcBorders>
                    <w:tl2br w:val="nil"/>
                    <w:tr2bl w:val="nil"/>
                  </w:tcBorders>
                  <w:vAlign w:val="center"/>
                </w:tcPr>
                <w:p w14:paraId="69AA4884">
                  <w:pPr>
                    <w:spacing w:line="240" w:lineRule="auto"/>
                    <w:ind w:firstLine="0" w:firstLineChars="0"/>
                    <w:jc w:val="center"/>
                    <w:rPr>
                      <w:b/>
                      <w:bCs/>
                      <w:color w:val="000000" w:themeColor="text1"/>
                      <w:sz w:val="21"/>
                      <w:szCs w:val="21"/>
                    </w:rPr>
                  </w:pPr>
                  <w:r>
                    <w:rPr>
                      <w:b/>
                      <w:bCs/>
                      <w:color w:val="000000" w:themeColor="text1"/>
                      <w:sz w:val="21"/>
                      <w:szCs w:val="21"/>
                    </w:rPr>
                    <w:t>数量</w:t>
                  </w:r>
                </w:p>
              </w:tc>
              <w:tc>
                <w:tcPr>
                  <w:tcW w:w="2069" w:type="pct"/>
                  <w:tcBorders>
                    <w:tl2br w:val="nil"/>
                    <w:tr2bl w:val="nil"/>
                  </w:tcBorders>
                  <w:vAlign w:val="center"/>
                </w:tcPr>
                <w:p w14:paraId="4A164AB8">
                  <w:pPr>
                    <w:spacing w:line="240" w:lineRule="auto"/>
                    <w:ind w:firstLine="0" w:firstLineChars="0"/>
                    <w:jc w:val="center"/>
                    <w:rPr>
                      <w:b/>
                      <w:bCs/>
                      <w:color w:val="000000" w:themeColor="text1"/>
                      <w:sz w:val="21"/>
                      <w:szCs w:val="21"/>
                    </w:rPr>
                  </w:pPr>
                  <w:r>
                    <w:rPr>
                      <w:b/>
                      <w:bCs/>
                      <w:color w:val="000000" w:themeColor="text1"/>
                      <w:sz w:val="21"/>
                      <w:szCs w:val="21"/>
                    </w:rPr>
                    <w:t>名称</w:t>
                  </w:r>
                </w:p>
              </w:tc>
              <w:tc>
                <w:tcPr>
                  <w:tcW w:w="847" w:type="pct"/>
                  <w:tcBorders>
                    <w:tl2br w:val="nil"/>
                    <w:tr2bl w:val="nil"/>
                  </w:tcBorders>
                  <w:vAlign w:val="center"/>
                </w:tcPr>
                <w:p w14:paraId="2ACE6B47">
                  <w:pPr>
                    <w:spacing w:line="240" w:lineRule="auto"/>
                    <w:ind w:firstLine="0" w:firstLineChars="0"/>
                    <w:jc w:val="center"/>
                    <w:rPr>
                      <w:b/>
                      <w:bCs/>
                      <w:color w:val="000000" w:themeColor="text1"/>
                      <w:sz w:val="21"/>
                      <w:szCs w:val="21"/>
                    </w:rPr>
                  </w:pPr>
                  <w:r>
                    <w:rPr>
                      <w:b/>
                      <w:bCs/>
                      <w:color w:val="000000" w:themeColor="text1"/>
                      <w:sz w:val="21"/>
                      <w:szCs w:val="21"/>
                    </w:rPr>
                    <w:t>数量</w:t>
                  </w:r>
                </w:p>
              </w:tc>
            </w:tr>
            <w:tr w14:paraId="54F53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6E20C25D">
                  <w:pPr>
                    <w:spacing w:line="240" w:lineRule="auto"/>
                    <w:ind w:firstLine="0" w:firstLineChars="0"/>
                    <w:jc w:val="center"/>
                    <w:rPr>
                      <w:color w:val="000000" w:themeColor="text1"/>
                      <w:sz w:val="21"/>
                      <w:szCs w:val="21"/>
                    </w:rPr>
                  </w:pPr>
                  <w:r>
                    <w:rPr>
                      <w:color w:val="000000" w:themeColor="text1"/>
                      <w:sz w:val="21"/>
                      <w:szCs w:val="21"/>
                    </w:rPr>
                    <w:t>1</w:t>
                  </w:r>
                </w:p>
              </w:tc>
              <w:tc>
                <w:tcPr>
                  <w:tcW w:w="792" w:type="pct"/>
                  <w:tcBorders>
                    <w:tl2br w:val="nil"/>
                    <w:tr2bl w:val="nil"/>
                  </w:tcBorders>
                  <w:vAlign w:val="center"/>
                </w:tcPr>
                <w:p w14:paraId="016D90D8">
                  <w:pPr>
                    <w:spacing w:line="240" w:lineRule="auto"/>
                    <w:ind w:firstLine="0" w:firstLineChars="0"/>
                    <w:jc w:val="center"/>
                    <w:rPr>
                      <w:color w:val="000000" w:themeColor="text1"/>
                      <w:sz w:val="21"/>
                      <w:szCs w:val="21"/>
                    </w:rPr>
                  </w:pPr>
                  <w:r>
                    <w:rPr>
                      <w:rFonts w:hint="eastAsia"/>
                      <w:color w:val="000000" w:themeColor="text1"/>
                      <w:sz w:val="21"/>
                      <w:szCs w:val="21"/>
                    </w:rPr>
                    <w:t>锯末（湿料，30%含水率）</w:t>
                  </w:r>
                </w:p>
              </w:tc>
              <w:tc>
                <w:tcPr>
                  <w:tcW w:w="877" w:type="pct"/>
                  <w:tcBorders>
                    <w:tl2br w:val="nil"/>
                    <w:tr2bl w:val="nil"/>
                  </w:tcBorders>
                  <w:vAlign w:val="center"/>
                </w:tcPr>
                <w:p w14:paraId="0FD96A4C">
                  <w:pPr>
                    <w:spacing w:line="240" w:lineRule="auto"/>
                    <w:ind w:firstLine="0" w:firstLineChars="0"/>
                    <w:jc w:val="center"/>
                    <w:rPr>
                      <w:color w:val="000000" w:themeColor="text1"/>
                      <w:sz w:val="21"/>
                      <w:szCs w:val="21"/>
                    </w:rPr>
                  </w:pPr>
                  <w:r>
                    <w:rPr>
                      <w:rFonts w:hint="eastAsia"/>
                      <w:color w:val="000000" w:themeColor="text1"/>
                      <w:sz w:val="21"/>
                      <w:szCs w:val="21"/>
                    </w:rPr>
                    <w:t>10049</w:t>
                  </w:r>
                </w:p>
              </w:tc>
              <w:tc>
                <w:tcPr>
                  <w:tcW w:w="2069" w:type="pct"/>
                  <w:tcBorders>
                    <w:tl2br w:val="nil"/>
                    <w:tr2bl w:val="nil"/>
                  </w:tcBorders>
                  <w:vAlign w:val="center"/>
                </w:tcPr>
                <w:p w14:paraId="376C9639">
                  <w:pPr>
                    <w:spacing w:line="240" w:lineRule="auto"/>
                    <w:ind w:firstLine="0" w:firstLineChars="0"/>
                    <w:jc w:val="center"/>
                    <w:rPr>
                      <w:color w:val="000000" w:themeColor="text1"/>
                      <w:sz w:val="21"/>
                      <w:szCs w:val="21"/>
                    </w:rPr>
                  </w:pPr>
                  <w:r>
                    <w:rPr>
                      <w:rFonts w:hint="eastAsia"/>
                      <w:color w:val="000000" w:themeColor="text1"/>
                      <w:sz w:val="21"/>
                      <w:szCs w:val="21"/>
                    </w:rPr>
                    <w:t>生物质能源颗粒</w:t>
                  </w:r>
                </w:p>
              </w:tc>
              <w:tc>
                <w:tcPr>
                  <w:tcW w:w="847" w:type="pct"/>
                  <w:tcBorders>
                    <w:tl2br w:val="nil"/>
                    <w:tr2bl w:val="nil"/>
                  </w:tcBorders>
                  <w:vAlign w:val="center"/>
                </w:tcPr>
                <w:p w14:paraId="40DA845E">
                  <w:pPr>
                    <w:spacing w:line="240" w:lineRule="auto"/>
                    <w:ind w:firstLine="0" w:firstLineChars="0"/>
                    <w:jc w:val="center"/>
                    <w:rPr>
                      <w:color w:val="000000" w:themeColor="text1"/>
                      <w:sz w:val="21"/>
                      <w:szCs w:val="21"/>
                    </w:rPr>
                  </w:pPr>
                  <w:r>
                    <w:rPr>
                      <w:rFonts w:hint="eastAsia"/>
                      <w:color w:val="000000" w:themeColor="text1"/>
                      <w:sz w:val="21"/>
                      <w:szCs w:val="21"/>
                    </w:rPr>
                    <w:t>10000</w:t>
                  </w:r>
                </w:p>
              </w:tc>
            </w:tr>
            <w:tr w14:paraId="037EA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0FBBC18E">
                  <w:pPr>
                    <w:spacing w:line="240" w:lineRule="auto"/>
                    <w:ind w:firstLine="0" w:firstLineChars="0"/>
                    <w:jc w:val="center"/>
                    <w:rPr>
                      <w:color w:val="000000" w:themeColor="text1"/>
                      <w:sz w:val="21"/>
                      <w:szCs w:val="21"/>
                    </w:rPr>
                  </w:pPr>
                  <w:r>
                    <w:rPr>
                      <w:color w:val="000000" w:themeColor="text1"/>
                      <w:sz w:val="21"/>
                      <w:szCs w:val="21"/>
                    </w:rPr>
                    <w:t>2</w:t>
                  </w:r>
                </w:p>
              </w:tc>
              <w:tc>
                <w:tcPr>
                  <w:tcW w:w="792" w:type="pct"/>
                  <w:tcBorders>
                    <w:tl2br w:val="nil"/>
                    <w:tr2bl w:val="nil"/>
                  </w:tcBorders>
                  <w:vAlign w:val="center"/>
                </w:tcPr>
                <w:p w14:paraId="2083772E">
                  <w:pPr>
                    <w:spacing w:line="240" w:lineRule="auto"/>
                    <w:ind w:firstLine="0" w:firstLineChars="0"/>
                    <w:jc w:val="center"/>
                    <w:rPr>
                      <w:color w:val="000000" w:themeColor="text1"/>
                      <w:sz w:val="21"/>
                      <w:szCs w:val="21"/>
                    </w:rPr>
                  </w:pPr>
                  <w:r>
                    <w:rPr>
                      <w:rFonts w:hint="eastAsia"/>
                      <w:color w:val="000000" w:themeColor="text1"/>
                      <w:sz w:val="21"/>
                      <w:szCs w:val="21"/>
                    </w:rPr>
                    <w:t>锯末（干料，15%含水率）</w:t>
                  </w:r>
                </w:p>
              </w:tc>
              <w:tc>
                <w:tcPr>
                  <w:tcW w:w="877" w:type="pct"/>
                  <w:tcBorders>
                    <w:tl2br w:val="nil"/>
                    <w:tr2bl w:val="nil"/>
                  </w:tcBorders>
                  <w:vAlign w:val="center"/>
                </w:tcPr>
                <w:p w14:paraId="3469C6F0">
                  <w:pPr>
                    <w:spacing w:line="240" w:lineRule="auto"/>
                    <w:ind w:firstLine="0" w:firstLineChars="0"/>
                    <w:jc w:val="center"/>
                    <w:rPr>
                      <w:color w:val="000000" w:themeColor="text1"/>
                      <w:sz w:val="21"/>
                      <w:szCs w:val="21"/>
                    </w:rPr>
                  </w:pPr>
                  <w:r>
                    <w:rPr>
                      <w:color w:val="000000" w:themeColor="text1"/>
                      <w:sz w:val="21"/>
                      <w:szCs w:val="21"/>
                    </w:rPr>
                    <w:t>27</w:t>
                  </w:r>
                  <w:r>
                    <w:rPr>
                      <w:rFonts w:hint="eastAsia"/>
                      <w:color w:val="000000" w:themeColor="text1"/>
                      <w:sz w:val="21"/>
                      <w:szCs w:val="21"/>
                    </w:rPr>
                    <w:t>42</w:t>
                  </w:r>
                </w:p>
              </w:tc>
              <w:tc>
                <w:tcPr>
                  <w:tcW w:w="2069" w:type="pct"/>
                  <w:tcBorders>
                    <w:tl2br w:val="nil"/>
                    <w:tr2bl w:val="nil"/>
                  </w:tcBorders>
                  <w:vAlign w:val="center"/>
                </w:tcPr>
                <w:p w14:paraId="20138CBA">
                  <w:pPr>
                    <w:spacing w:line="240" w:lineRule="auto"/>
                    <w:ind w:firstLine="0" w:firstLineChars="0"/>
                    <w:jc w:val="center"/>
                    <w:rPr>
                      <w:color w:val="000000" w:themeColor="text1"/>
                      <w:sz w:val="21"/>
                      <w:szCs w:val="21"/>
                    </w:rPr>
                  </w:pPr>
                  <w:r>
                    <w:rPr>
                      <w:rFonts w:hint="eastAsia"/>
                      <w:color w:val="000000" w:themeColor="text1"/>
                      <w:sz w:val="21"/>
                      <w:szCs w:val="21"/>
                    </w:rPr>
                    <w:t>筛分出的大块木废边角料</w:t>
                  </w:r>
                </w:p>
              </w:tc>
              <w:tc>
                <w:tcPr>
                  <w:tcW w:w="847" w:type="pct"/>
                  <w:tcBorders>
                    <w:tl2br w:val="nil"/>
                    <w:tr2bl w:val="nil"/>
                  </w:tcBorders>
                  <w:vAlign w:val="center"/>
                </w:tcPr>
                <w:p w14:paraId="450CB06E">
                  <w:pPr>
                    <w:spacing w:line="240" w:lineRule="auto"/>
                    <w:ind w:firstLine="0" w:firstLineChars="0"/>
                    <w:jc w:val="center"/>
                    <w:rPr>
                      <w:color w:val="000000" w:themeColor="text1"/>
                      <w:sz w:val="21"/>
                      <w:szCs w:val="21"/>
                    </w:rPr>
                  </w:pPr>
                  <w:r>
                    <w:rPr>
                      <w:rFonts w:hint="eastAsia"/>
                      <w:color w:val="000000" w:themeColor="text1"/>
                      <w:sz w:val="21"/>
                      <w:szCs w:val="21"/>
                    </w:rPr>
                    <w:t>1.005</w:t>
                  </w:r>
                </w:p>
              </w:tc>
            </w:tr>
            <w:tr w14:paraId="45EB4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shd w:val="clear" w:color="auto" w:fill="auto"/>
                  <w:vAlign w:val="center"/>
                </w:tcPr>
                <w:p w14:paraId="0E8C3DFE">
                  <w:pPr>
                    <w:spacing w:line="240" w:lineRule="auto"/>
                    <w:ind w:firstLine="0" w:firstLineChars="0"/>
                    <w:jc w:val="center"/>
                    <w:rPr>
                      <w:color w:val="000000" w:themeColor="text1"/>
                      <w:sz w:val="21"/>
                      <w:szCs w:val="21"/>
                    </w:rPr>
                  </w:pPr>
                  <w:r>
                    <w:rPr>
                      <w:color w:val="000000" w:themeColor="text1"/>
                      <w:sz w:val="21"/>
                      <w:szCs w:val="21"/>
                    </w:rPr>
                    <w:t>3</w:t>
                  </w:r>
                </w:p>
              </w:tc>
              <w:tc>
                <w:tcPr>
                  <w:tcW w:w="792" w:type="pct"/>
                  <w:tcBorders>
                    <w:tl2br w:val="nil"/>
                    <w:tr2bl w:val="nil"/>
                  </w:tcBorders>
                  <w:vAlign w:val="center"/>
                </w:tcPr>
                <w:p w14:paraId="1A5F52E2">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218888CB">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4CC42F2E">
                  <w:pPr>
                    <w:spacing w:line="240" w:lineRule="auto"/>
                    <w:ind w:firstLine="0" w:firstLineChars="0"/>
                    <w:jc w:val="center"/>
                    <w:rPr>
                      <w:color w:val="000000" w:themeColor="text1"/>
                      <w:sz w:val="21"/>
                      <w:szCs w:val="21"/>
                    </w:rPr>
                  </w:pPr>
                  <w:r>
                    <w:rPr>
                      <w:rFonts w:hint="eastAsia"/>
                      <w:color w:val="000000" w:themeColor="text1"/>
                      <w:sz w:val="21"/>
                      <w:szCs w:val="21"/>
                    </w:rPr>
                    <w:t>石子等硬质杂质</w:t>
                  </w:r>
                </w:p>
              </w:tc>
              <w:tc>
                <w:tcPr>
                  <w:tcW w:w="847" w:type="pct"/>
                  <w:tcBorders>
                    <w:tl2br w:val="nil"/>
                    <w:tr2bl w:val="nil"/>
                  </w:tcBorders>
                  <w:vAlign w:val="center"/>
                </w:tcPr>
                <w:p w14:paraId="4D60D9D9">
                  <w:pPr>
                    <w:spacing w:line="240" w:lineRule="auto"/>
                    <w:ind w:firstLine="0" w:firstLineChars="0"/>
                    <w:jc w:val="center"/>
                    <w:rPr>
                      <w:color w:val="000000" w:themeColor="text1"/>
                      <w:sz w:val="21"/>
                      <w:szCs w:val="21"/>
                    </w:rPr>
                  </w:pPr>
                  <w:r>
                    <w:rPr>
                      <w:rFonts w:hint="eastAsia"/>
                      <w:color w:val="000000" w:themeColor="text1"/>
                      <w:sz w:val="21"/>
                      <w:szCs w:val="21"/>
                    </w:rPr>
                    <w:t>2.788</w:t>
                  </w:r>
                </w:p>
              </w:tc>
            </w:tr>
            <w:tr w14:paraId="7D35F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shd w:val="clear" w:color="auto" w:fill="auto"/>
                  <w:vAlign w:val="center"/>
                </w:tcPr>
                <w:p w14:paraId="4679ED82">
                  <w:pPr>
                    <w:spacing w:line="240" w:lineRule="auto"/>
                    <w:ind w:firstLine="0" w:firstLineChars="0"/>
                    <w:jc w:val="center"/>
                    <w:rPr>
                      <w:color w:val="000000" w:themeColor="text1"/>
                      <w:sz w:val="21"/>
                      <w:szCs w:val="21"/>
                    </w:rPr>
                  </w:pPr>
                  <w:r>
                    <w:rPr>
                      <w:color w:val="000000" w:themeColor="text1"/>
                      <w:sz w:val="21"/>
                      <w:szCs w:val="21"/>
                    </w:rPr>
                    <w:t>4</w:t>
                  </w:r>
                </w:p>
              </w:tc>
              <w:tc>
                <w:tcPr>
                  <w:tcW w:w="792" w:type="pct"/>
                  <w:tcBorders>
                    <w:tl2br w:val="nil"/>
                    <w:tr2bl w:val="nil"/>
                  </w:tcBorders>
                  <w:vAlign w:val="center"/>
                </w:tcPr>
                <w:p w14:paraId="1425BC5A">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237E3441">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592E7D46">
                  <w:pPr>
                    <w:spacing w:line="240" w:lineRule="auto"/>
                    <w:ind w:firstLine="0" w:firstLineChars="0"/>
                    <w:jc w:val="center"/>
                    <w:rPr>
                      <w:color w:val="000000" w:themeColor="text1"/>
                      <w:sz w:val="21"/>
                      <w:szCs w:val="21"/>
                    </w:rPr>
                  </w:pPr>
                  <w:r>
                    <w:rPr>
                      <w:rFonts w:hint="eastAsia"/>
                      <w:color w:val="000000" w:themeColor="text1"/>
                      <w:sz w:val="21"/>
                      <w:szCs w:val="21"/>
                    </w:rPr>
                    <w:t>水分蒸发</w:t>
                  </w:r>
                </w:p>
              </w:tc>
              <w:tc>
                <w:tcPr>
                  <w:tcW w:w="847" w:type="pct"/>
                  <w:tcBorders>
                    <w:tl2br w:val="nil"/>
                    <w:tr2bl w:val="nil"/>
                  </w:tcBorders>
                  <w:vAlign w:val="center"/>
                </w:tcPr>
                <w:p w14:paraId="13AE4868">
                  <w:pPr>
                    <w:spacing w:line="240" w:lineRule="auto"/>
                    <w:ind w:firstLine="0" w:firstLineChars="0"/>
                    <w:jc w:val="center"/>
                    <w:rPr>
                      <w:color w:val="000000" w:themeColor="text1"/>
                      <w:sz w:val="21"/>
                      <w:szCs w:val="21"/>
                    </w:rPr>
                  </w:pPr>
                  <w:r>
                    <w:rPr>
                      <w:rFonts w:hint="eastAsia"/>
                      <w:color w:val="000000" w:themeColor="text1"/>
                      <w:sz w:val="21"/>
                      <w:szCs w:val="21"/>
                    </w:rPr>
                    <w:t>2725.699</w:t>
                  </w:r>
                </w:p>
              </w:tc>
            </w:tr>
            <w:tr w14:paraId="4B38D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3" w:type="pct"/>
                  <w:tcBorders>
                    <w:tl2br w:val="nil"/>
                    <w:tr2bl w:val="nil"/>
                  </w:tcBorders>
                  <w:shd w:val="clear" w:color="auto" w:fill="auto"/>
                  <w:vAlign w:val="center"/>
                </w:tcPr>
                <w:p w14:paraId="28BA636C">
                  <w:pPr>
                    <w:spacing w:line="240" w:lineRule="auto"/>
                    <w:ind w:firstLine="0" w:firstLineChars="0"/>
                    <w:jc w:val="center"/>
                    <w:rPr>
                      <w:color w:val="000000" w:themeColor="text1"/>
                      <w:sz w:val="21"/>
                      <w:szCs w:val="21"/>
                    </w:rPr>
                  </w:pPr>
                  <w:r>
                    <w:rPr>
                      <w:color w:val="000000" w:themeColor="text1"/>
                      <w:sz w:val="21"/>
                      <w:szCs w:val="21"/>
                    </w:rPr>
                    <w:t>5</w:t>
                  </w:r>
                </w:p>
              </w:tc>
              <w:tc>
                <w:tcPr>
                  <w:tcW w:w="792" w:type="pct"/>
                  <w:tcBorders>
                    <w:tl2br w:val="nil"/>
                    <w:tr2bl w:val="nil"/>
                  </w:tcBorders>
                  <w:vAlign w:val="center"/>
                </w:tcPr>
                <w:p w14:paraId="7D29DBEC">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484CBA44">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480D189A">
                  <w:pPr>
                    <w:spacing w:line="240" w:lineRule="auto"/>
                    <w:ind w:firstLine="0" w:firstLineChars="0"/>
                    <w:jc w:val="center"/>
                    <w:rPr>
                      <w:color w:val="000000" w:themeColor="text1"/>
                      <w:sz w:val="21"/>
                      <w:szCs w:val="21"/>
                    </w:rPr>
                  </w:pPr>
                  <w:r>
                    <w:rPr>
                      <w:rFonts w:hint="eastAsia"/>
                      <w:color w:val="000000" w:themeColor="text1"/>
                      <w:sz w:val="21"/>
                      <w:szCs w:val="21"/>
                    </w:rPr>
                    <w:t>物料烘干工艺废气颗粒物有组织排放</w:t>
                  </w:r>
                </w:p>
              </w:tc>
              <w:tc>
                <w:tcPr>
                  <w:tcW w:w="847" w:type="pct"/>
                  <w:tcBorders>
                    <w:tl2br w:val="nil"/>
                    <w:tr2bl w:val="nil"/>
                  </w:tcBorders>
                  <w:vAlign w:val="center"/>
                </w:tcPr>
                <w:p w14:paraId="38896BC1">
                  <w:pPr>
                    <w:spacing w:line="240" w:lineRule="auto"/>
                    <w:ind w:firstLine="0" w:firstLineChars="0"/>
                    <w:jc w:val="center"/>
                    <w:rPr>
                      <w:color w:val="000000" w:themeColor="text1"/>
                      <w:sz w:val="21"/>
                      <w:szCs w:val="21"/>
                    </w:rPr>
                  </w:pPr>
                  <w:r>
                    <w:rPr>
                      <w:rFonts w:hint="eastAsia"/>
                      <w:color w:val="000000" w:themeColor="text1"/>
                      <w:sz w:val="21"/>
                      <w:szCs w:val="21"/>
                    </w:rPr>
                    <w:t>0.040</w:t>
                  </w:r>
                </w:p>
              </w:tc>
            </w:tr>
            <w:tr w14:paraId="3D1F5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529D3020">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792" w:type="pct"/>
                  <w:tcBorders>
                    <w:tl2br w:val="nil"/>
                    <w:tr2bl w:val="nil"/>
                  </w:tcBorders>
                  <w:vAlign w:val="center"/>
                </w:tcPr>
                <w:p w14:paraId="785A607C">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07252129">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076FF989">
                  <w:pPr>
                    <w:spacing w:line="240" w:lineRule="auto"/>
                    <w:ind w:firstLine="0" w:firstLineChars="0"/>
                    <w:jc w:val="center"/>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中转仓落料及入料、制粒、筛分及筛下料落料、成品网状料仓入料及冷却、成品皮带输送机落料、打包机包装过程颗粒物有组织排放</w:t>
                  </w:r>
                </w:p>
              </w:tc>
              <w:tc>
                <w:tcPr>
                  <w:tcW w:w="847" w:type="pct"/>
                  <w:tcBorders>
                    <w:tl2br w:val="nil"/>
                    <w:tr2bl w:val="nil"/>
                  </w:tcBorders>
                  <w:vAlign w:val="center"/>
                </w:tcPr>
                <w:p w14:paraId="4BDB0C8D">
                  <w:pPr>
                    <w:spacing w:line="240" w:lineRule="auto"/>
                    <w:ind w:firstLine="0" w:firstLineChars="0"/>
                    <w:jc w:val="center"/>
                    <w:rPr>
                      <w:color w:val="000000" w:themeColor="text1"/>
                      <w:sz w:val="21"/>
                      <w:szCs w:val="21"/>
                    </w:rPr>
                  </w:pPr>
                  <w:r>
                    <w:rPr>
                      <w:rFonts w:hint="eastAsia"/>
                      <w:color w:val="000000" w:themeColor="text1"/>
                      <w:sz w:val="21"/>
                      <w:szCs w:val="21"/>
                    </w:rPr>
                    <w:t>0.169</w:t>
                  </w:r>
                </w:p>
              </w:tc>
            </w:tr>
            <w:tr w14:paraId="6F102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3F76E52C">
                  <w:pPr>
                    <w:spacing w:line="240" w:lineRule="auto"/>
                    <w:ind w:firstLine="0" w:firstLineChars="0"/>
                    <w:jc w:val="center"/>
                    <w:rPr>
                      <w:color w:val="000000" w:themeColor="text1"/>
                      <w:sz w:val="21"/>
                      <w:szCs w:val="21"/>
                    </w:rPr>
                  </w:pPr>
                  <w:r>
                    <w:rPr>
                      <w:rFonts w:hint="eastAsia"/>
                      <w:color w:val="000000" w:themeColor="text1"/>
                      <w:sz w:val="21"/>
                      <w:szCs w:val="21"/>
                    </w:rPr>
                    <w:t>7</w:t>
                  </w:r>
                </w:p>
              </w:tc>
              <w:tc>
                <w:tcPr>
                  <w:tcW w:w="792" w:type="pct"/>
                  <w:tcBorders>
                    <w:tl2br w:val="nil"/>
                    <w:tr2bl w:val="nil"/>
                  </w:tcBorders>
                  <w:vAlign w:val="center"/>
                </w:tcPr>
                <w:p w14:paraId="7873ADAA">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6796B364">
                  <w:pPr>
                    <w:spacing w:line="240" w:lineRule="auto"/>
                    <w:ind w:firstLine="0" w:firstLineChars="0"/>
                    <w:jc w:val="center"/>
                    <w:rPr>
                      <w:color w:val="000000" w:themeColor="text1"/>
                      <w:sz w:val="21"/>
                      <w:szCs w:val="21"/>
                    </w:rPr>
                  </w:pPr>
                </w:p>
              </w:tc>
              <w:tc>
                <w:tcPr>
                  <w:tcW w:w="2069" w:type="pct"/>
                  <w:tcBorders>
                    <w:tl2br w:val="nil"/>
                    <w:tr2bl w:val="nil"/>
                  </w:tcBorders>
                  <w:vAlign w:val="center"/>
                </w:tcPr>
                <w:p w14:paraId="3D3324E0">
                  <w:pPr>
                    <w:spacing w:line="240" w:lineRule="auto"/>
                    <w:ind w:firstLine="0" w:firstLineChars="0"/>
                    <w:jc w:val="center"/>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中转仓落料及入料、制粒、筛分及筛下料落料、成品网状料仓入料及冷却、成品皮带输送机落料、打包机包装过程颗粒物无组织排放</w:t>
                  </w:r>
                </w:p>
              </w:tc>
              <w:tc>
                <w:tcPr>
                  <w:tcW w:w="847" w:type="pct"/>
                  <w:tcBorders>
                    <w:tl2br w:val="nil"/>
                    <w:tr2bl w:val="nil"/>
                  </w:tcBorders>
                  <w:vAlign w:val="center"/>
                </w:tcPr>
                <w:p w14:paraId="7114907A">
                  <w:pPr>
                    <w:spacing w:line="240" w:lineRule="auto"/>
                    <w:ind w:firstLine="0" w:firstLineChars="0"/>
                    <w:jc w:val="center"/>
                    <w:rPr>
                      <w:color w:val="000000" w:themeColor="text1"/>
                      <w:sz w:val="21"/>
                      <w:szCs w:val="21"/>
                    </w:rPr>
                  </w:pPr>
                  <w:r>
                    <w:rPr>
                      <w:rFonts w:hint="eastAsia"/>
                      <w:color w:val="000000" w:themeColor="text1"/>
                      <w:sz w:val="21"/>
                      <w:szCs w:val="21"/>
                    </w:rPr>
                    <w:t>0.508</w:t>
                  </w:r>
                </w:p>
              </w:tc>
            </w:tr>
            <w:tr w14:paraId="21D8B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346F467F">
                  <w:pPr>
                    <w:spacing w:line="240" w:lineRule="auto"/>
                    <w:ind w:firstLine="0" w:firstLineChars="0"/>
                    <w:jc w:val="center"/>
                    <w:rPr>
                      <w:color w:val="000000" w:themeColor="text1"/>
                      <w:sz w:val="21"/>
                      <w:szCs w:val="21"/>
                    </w:rPr>
                  </w:pPr>
                  <w:r>
                    <w:rPr>
                      <w:rFonts w:hint="eastAsia"/>
                      <w:color w:val="000000" w:themeColor="text1"/>
                      <w:sz w:val="21"/>
                      <w:szCs w:val="21"/>
                    </w:rPr>
                    <w:t>8</w:t>
                  </w:r>
                </w:p>
              </w:tc>
              <w:tc>
                <w:tcPr>
                  <w:tcW w:w="792" w:type="pct"/>
                  <w:tcBorders>
                    <w:tl2br w:val="nil"/>
                    <w:tr2bl w:val="nil"/>
                  </w:tcBorders>
                  <w:vAlign w:val="center"/>
                </w:tcPr>
                <w:p w14:paraId="347B9F53">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51178B20">
                  <w:pPr>
                    <w:spacing w:line="240" w:lineRule="auto"/>
                    <w:ind w:firstLine="0" w:firstLineChars="0"/>
                    <w:jc w:val="center"/>
                    <w:rPr>
                      <w:color w:val="000000" w:themeColor="text1"/>
                      <w:sz w:val="21"/>
                      <w:szCs w:val="21"/>
                    </w:rPr>
                  </w:pPr>
                </w:p>
              </w:tc>
              <w:tc>
                <w:tcPr>
                  <w:tcW w:w="2069" w:type="pct"/>
                  <w:tcBorders>
                    <w:tl2br w:val="nil"/>
                    <w:tr2bl w:val="nil"/>
                  </w:tcBorders>
                  <w:shd w:val="clear" w:color="auto" w:fill="auto"/>
                  <w:vAlign w:val="center"/>
                </w:tcPr>
                <w:p w14:paraId="16F1632D">
                  <w:pPr>
                    <w:spacing w:line="240" w:lineRule="auto"/>
                    <w:ind w:firstLine="0" w:firstLineChars="0"/>
                    <w:jc w:val="center"/>
                    <w:rPr>
                      <w:color w:val="000000" w:themeColor="text1"/>
                      <w:sz w:val="21"/>
                      <w:szCs w:val="21"/>
                    </w:rPr>
                  </w:pPr>
                  <w:r>
                    <w:rPr>
                      <w:rFonts w:hint="eastAsia"/>
                      <w:color w:val="000000" w:themeColor="text1"/>
                      <w:sz w:val="21"/>
                      <w:szCs w:val="21"/>
                    </w:rPr>
                    <w:t>沙克龙除尘器+布袋除尘器除尘灰</w:t>
                  </w:r>
                </w:p>
              </w:tc>
              <w:tc>
                <w:tcPr>
                  <w:tcW w:w="847" w:type="pct"/>
                  <w:tcBorders>
                    <w:tl2br w:val="nil"/>
                    <w:tr2bl w:val="nil"/>
                  </w:tcBorders>
                  <w:vAlign w:val="center"/>
                </w:tcPr>
                <w:p w14:paraId="66331FC4">
                  <w:pPr>
                    <w:spacing w:line="240" w:lineRule="auto"/>
                    <w:ind w:firstLine="0" w:firstLineChars="0"/>
                    <w:jc w:val="center"/>
                    <w:rPr>
                      <w:color w:val="000000" w:themeColor="text1"/>
                      <w:sz w:val="21"/>
                      <w:szCs w:val="21"/>
                    </w:rPr>
                  </w:pPr>
                  <w:r>
                    <w:rPr>
                      <w:rFonts w:hint="eastAsia"/>
                      <w:color w:val="000000" w:themeColor="text1"/>
                      <w:sz w:val="21"/>
                      <w:szCs w:val="21"/>
                    </w:rPr>
                    <w:t>40.060</w:t>
                  </w:r>
                </w:p>
              </w:tc>
            </w:tr>
            <w:tr w14:paraId="49638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4831DD07">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792" w:type="pct"/>
                  <w:tcBorders>
                    <w:tl2br w:val="nil"/>
                    <w:tr2bl w:val="nil"/>
                  </w:tcBorders>
                  <w:vAlign w:val="center"/>
                </w:tcPr>
                <w:p w14:paraId="5B564C77">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165AEB97">
                  <w:pPr>
                    <w:spacing w:line="240" w:lineRule="auto"/>
                    <w:ind w:firstLine="0" w:firstLineChars="0"/>
                    <w:jc w:val="center"/>
                    <w:rPr>
                      <w:color w:val="000000" w:themeColor="text1"/>
                      <w:sz w:val="21"/>
                      <w:szCs w:val="21"/>
                    </w:rPr>
                  </w:pPr>
                </w:p>
              </w:tc>
              <w:tc>
                <w:tcPr>
                  <w:tcW w:w="2069" w:type="pct"/>
                  <w:tcBorders>
                    <w:tl2br w:val="nil"/>
                    <w:tr2bl w:val="nil"/>
                  </w:tcBorders>
                  <w:shd w:val="clear" w:color="auto" w:fill="auto"/>
                  <w:vAlign w:val="center"/>
                </w:tcPr>
                <w:p w14:paraId="5A8EB0DA">
                  <w:pPr>
                    <w:spacing w:line="240" w:lineRule="auto"/>
                    <w:ind w:firstLine="0" w:firstLineChars="0"/>
                    <w:jc w:val="center"/>
                    <w:rPr>
                      <w:color w:val="000000" w:themeColor="text1"/>
                      <w:sz w:val="21"/>
                      <w:szCs w:val="21"/>
                    </w:rPr>
                  </w:pPr>
                  <w:r>
                    <w:rPr>
                      <w:rFonts w:hint="eastAsia"/>
                      <w:color w:val="000000" w:themeColor="text1"/>
                      <w:sz w:val="21"/>
                      <w:szCs w:val="21"/>
                    </w:rPr>
                    <w:t>布袋除尘器除尘灰</w:t>
                  </w:r>
                </w:p>
              </w:tc>
              <w:tc>
                <w:tcPr>
                  <w:tcW w:w="847" w:type="pct"/>
                  <w:tcBorders>
                    <w:tl2br w:val="nil"/>
                    <w:tr2bl w:val="nil"/>
                  </w:tcBorders>
                  <w:vAlign w:val="center"/>
                </w:tcPr>
                <w:p w14:paraId="5E0E6B0D">
                  <w:pPr>
                    <w:spacing w:line="240" w:lineRule="auto"/>
                    <w:ind w:firstLine="0" w:firstLineChars="0"/>
                    <w:jc w:val="center"/>
                    <w:rPr>
                      <w:color w:val="000000" w:themeColor="text1"/>
                      <w:sz w:val="21"/>
                      <w:szCs w:val="21"/>
                    </w:rPr>
                  </w:pPr>
                  <w:r>
                    <w:rPr>
                      <w:rFonts w:hint="eastAsia"/>
                      <w:color w:val="000000" w:themeColor="text1"/>
                      <w:sz w:val="21"/>
                      <w:szCs w:val="21"/>
                    </w:rPr>
                    <w:t>19.968</w:t>
                  </w:r>
                </w:p>
              </w:tc>
            </w:tr>
            <w:tr w14:paraId="63281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66A6A914">
                  <w:pPr>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792" w:type="pct"/>
                  <w:tcBorders>
                    <w:tl2br w:val="nil"/>
                    <w:tr2bl w:val="nil"/>
                  </w:tcBorders>
                  <w:vAlign w:val="center"/>
                </w:tcPr>
                <w:p w14:paraId="7E9D8C0F">
                  <w:pPr>
                    <w:spacing w:line="240" w:lineRule="auto"/>
                    <w:ind w:firstLine="0" w:firstLineChars="0"/>
                    <w:jc w:val="center"/>
                    <w:rPr>
                      <w:color w:val="000000" w:themeColor="text1"/>
                      <w:sz w:val="21"/>
                      <w:szCs w:val="21"/>
                    </w:rPr>
                  </w:pPr>
                </w:p>
              </w:tc>
              <w:tc>
                <w:tcPr>
                  <w:tcW w:w="877" w:type="pct"/>
                  <w:tcBorders>
                    <w:tl2br w:val="nil"/>
                    <w:tr2bl w:val="nil"/>
                  </w:tcBorders>
                  <w:vAlign w:val="center"/>
                </w:tcPr>
                <w:p w14:paraId="09E3580C">
                  <w:pPr>
                    <w:spacing w:line="240" w:lineRule="auto"/>
                    <w:ind w:firstLine="0" w:firstLineChars="0"/>
                    <w:jc w:val="center"/>
                    <w:rPr>
                      <w:color w:val="000000" w:themeColor="text1"/>
                      <w:sz w:val="21"/>
                      <w:szCs w:val="21"/>
                    </w:rPr>
                  </w:pPr>
                </w:p>
              </w:tc>
              <w:tc>
                <w:tcPr>
                  <w:tcW w:w="2069" w:type="pct"/>
                  <w:tcBorders>
                    <w:tl2br w:val="nil"/>
                    <w:tr2bl w:val="nil"/>
                  </w:tcBorders>
                  <w:shd w:val="clear" w:color="auto" w:fill="auto"/>
                  <w:vAlign w:val="center"/>
                </w:tcPr>
                <w:p w14:paraId="60B9C4EC">
                  <w:pPr>
                    <w:spacing w:line="240" w:lineRule="auto"/>
                    <w:ind w:firstLine="0" w:firstLineChars="0"/>
                    <w:jc w:val="center"/>
                    <w:rPr>
                      <w:color w:val="000000" w:themeColor="text1"/>
                      <w:sz w:val="21"/>
                      <w:szCs w:val="21"/>
                    </w:rPr>
                  </w:pPr>
                  <w:r>
                    <w:rPr>
                      <w:rFonts w:hint="eastAsia"/>
                      <w:color w:val="000000" w:themeColor="text1"/>
                      <w:sz w:val="21"/>
                      <w:szCs w:val="21"/>
                    </w:rPr>
                    <w:t>沉降粉尘</w:t>
                  </w:r>
                </w:p>
              </w:tc>
              <w:tc>
                <w:tcPr>
                  <w:tcW w:w="847" w:type="pct"/>
                  <w:tcBorders>
                    <w:tl2br w:val="nil"/>
                    <w:tr2bl w:val="nil"/>
                  </w:tcBorders>
                  <w:vAlign w:val="center"/>
                </w:tcPr>
                <w:p w14:paraId="54B189E6">
                  <w:pPr>
                    <w:spacing w:line="240" w:lineRule="auto"/>
                    <w:ind w:firstLine="0" w:firstLineChars="0"/>
                    <w:jc w:val="center"/>
                    <w:rPr>
                      <w:color w:val="000000" w:themeColor="text1"/>
                      <w:sz w:val="21"/>
                      <w:szCs w:val="21"/>
                    </w:rPr>
                  </w:pPr>
                  <w:r>
                    <w:rPr>
                      <w:rFonts w:hint="eastAsia"/>
                      <w:color w:val="000000" w:themeColor="text1"/>
                      <w:sz w:val="21"/>
                      <w:szCs w:val="21"/>
                    </w:rPr>
                    <w:t>0.763</w:t>
                  </w:r>
                </w:p>
              </w:tc>
            </w:tr>
            <w:tr w14:paraId="0DD77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Borders>
                    <w:tl2br w:val="nil"/>
                    <w:tr2bl w:val="nil"/>
                  </w:tcBorders>
                  <w:vAlign w:val="center"/>
                </w:tcPr>
                <w:p w14:paraId="2779CE13">
                  <w:pPr>
                    <w:spacing w:line="240" w:lineRule="auto"/>
                    <w:ind w:firstLine="0" w:firstLineChars="0"/>
                    <w:jc w:val="center"/>
                    <w:rPr>
                      <w:color w:val="000000" w:themeColor="text1"/>
                      <w:sz w:val="21"/>
                      <w:szCs w:val="21"/>
                    </w:rPr>
                  </w:pPr>
                  <w:r>
                    <w:rPr>
                      <w:rFonts w:hint="eastAsia"/>
                      <w:color w:val="000000" w:themeColor="text1"/>
                      <w:sz w:val="21"/>
                      <w:szCs w:val="21"/>
                    </w:rPr>
                    <w:t>11</w:t>
                  </w:r>
                </w:p>
              </w:tc>
              <w:tc>
                <w:tcPr>
                  <w:tcW w:w="792" w:type="pct"/>
                  <w:tcBorders>
                    <w:tl2br w:val="nil"/>
                    <w:tr2bl w:val="nil"/>
                  </w:tcBorders>
                  <w:vAlign w:val="center"/>
                </w:tcPr>
                <w:p w14:paraId="30C5775D">
                  <w:pPr>
                    <w:spacing w:line="240" w:lineRule="auto"/>
                    <w:ind w:firstLine="0" w:firstLineChars="0"/>
                    <w:jc w:val="center"/>
                    <w:rPr>
                      <w:color w:val="000000" w:themeColor="text1"/>
                      <w:sz w:val="21"/>
                      <w:szCs w:val="21"/>
                    </w:rPr>
                  </w:pPr>
                  <w:r>
                    <w:rPr>
                      <w:color w:val="000000" w:themeColor="text1"/>
                      <w:sz w:val="21"/>
                      <w:szCs w:val="21"/>
                    </w:rPr>
                    <w:t>合计</w:t>
                  </w:r>
                </w:p>
              </w:tc>
              <w:tc>
                <w:tcPr>
                  <w:tcW w:w="877" w:type="pct"/>
                  <w:tcBorders>
                    <w:tl2br w:val="nil"/>
                    <w:tr2bl w:val="nil"/>
                  </w:tcBorders>
                  <w:vAlign w:val="center"/>
                </w:tcPr>
                <w:p w14:paraId="70840154">
                  <w:pPr>
                    <w:spacing w:line="240" w:lineRule="auto"/>
                    <w:ind w:firstLine="0" w:firstLineChars="0"/>
                    <w:jc w:val="center"/>
                    <w:rPr>
                      <w:color w:val="000000" w:themeColor="text1"/>
                      <w:sz w:val="21"/>
                      <w:szCs w:val="21"/>
                    </w:rPr>
                  </w:pPr>
                  <w:r>
                    <w:rPr>
                      <w:color w:val="000000" w:themeColor="text1"/>
                      <w:sz w:val="21"/>
                      <w:szCs w:val="21"/>
                    </w:rPr>
                    <w:t>1</w:t>
                  </w:r>
                  <w:r>
                    <w:rPr>
                      <w:rFonts w:hint="eastAsia"/>
                      <w:color w:val="000000" w:themeColor="text1"/>
                      <w:sz w:val="21"/>
                      <w:szCs w:val="21"/>
                    </w:rPr>
                    <w:t>2791</w:t>
                  </w:r>
                </w:p>
              </w:tc>
              <w:tc>
                <w:tcPr>
                  <w:tcW w:w="2069" w:type="pct"/>
                  <w:tcBorders>
                    <w:tl2br w:val="nil"/>
                    <w:tr2bl w:val="nil"/>
                  </w:tcBorders>
                  <w:vAlign w:val="center"/>
                </w:tcPr>
                <w:p w14:paraId="32A20B17">
                  <w:pPr>
                    <w:spacing w:line="240" w:lineRule="auto"/>
                    <w:ind w:firstLine="0" w:firstLineChars="0"/>
                    <w:jc w:val="center"/>
                    <w:rPr>
                      <w:color w:val="000000" w:themeColor="text1"/>
                      <w:sz w:val="21"/>
                      <w:szCs w:val="21"/>
                    </w:rPr>
                  </w:pPr>
                  <w:r>
                    <w:rPr>
                      <w:color w:val="000000" w:themeColor="text1"/>
                      <w:sz w:val="21"/>
                      <w:szCs w:val="21"/>
                    </w:rPr>
                    <w:t>合计</w:t>
                  </w:r>
                </w:p>
              </w:tc>
              <w:tc>
                <w:tcPr>
                  <w:tcW w:w="847" w:type="pct"/>
                  <w:tcBorders>
                    <w:tl2br w:val="nil"/>
                    <w:tr2bl w:val="nil"/>
                  </w:tcBorders>
                  <w:vAlign w:val="center"/>
                </w:tcPr>
                <w:p w14:paraId="4C234EF4">
                  <w:pPr>
                    <w:spacing w:line="240" w:lineRule="auto"/>
                    <w:ind w:firstLine="0" w:firstLineChars="0"/>
                    <w:jc w:val="center"/>
                    <w:rPr>
                      <w:color w:val="000000" w:themeColor="text1"/>
                      <w:sz w:val="21"/>
                      <w:szCs w:val="21"/>
                    </w:rPr>
                  </w:pPr>
                  <w:r>
                    <w:rPr>
                      <w:color w:val="000000" w:themeColor="text1"/>
                      <w:sz w:val="21"/>
                      <w:szCs w:val="21"/>
                    </w:rPr>
                    <w:t>1</w:t>
                  </w:r>
                  <w:r>
                    <w:rPr>
                      <w:rFonts w:hint="eastAsia"/>
                      <w:color w:val="000000" w:themeColor="text1"/>
                      <w:sz w:val="21"/>
                      <w:szCs w:val="21"/>
                    </w:rPr>
                    <w:t>2791</w:t>
                  </w:r>
                </w:p>
              </w:tc>
            </w:tr>
          </w:tbl>
          <w:p w14:paraId="06C2E4D9">
            <w:pPr>
              <w:ind w:firstLine="480"/>
              <w:rPr>
                <w:color w:val="000000" w:themeColor="text1"/>
              </w:rPr>
            </w:pPr>
            <w:r>
              <w:rPr>
                <w:rFonts w:hint="eastAsia"/>
                <w:color w:val="000000" w:themeColor="text1"/>
              </w:rPr>
              <w:t>生物质能源颗粒生产线</w:t>
            </w:r>
            <w:r>
              <w:rPr>
                <w:color w:val="000000" w:themeColor="text1"/>
              </w:rPr>
              <w:t>物料平衡图见下图</w:t>
            </w:r>
            <w:r>
              <w:rPr>
                <w:rFonts w:hint="eastAsia"/>
                <w:color w:val="000000" w:themeColor="text1"/>
              </w:rPr>
              <w:t>。</w:t>
            </w:r>
          </w:p>
          <w:p w14:paraId="145C76C0">
            <w:pPr>
              <w:ind w:firstLine="480"/>
              <w:rPr>
                <w:color w:val="000000" w:themeColor="text1"/>
              </w:rPr>
            </w:pPr>
          </w:p>
          <w:p w14:paraId="339AA368">
            <w:pPr>
              <w:ind w:firstLine="480"/>
              <w:rPr>
                <w:color w:val="000000" w:themeColor="text1"/>
              </w:rPr>
            </w:pPr>
          </w:p>
          <w:p w14:paraId="0E4A6CB4">
            <w:pPr>
              <w:ind w:firstLine="480"/>
              <w:rPr>
                <w:color w:val="000000" w:themeColor="text1"/>
              </w:rPr>
            </w:pPr>
          </w:p>
          <w:p w14:paraId="219F205F">
            <w:pPr>
              <w:ind w:firstLine="480"/>
              <w:rPr>
                <w:color w:val="000000" w:themeColor="text1"/>
              </w:rPr>
            </w:pPr>
          </w:p>
          <w:p w14:paraId="7640F1E3">
            <w:pPr>
              <w:ind w:firstLine="480"/>
              <w:rPr>
                <w:color w:val="000000" w:themeColor="text1"/>
              </w:rPr>
            </w:pPr>
          </w:p>
          <w:p w14:paraId="71350B23">
            <w:pPr>
              <w:ind w:firstLine="480"/>
              <w:rPr>
                <w:color w:val="000000" w:themeColor="text1"/>
              </w:rPr>
            </w:pPr>
          </w:p>
          <w:p w14:paraId="5FB0708C">
            <w:pPr>
              <w:ind w:firstLine="480"/>
              <w:rPr>
                <w:color w:val="000000" w:themeColor="text1"/>
              </w:rPr>
            </w:pPr>
          </w:p>
          <w:p w14:paraId="5187D669">
            <w:pPr>
              <w:ind w:firstLine="480"/>
              <w:rPr>
                <w:color w:val="000000" w:themeColor="text1"/>
              </w:rPr>
            </w:pPr>
          </w:p>
          <w:p w14:paraId="68EC525A">
            <w:pPr>
              <w:ind w:firstLine="480"/>
              <w:rPr>
                <w:color w:val="000000" w:themeColor="text1"/>
              </w:rPr>
            </w:pPr>
          </w:p>
          <w:p w14:paraId="7F6EBAE6">
            <w:pPr>
              <w:ind w:firstLine="480"/>
              <w:rPr>
                <w:color w:val="000000" w:themeColor="text1"/>
              </w:rPr>
            </w:pPr>
          </w:p>
          <w:p w14:paraId="128A1056">
            <w:pPr>
              <w:ind w:firstLine="480"/>
              <w:rPr>
                <w:color w:val="000000" w:themeColor="text1"/>
              </w:rPr>
            </w:pPr>
          </w:p>
          <w:p w14:paraId="78C6B2C6">
            <w:pPr>
              <w:ind w:firstLine="480"/>
              <w:rPr>
                <w:color w:val="000000" w:themeColor="text1"/>
              </w:rPr>
            </w:pPr>
          </w:p>
          <w:p w14:paraId="7FA0CC7A">
            <w:pPr>
              <w:ind w:firstLine="480"/>
              <w:rPr>
                <w:color w:val="000000" w:themeColor="text1"/>
              </w:rPr>
            </w:pPr>
          </w:p>
          <w:p w14:paraId="46C3FF15">
            <w:pPr>
              <w:ind w:firstLine="480"/>
              <w:rPr>
                <w:color w:val="000000" w:themeColor="text1"/>
              </w:rPr>
            </w:pPr>
            <w:r>
              <w:rPr>
                <w:color w:val="000000" w:themeColor="text1"/>
              </w:rPr>
              <w:pict>
                <v:shape id="_x0000_s1089" o:spid="_x0000_s1089" o:spt="75" type="#_x0000_t75" style="position:absolute;left:0pt;margin-left:5.4pt;margin-top:-617.3pt;height:414.45pt;width:404.1pt;mso-wrap-distance-left:9pt;mso-wrap-distance-right:9pt;z-index:-251645952;mso-width-relative:page;mso-height-relative:page;" o:ole="t" filled="f" o:preferrelative="t" stroked="f" coordsize="21600,21600" wrapcoords="21592 -2 0 0 0 21600 21592 21602 8 21602 21600 21600 21600 0 8 -2 21592 -2">
                  <v:path/>
                  <v:fill on="f" focussize="0,0"/>
                  <v:stroke on="f" joinstyle="miter"/>
                  <v:imagedata r:id="rId13" o:title=""/>
                  <o:lock v:ext="edit" aspectratio="f"/>
                  <w10:wrap type="tight"/>
                </v:shape>
                <o:OLEObject Type="Embed" ProgID="Visio.Drawing.11" ShapeID="_x0000_s1089" DrawAspect="Content" ObjectID="_1468075725" r:id="rId12">
                  <o:LockedField>false</o:LockedField>
                </o:OLEObject>
              </w:pict>
            </w:r>
          </w:p>
          <w:p w14:paraId="48F4F9B2">
            <w:pPr>
              <w:spacing w:line="240" w:lineRule="auto"/>
              <w:ind w:firstLine="0" w:firstLineChars="0"/>
              <w:jc w:val="center"/>
              <w:rPr>
                <w:color w:val="000000" w:themeColor="text1"/>
              </w:rPr>
            </w:pPr>
            <w:r>
              <w:rPr>
                <w:rFonts w:hint="eastAsia"/>
                <w:b/>
                <w:bCs/>
                <w:color w:val="000000" w:themeColor="text1"/>
                <w:sz w:val="21"/>
                <w:szCs w:val="21"/>
              </w:rPr>
              <w:t>图2   生物质能源颗粒生产线</w:t>
            </w:r>
            <w:r>
              <w:rPr>
                <w:b/>
                <w:bCs/>
                <w:color w:val="000000" w:themeColor="text1"/>
                <w:sz w:val="21"/>
                <w:szCs w:val="21"/>
              </w:rPr>
              <w:t>物料平衡图</w:t>
            </w:r>
            <w:r>
              <w:rPr>
                <w:rFonts w:hint="eastAsia"/>
                <w:b/>
                <w:bCs/>
                <w:color w:val="000000" w:themeColor="text1"/>
                <w:sz w:val="21"/>
                <w:szCs w:val="21"/>
              </w:rPr>
              <w:t>（t/a）</w:t>
            </w:r>
          </w:p>
          <w:p w14:paraId="32AA58F4">
            <w:pPr>
              <w:spacing w:line="360" w:lineRule="auto"/>
              <w:ind w:firstLine="480"/>
              <w:rPr>
                <w:color w:val="000000" w:themeColor="text1"/>
              </w:rPr>
            </w:pPr>
            <w:r>
              <w:rPr>
                <w:rFonts w:hint="eastAsia"/>
                <w:color w:val="000000" w:themeColor="text1"/>
              </w:rPr>
              <w:t>燃料用量的核算过程如下：</w:t>
            </w:r>
          </w:p>
          <w:p w14:paraId="178A0B18">
            <w:pPr>
              <w:spacing w:line="360" w:lineRule="auto"/>
              <w:ind w:firstLine="480"/>
              <w:rPr>
                <w:color w:val="000000" w:themeColor="text1"/>
              </w:rPr>
            </w:pPr>
            <w:r>
              <w:rPr>
                <w:color w:val="000000" w:themeColor="text1"/>
              </w:rPr>
              <w:t>原料锯末（湿料，含水率30%）在制粒前需要烘干，根据建设单位提供资料，并从通风量、热风温度、操作安全考虑，烘干时控制物料温度为60</w:t>
            </w:r>
            <w:r>
              <w:rPr>
                <w:rFonts w:hint="eastAsia"/>
                <w:color w:val="000000" w:themeColor="text1"/>
              </w:rPr>
              <w:t>~</w:t>
            </w:r>
            <w:r>
              <w:rPr>
                <w:color w:val="000000" w:themeColor="text1"/>
              </w:rPr>
              <w:t>90℃（一般情况物料温度低于热风温度15</w:t>
            </w:r>
            <w:r>
              <w:rPr>
                <w:rFonts w:hint="eastAsia"/>
                <w:color w:val="000000" w:themeColor="text1"/>
              </w:rPr>
              <w:t>~</w:t>
            </w:r>
            <w:r>
              <w:rPr>
                <w:color w:val="000000" w:themeColor="text1"/>
              </w:rPr>
              <w:t>25℃，本次评价按75℃考虑）。物料的升温焓值（将物料从室温加热到75°C）包括锯末的升温焓（0.34kcal/kg·℃×55℃=18.7kcal/kg）和锯末中水的升温焓（55 kcal/kg），因此，加热1</w:t>
            </w:r>
            <w:r>
              <w:rPr>
                <w:rFonts w:hint="eastAsia"/>
                <w:color w:val="000000" w:themeColor="text1"/>
              </w:rPr>
              <w:t>kg</w:t>
            </w:r>
            <w:r>
              <w:rPr>
                <w:color w:val="000000" w:themeColor="text1"/>
              </w:rPr>
              <w:t>湿锯末需要的热量为：</w:t>
            </w:r>
          </w:p>
          <w:p w14:paraId="06CC36DB">
            <w:pPr>
              <w:spacing w:line="360" w:lineRule="auto"/>
              <w:ind w:firstLine="480"/>
              <w:rPr>
                <w:color w:val="000000" w:themeColor="text1"/>
              </w:rPr>
            </w:pPr>
            <w:r>
              <w:rPr>
                <w:color w:val="000000" w:themeColor="text1"/>
              </w:rPr>
              <w:t>Q</w:t>
            </w:r>
            <w:r>
              <w:rPr>
                <w:color w:val="000000" w:themeColor="text1"/>
                <w:vertAlign w:val="subscript"/>
              </w:rPr>
              <w:t>1</w:t>
            </w:r>
            <w:r>
              <w:rPr>
                <w:rFonts w:hint="eastAsia"/>
                <w:color w:val="000000" w:themeColor="text1"/>
                <w:vertAlign w:val="subscript"/>
              </w:rPr>
              <w:t>kg</w:t>
            </w:r>
            <w:r>
              <w:rPr>
                <w:color w:val="000000" w:themeColor="text1"/>
                <w:vertAlign w:val="subscript"/>
              </w:rPr>
              <w:t>锯末</w:t>
            </w:r>
            <w:r>
              <w:rPr>
                <w:color w:val="000000" w:themeColor="text1"/>
              </w:rPr>
              <w:t>=18.7kcal/kg×（1-0.15）+55kcal/kg×0.15=24.15kcal/kg</w:t>
            </w:r>
          </w:p>
          <w:p w14:paraId="073BEA0F">
            <w:pPr>
              <w:spacing w:line="360" w:lineRule="auto"/>
              <w:ind w:firstLine="480"/>
              <w:rPr>
                <w:color w:val="000000" w:themeColor="text1"/>
              </w:rPr>
            </w:pPr>
            <w:r>
              <w:rPr>
                <w:color w:val="000000" w:themeColor="text1"/>
              </w:rPr>
              <w:t>加热10049t锯末（保守考虑，按湿锯末的消耗量计算）需要的热量为：</w:t>
            </w:r>
          </w:p>
          <w:p w14:paraId="5FB9960E">
            <w:pPr>
              <w:spacing w:line="360" w:lineRule="auto"/>
              <w:ind w:firstLine="480"/>
              <w:rPr>
                <w:color w:val="000000" w:themeColor="text1"/>
              </w:rPr>
            </w:pPr>
            <w:r>
              <w:rPr>
                <w:color w:val="000000" w:themeColor="text1"/>
              </w:rPr>
              <w:t>Q锯末=24.15kcal/kg×10049t/a×10</w:t>
            </w:r>
            <w:r>
              <w:rPr>
                <w:color w:val="000000" w:themeColor="text1"/>
                <w:vertAlign w:val="superscript"/>
              </w:rPr>
              <w:t>3</w:t>
            </w:r>
            <w:r>
              <w:rPr>
                <w:color w:val="000000" w:themeColor="text1"/>
              </w:rPr>
              <w:t>=242683350kcal/a</w:t>
            </w:r>
          </w:p>
          <w:p w14:paraId="7E693028">
            <w:pPr>
              <w:spacing w:line="360" w:lineRule="auto"/>
              <w:ind w:firstLine="480"/>
              <w:rPr>
                <w:color w:val="000000" w:themeColor="text1"/>
              </w:rPr>
            </w:pPr>
            <w:r>
              <w:rPr>
                <w:color w:val="000000" w:themeColor="text1"/>
              </w:rPr>
              <w:t>根据物料平衡，原料锯末（湿料，含水率30%）烘干后含水率15%，烘干过程蒸发水量1780.253t/a。水的汽化潜热约为560kcal/kg（75°C时），因此，蒸发水量1780.253t/a总热量需求为：</w:t>
            </w:r>
          </w:p>
          <w:p w14:paraId="2E758608">
            <w:pPr>
              <w:spacing w:line="360" w:lineRule="auto"/>
              <w:ind w:firstLine="480"/>
              <w:rPr>
                <w:color w:val="000000" w:themeColor="text1"/>
              </w:rPr>
            </w:pPr>
            <w:r>
              <w:rPr>
                <w:color w:val="000000" w:themeColor="text1"/>
              </w:rPr>
              <w:t>Q</w:t>
            </w:r>
            <w:r>
              <w:rPr>
                <w:color w:val="000000" w:themeColor="text1"/>
                <w:vertAlign w:val="subscript"/>
              </w:rPr>
              <w:t>水</w:t>
            </w:r>
            <w:r>
              <w:rPr>
                <w:color w:val="000000" w:themeColor="text1"/>
              </w:rPr>
              <w:t>=1780.253t/a×560kcal/kg×10</w:t>
            </w:r>
            <w:r>
              <w:rPr>
                <w:color w:val="000000" w:themeColor="text1"/>
                <w:vertAlign w:val="superscript"/>
              </w:rPr>
              <w:t>3</w:t>
            </w:r>
            <w:r>
              <w:rPr>
                <w:color w:val="000000" w:themeColor="text1"/>
              </w:rPr>
              <w:t>=996941680kcal/a</w:t>
            </w:r>
          </w:p>
          <w:p w14:paraId="143AC9E5">
            <w:pPr>
              <w:spacing w:line="360" w:lineRule="auto"/>
              <w:ind w:firstLine="480"/>
              <w:rPr>
                <w:color w:val="000000" w:themeColor="text1"/>
              </w:rPr>
            </w:pPr>
            <w:r>
              <w:rPr>
                <w:color w:val="000000" w:themeColor="text1"/>
              </w:rPr>
              <w:t>生物质能源颗粒热值为4200kcal/kg，项目采用直接烘干方式，热效率取90%，生物质能源颗粒的用量为：</w:t>
            </w:r>
          </w:p>
          <w:p w14:paraId="50989C4D">
            <w:pPr>
              <w:spacing w:line="360" w:lineRule="auto"/>
              <w:ind w:firstLine="480"/>
              <w:rPr>
                <w:color w:val="000000" w:themeColor="text1"/>
              </w:rPr>
            </w:pPr>
            <w:r>
              <w:rPr>
                <w:color w:val="000000" w:themeColor="text1"/>
              </w:rPr>
              <w:t>m=Q</w:t>
            </w:r>
            <w:r>
              <w:rPr>
                <w:color w:val="000000" w:themeColor="text1"/>
                <w:vertAlign w:val="subscript"/>
              </w:rPr>
              <w:t>总</w:t>
            </w:r>
            <w:r>
              <w:rPr>
                <w:color w:val="000000" w:themeColor="text1"/>
              </w:rPr>
              <w:t>÷（热值×η）=(242683350kcal/a+996941680kcal/a)÷（4200kcal/kg×0.9）×10</w:t>
            </w:r>
            <w:r>
              <w:rPr>
                <w:color w:val="000000" w:themeColor="text1"/>
                <w:vertAlign w:val="superscript"/>
              </w:rPr>
              <w:t>-3</w:t>
            </w:r>
            <w:r>
              <w:rPr>
                <w:color w:val="000000" w:themeColor="text1"/>
              </w:rPr>
              <w:t>=328t/a</w:t>
            </w:r>
          </w:p>
          <w:p w14:paraId="7B896B43">
            <w:pPr>
              <w:spacing w:line="360" w:lineRule="auto"/>
              <w:ind w:firstLine="480"/>
              <w:rPr>
                <w:color w:val="000000" w:themeColor="text1"/>
              </w:rPr>
            </w:pPr>
            <w:r>
              <w:rPr>
                <w:color w:val="000000" w:themeColor="text1"/>
              </w:rPr>
              <w:t>综上所述，根据建设单位提供资料，并结合物料平衡、原料锯末（湿料）的含水率、生物质能源颗粒热值、物质的汽化热（潜热）以及升温焓值等来确定，本项目热风炉燃烧自产生物质能源颗粒用量为328t/a。</w:t>
            </w:r>
          </w:p>
          <w:p w14:paraId="09D6E6CA">
            <w:pPr>
              <w:spacing w:line="360" w:lineRule="auto"/>
              <w:ind w:firstLine="480"/>
              <w:rPr>
                <w:color w:val="000000" w:themeColor="text1"/>
              </w:rPr>
            </w:pPr>
            <w:r>
              <w:rPr>
                <w:color w:val="000000" w:themeColor="text1"/>
              </w:rPr>
              <w:t>9、主要生产设备、设施</w:t>
            </w:r>
          </w:p>
          <w:p w14:paraId="20282779">
            <w:pPr>
              <w:ind w:firstLine="480"/>
              <w:rPr>
                <w:color w:val="000000" w:themeColor="text1"/>
              </w:rPr>
            </w:pPr>
            <w:r>
              <w:rPr>
                <w:color w:val="000000" w:themeColor="text1"/>
              </w:rPr>
              <w:t>本项目主要生产设备、设施见下表。</w:t>
            </w:r>
          </w:p>
          <w:p w14:paraId="778BC38C">
            <w:pPr>
              <w:pStyle w:val="34"/>
              <w:rPr>
                <w:color w:val="000000" w:themeColor="text1"/>
                <w:sz w:val="24"/>
                <w:szCs w:val="24"/>
              </w:rPr>
            </w:pPr>
            <w:r>
              <w:rPr>
                <w:bCs/>
                <w:color w:val="000000" w:themeColor="text1"/>
              </w:rPr>
              <w:t>表1</w:t>
            </w:r>
            <w:r>
              <w:rPr>
                <w:rFonts w:hint="eastAsia"/>
                <w:bCs/>
                <w:color w:val="000000" w:themeColor="text1"/>
              </w:rPr>
              <w:t>5</w:t>
            </w:r>
            <w:r>
              <w:rPr>
                <w:bCs/>
                <w:color w:val="000000" w:themeColor="text1"/>
              </w:rPr>
              <w:t xml:space="preserve">  本项目主要生产设备、设施一览表</w:t>
            </w:r>
          </w:p>
          <w:tbl>
            <w:tblPr>
              <w:tblStyle w:val="24"/>
              <w:tblW w:w="81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1"/>
              <w:gridCol w:w="1291"/>
              <w:gridCol w:w="1004"/>
              <w:gridCol w:w="1680"/>
              <w:gridCol w:w="884"/>
              <w:gridCol w:w="2485"/>
            </w:tblGrid>
            <w:tr w14:paraId="36890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1A1CD7D6">
                  <w:pPr>
                    <w:pStyle w:val="66"/>
                    <w:spacing w:line="240" w:lineRule="auto"/>
                    <w:ind w:left="0" w:right="0" w:firstLine="0" w:firstLineChars="0"/>
                    <w:rPr>
                      <w:b/>
                      <w:bCs/>
                      <w:color w:val="000000" w:themeColor="text1"/>
                      <w:sz w:val="21"/>
                    </w:rPr>
                  </w:pPr>
                  <w:r>
                    <w:rPr>
                      <w:b/>
                      <w:bCs/>
                      <w:color w:val="000000" w:themeColor="text1"/>
                      <w:sz w:val="21"/>
                    </w:rPr>
                    <w:t>主要工艺</w:t>
                  </w:r>
                </w:p>
              </w:tc>
              <w:tc>
                <w:tcPr>
                  <w:tcW w:w="794" w:type="pct"/>
                  <w:tcBorders>
                    <w:tl2br w:val="nil"/>
                    <w:tr2bl w:val="nil"/>
                  </w:tcBorders>
                  <w:vAlign w:val="center"/>
                </w:tcPr>
                <w:p w14:paraId="253A490C">
                  <w:pPr>
                    <w:pStyle w:val="66"/>
                    <w:spacing w:line="240" w:lineRule="auto"/>
                    <w:ind w:left="0" w:right="0" w:firstLine="0" w:firstLineChars="0"/>
                    <w:rPr>
                      <w:b/>
                      <w:bCs/>
                      <w:color w:val="000000" w:themeColor="text1"/>
                      <w:sz w:val="21"/>
                    </w:rPr>
                  </w:pPr>
                  <w:r>
                    <w:rPr>
                      <w:b/>
                      <w:bCs/>
                      <w:color w:val="000000" w:themeColor="text1"/>
                      <w:sz w:val="21"/>
                    </w:rPr>
                    <w:t>设备名称</w:t>
                  </w:r>
                </w:p>
              </w:tc>
              <w:tc>
                <w:tcPr>
                  <w:tcW w:w="618" w:type="pct"/>
                  <w:tcBorders>
                    <w:tl2br w:val="nil"/>
                    <w:tr2bl w:val="nil"/>
                  </w:tcBorders>
                  <w:vAlign w:val="center"/>
                </w:tcPr>
                <w:p w14:paraId="44A7B2A3">
                  <w:pPr>
                    <w:pStyle w:val="66"/>
                    <w:spacing w:line="240" w:lineRule="auto"/>
                    <w:ind w:left="0" w:right="0" w:firstLine="0" w:firstLineChars="0"/>
                    <w:rPr>
                      <w:b/>
                      <w:bCs/>
                      <w:color w:val="000000" w:themeColor="text1"/>
                      <w:kern w:val="2"/>
                      <w:sz w:val="21"/>
                    </w:rPr>
                  </w:pPr>
                  <w:r>
                    <w:rPr>
                      <w:b/>
                      <w:bCs/>
                      <w:color w:val="000000" w:themeColor="text1"/>
                      <w:sz w:val="21"/>
                    </w:rPr>
                    <w:t>数量（台/套）</w:t>
                  </w:r>
                </w:p>
              </w:tc>
              <w:tc>
                <w:tcPr>
                  <w:tcW w:w="1033" w:type="pct"/>
                  <w:tcBorders>
                    <w:tl2br w:val="nil"/>
                    <w:tr2bl w:val="nil"/>
                  </w:tcBorders>
                  <w:vAlign w:val="center"/>
                </w:tcPr>
                <w:p w14:paraId="3DE52F66">
                  <w:pPr>
                    <w:pStyle w:val="66"/>
                    <w:spacing w:line="240" w:lineRule="auto"/>
                    <w:ind w:left="0" w:right="0" w:firstLine="0" w:firstLineChars="0"/>
                    <w:rPr>
                      <w:b/>
                      <w:bCs/>
                      <w:color w:val="000000" w:themeColor="text1"/>
                      <w:sz w:val="21"/>
                    </w:rPr>
                  </w:pPr>
                  <w:r>
                    <w:rPr>
                      <w:b/>
                      <w:bCs/>
                      <w:color w:val="000000" w:themeColor="text1"/>
                      <w:sz w:val="21"/>
                    </w:rPr>
                    <w:t>设备型号/参数</w:t>
                  </w:r>
                </w:p>
              </w:tc>
              <w:tc>
                <w:tcPr>
                  <w:tcW w:w="544" w:type="pct"/>
                  <w:tcBorders>
                    <w:tl2br w:val="nil"/>
                    <w:tr2bl w:val="nil"/>
                  </w:tcBorders>
                  <w:vAlign w:val="center"/>
                </w:tcPr>
                <w:p w14:paraId="5879D745">
                  <w:pPr>
                    <w:pStyle w:val="66"/>
                    <w:spacing w:line="240" w:lineRule="auto"/>
                    <w:ind w:left="0" w:right="0" w:firstLine="0" w:firstLineChars="0"/>
                    <w:rPr>
                      <w:b/>
                      <w:bCs/>
                      <w:color w:val="000000" w:themeColor="text1"/>
                      <w:sz w:val="21"/>
                    </w:rPr>
                  </w:pPr>
                  <w:r>
                    <w:rPr>
                      <w:b/>
                      <w:bCs/>
                      <w:color w:val="000000" w:themeColor="text1"/>
                      <w:sz w:val="21"/>
                    </w:rPr>
                    <w:t>设备生产能力</w:t>
                  </w:r>
                </w:p>
              </w:tc>
              <w:tc>
                <w:tcPr>
                  <w:tcW w:w="1528" w:type="pct"/>
                  <w:tcBorders>
                    <w:tl2br w:val="nil"/>
                    <w:tr2bl w:val="nil"/>
                  </w:tcBorders>
                  <w:vAlign w:val="center"/>
                </w:tcPr>
                <w:p w14:paraId="5212D595">
                  <w:pPr>
                    <w:pStyle w:val="66"/>
                    <w:spacing w:line="240" w:lineRule="auto"/>
                    <w:ind w:left="0" w:right="0" w:firstLine="0" w:firstLineChars="0"/>
                    <w:rPr>
                      <w:b/>
                      <w:bCs/>
                      <w:color w:val="000000" w:themeColor="text1"/>
                      <w:sz w:val="21"/>
                    </w:rPr>
                  </w:pPr>
                  <w:r>
                    <w:rPr>
                      <w:b/>
                      <w:bCs/>
                      <w:color w:val="000000" w:themeColor="text1"/>
                      <w:sz w:val="21"/>
                    </w:rPr>
                    <w:t>备注</w:t>
                  </w:r>
                </w:p>
              </w:tc>
            </w:tr>
            <w:tr w14:paraId="6BA3C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13A206E5">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转运</w:t>
                  </w:r>
                </w:p>
              </w:tc>
              <w:tc>
                <w:tcPr>
                  <w:tcW w:w="794" w:type="pct"/>
                  <w:tcBorders>
                    <w:tl2br w:val="nil"/>
                    <w:tr2bl w:val="nil"/>
                  </w:tcBorders>
                  <w:shd w:val="clear" w:color="auto" w:fill="auto"/>
                  <w:vAlign w:val="center"/>
                </w:tcPr>
                <w:p w14:paraId="6BAB3F48">
                  <w:pPr>
                    <w:spacing w:line="240" w:lineRule="auto"/>
                    <w:ind w:firstLine="0" w:firstLineChars="0"/>
                    <w:jc w:val="center"/>
                    <w:rPr>
                      <w:color w:val="000000" w:themeColor="text1"/>
                      <w:sz w:val="21"/>
                      <w:szCs w:val="21"/>
                    </w:rPr>
                  </w:pPr>
                  <w:r>
                    <w:rPr>
                      <w:rFonts w:hint="eastAsia"/>
                      <w:color w:val="000000" w:themeColor="text1"/>
                      <w:sz w:val="21"/>
                      <w:szCs w:val="21"/>
                    </w:rPr>
                    <w:t>铲车</w:t>
                  </w:r>
                </w:p>
              </w:tc>
              <w:tc>
                <w:tcPr>
                  <w:tcW w:w="618" w:type="pct"/>
                  <w:tcBorders>
                    <w:tl2br w:val="nil"/>
                    <w:tr2bl w:val="nil"/>
                  </w:tcBorders>
                  <w:shd w:val="clear" w:color="auto" w:fill="auto"/>
                  <w:vAlign w:val="center"/>
                </w:tcPr>
                <w:p w14:paraId="3B13FED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2</w:t>
                  </w:r>
                </w:p>
              </w:tc>
              <w:tc>
                <w:tcPr>
                  <w:tcW w:w="1033" w:type="pct"/>
                  <w:tcBorders>
                    <w:tl2br w:val="nil"/>
                    <w:tr2bl w:val="nil"/>
                  </w:tcBorders>
                  <w:shd w:val="clear" w:color="auto" w:fill="auto"/>
                  <w:vAlign w:val="center"/>
                </w:tcPr>
                <w:p w14:paraId="7170E998">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ZL945/LW300KV</w:t>
                  </w:r>
                </w:p>
              </w:tc>
              <w:tc>
                <w:tcPr>
                  <w:tcW w:w="544" w:type="pct"/>
                  <w:tcBorders>
                    <w:tl2br w:val="nil"/>
                    <w:tr2bl w:val="nil"/>
                  </w:tcBorders>
                  <w:shd w:val="clear" w:color="auto" w:fill="auto"/>
                  <w:vAlign w:val="center"/>
                </w:tcPr>
                <w:p w14:paraId="62ED9FC9">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430AC2D1">
                  <w:pPr>
                    <w:pStyle w:val="66"/>
                    <w:spacing w:line="240" w:lineRule="auto"/>
                    <w:ind w:left="0" w:right="0" w:firstLine="0" w:firstLineChars="0"/>
                    <w:rPr>
                      <w:color w:val="000000" w:themeColor="text1"/>
                      <w:sz w:val="21"/>
                    </w:rPr>
                  </w:pPr>
                  <w:r>
                    <w:rPr>
                      <w:rFonts w:hint="eastAsia"/>
                      <w:color w:val="000000" w:themeColor="text1"/>
                      <w:sz w:val="21"/>
                    </w:rPr>
                    <w:t>锯末转运，国四排放标准的油车</w:t>
                  </w:r>
                </w:p>
              </w:tc>
            </w:tr>
            <w:tr w14:paraId="1660A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111BDE0D">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上料</w:t>
                  </w:r>
                </w:p>
              </w:tc>
              <w:tc>
                <w:tcPr>
                  <w:tcW w:w="794" w:type="pct"/>
                  <w:tcBorders>
                    <w:tl2br w:val="nil"/>
                    <w:tr2bl w:val="nil"/>
                  </w:tcBorders>
                  <w:shd w:val="clear" w:color="auto" w:fill="auto"/>
                  <w:vAlign w:val="center"/>
                </w:tcPr>
                <w:p w14:paraId="0FA32DCE">
                  <w:pPr>
                    <w:spacing w:line="240" w:lineRule="auto"/>
                    <w:ind w:firstLine="0" w:firstLineChars="0"/>
                    <w:jc w:val="center"/>
                    <w:rPr>
                      <w:color w:val="000000" w:themeColor="text1"/>
                      <w:sz w:val="21"/>
                      <w:szCs w:val="21"/>
                    </w:rPr>
                  </w:pPr>
                  <w:r>
                    <w:rPr>
                      <w:rFonts w:hint="eastAsia"/>
                      <w:color w:val="000000" w:themeColor="text1"/>
                      <w:sz w:val="21"/>
                      <w:szCs w:val="21"/>
                    </w:rPr>
                    <w:t>上料斗</w:t>
                  </w:r>
                </w:p>
              </w:tc>
              <w:tc>
                <w:tcPr>
                  <w:tcW w:w="618" w:type="pct"/>
                  <w:tcBorders>
                    <w:tl2br w:val="nil"/>
                    <w:tr2bl w:val="nil"/>
                  </w:tcBorders>
                  <w:shd w:val="clear" w:color="auto" w:fill="auto"/>
                  <w:vAlign w:val="center"/>
                </w:tcPr>
                <w:p w14:paraId="18E168C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5951CABE">
                  <w:pPr>
                    <w:widowControl/>
                    <w:kinsoku w:val="0"/>
                    <w:autoSpaceDE w:val="0"/>
                    <w:autoSpaceDN w:val="0"/>
                    <w:adjustRightInd w:val="0"/>
                    <w:snapToGrid w:val="0"/>
                    <w:spacing w:line="240" w:lineRule="auto"/>
                    <w:ind w:firstLine="0" w:firstLineChars="0"/>
                    <w:jc w:val="center"/>
                    <w:textAlignment w:val="baseline"/>
                    <w:rPr>
                      <w:color w:val="000000" w:themeColor="text1"/>
                    </w:rPr>
                  </w:pPr>
                  <w:r>
                    <w:rPr>
                      <w:rFonts w:hint="eastAsia"/>
                      <w:color w:val="000000" w:themeColor="text1"/>
                      <w:sz w:val="21"/>
                      <w:szCs w:val="21"/>
                    </w:rPr>
                    <w:t>4m*3m*2.5m</w:t>
                  </w:r>
                </w:p>
              </w:tc>
              <w:tc>
                <w:tcPr>
                  <w:tcW w:w="544" w:type="pct"/>
                  <w:tcBorders>
                    <w:tl2br w:val="nil"/>
                    <w:tr2bl w:val="nil"/>
                  </w:tcBorders>
                  <w:shd w:val="clear" w:color="auto" w:fill="auto"/>
                  <w:vAlign w:val="center"/>
                </w:tcPr>
                <w:p w14:paraId="573FBC6D">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restart"/>
                  <w:tcBorders>
                    <w:tl2br w:val="nil"/>
                    <w:tr2bl w:val="nil"/>
                  </w:tcBorders>
                  <w:vAlign w:val="center"/>
                </w:tcPr>
                <w:p w14:paraId="5EACD088">
                  <w:pPr>
                    <w:pStyle w:val="66"/>
                    <w:spacing w:line="240" w:lineRule="auto"/>
                    <w:ind w:left="0" w:right="0" w:firstLine="0" w:firstLineChars="0"/>
                    <w:rPr>
                      <w:color w:val="000000" w:themeColor="text1"/>
                      <w:sz w:val="21"/>
                    </w:rPr>
                  </w:pPr>
                  <w:r>
                    <w:rPr>
                      <w:rFonts w:hint="eastAsia"/>
                      <w:color w:val="000000" w:themeColor="text1"/>
                      <w:sz w:val="21"/>
                    </w:rPr>
                    <w:t>锯末（湿料）上料、输送</w:t>
                  </w:r>
                </w:p>
              </w:tc>
            </w:tr>
            <w:tr w14:paraId="70987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591814A4">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输送</w:t>
                  </w:r>
                </w:p>
              </w:tc>
              <w:tc>
                <w:tcPr>
                  <w:tcW w:w="794" w:type="pct"/>
                  <w:tcBorders>
                    <w:tl2br w:val="nil"/>
                    <w:tr2bl w:val="nil"/>
                  </w:tcBorders>
                  <w:shd w:val="clear" w:color="auto" w:fill="auto"/>
                  <w:vAlign w:val="center"/>
                </w:tcPr>
                <w:p w14:paraId="7C87349B">
                  <w:pPr>
                    <w:spacing w:line="240" w:lineRule="auto"/>
                    <w:ind w:firstLine="0" w:firstLineChars="0"/>
                    <w:jc w:val="center"/>
                    <w:rPr>
                      <w:color w:val="000000" w:themeColor="text1"/>
                      <w:sz w:val="21"/>
                      <w:szCs w:val="21"/>
                    </w:rPr>
                  </w:pPr>
                  <w:r>
                    <w:rPr>
                      <w:rFonts w:hint="eastAsia"/>
                      <w:color w:val="000000" w:themeColor="text1"/>
                      <w:sz w:val="21"/>
                      <w:szCs w:val="21"/>
                    </w:rPr>
                    <w:t>绞龙</w:t>
                  </w:r>
                </w:p>
              </w:tc>
              <w:tc>
                <w:tcPr>
                  <w:tcW w:w="618" w:type="pct"/>
                  <w:tcBorders>
                    <w:tl2br w:val="nil"/>
                    <w:tr2bl w:val="nil"/>
                  </w:tcBorders>
                  <w:shd w:val="clear" w:color="auto" w:fill="auto"/>
                  <w:vAlign w:val="center"/>
                </w:tcPr>
                <w:p w14:paraId="70EF30B7">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4CF4100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YULS300*2*3</w:t>
                  </w:r>
                </w:p>
              </w:tc>
              <w:tc>
                <w:tcPr>
                  <w:tcW w:w="544" w:type="pct"/>
                  <w:tcBorders>
                    <w:tl2br w:val="nil"/>
                    <w:tr2bl w:val="nil"/>
                  </w:tcBorders>
                  <w:shd w:val="clear" w:color="auto" w:fill="auto"/>
                  <w:vAlign w:val="center"/>
                </w:tcPr>
                <w:p w14:paraId="2643BC73">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continue"/>
                  <w:tcBorders>
                    <w:tl2br w:val="nil"/>
                    <w:tr2bl w:val="nil"/>
                  </w:tcBorders>
                  <w:vAlign w:val="center"/>
                </w:tcPr>
                <w:p w14:paraId="4431644A">
                  <w:pPr>
                    <w:pStyle w:val="66"/>
                    <w:spacing w:line="240" w:lineRule="auto"/>
                    <w:ind w:left="0" w:right="0" w:firstLine="0" w:firstLineChars="0"/>
                    <w:rPr>
                      <w:color w:val="000000" w:themeColor="text1"/>
                      <w:sz w:val="21"/>
                    </w:rPr>
                  </w:pPr>
                </w:p>
              </w:tc>
            </w:tr>
            <w:tr w14:paraId="3FF49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42C2626C">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筛分</w:t>
                  </w:r>
                </w:p>
              </w:tc>
              <w:tc>
                <w:tcPr>
                  <w:tcW w:w="794" w:type="pct"/>
                  <w:tcBorders>
                    <w:tl2br w:val="nil"/>
                    <w:tr2bl w:val="nil"/>
                  </w:tcBorders>
                  <w:shd w:val="clear" w:color="auto" w:fill="auto"/>
                  <w:vAlign w:val="center"/>
                </w:tcPr>
                <w:p w14:paraId="5A3555BA">
                  <w:pPr>
                    <w:spacing w:line="240" w:lineRule="auto"/>
                    <w:ind w:firstLine="0" w:firstLineChars="0"/>
                    <w:jc w:val="center"/>
                    <w:rPr>
                      <w:color w:val="000000" w:themeColor="text1"/>
                      <w:sz w:val="21"/>
                      <w:szCs w:val="21"/>
                    </w:rPr>
                  </w:pPr>
                  <w:r>
                    <w:rPr>
                      <w:rFonts w:hint="eastAsia"/>
                      <w:color w:val="000000" w:themeColor="text1"/>
                      <w:sz w:val="21"/>
                      <w:szCs w:val="21"/>
                    </w:rPr>
                    <w:t>滚筒筛</w:t>
                  </w:r>
                </w:p>
              </w:tc>
              <w:tc>
                <w:tcPr>
                  <w:tcW w:w="618" w:type="pct"/>
                  <w:tcBorders>
                    <w:tl2br w:val="nil"/>
                    <w:tr2bl w:val="nil"/>
                  </w:tcBorders>
                  <w:shd w:val="clear" w:color="auto" w:fill="auto"/>
                  <w:vAlign w:val="center"/>
                </w:tcPr>
                <w:p w14:paraId="18B22BA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907160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YGTS2000</w:t>
                  </w:r>
                </w:p>
              </w:tc>
              <w:tc>
                <w:tcPr>
                  <w:tcW w:w="544" w:type="pct"/>
                  <w:tcBorders>
                    <w:tl2br w:val="nil"/>
                    <w:tr2bl w:val="nil"/>
                  </w:tcBorders>
                  <w:shd w:val="clear" w:color="auto" w:fill="auto"/>
                  <w:vAlign w:val="center"/>
                </w:tcPr>
                <w:p w14:paraId="2D9DED11">
                  <w:pPr>
                    <w:pStyle w:val="66"/>
                    <w:spacing w:line="240" w:lineRule="auto"/>
                    <w:ind w:left="0" w:right="0" w:firstLine="0" w:firstLineChars="0"/>
                    <w:rPr>
                      <w:color w:val="000000" w:themeColor="text1"/>
                      <w:sz w:val="21"/>
                    </w:rPr>
                  </w:pPr>
                  <w:r>
                    <w:rPr>
                      <w:rFonts w:hint="eastAsia"/>
                      <w:color w:val="000000" w:themeColor="text1"/>
                      <w:sz w:val="21"/>
                    </w:rPr>
                    <w:t>9t/h</w:t>
                  </w:r>
                </w:p>
              </w:tc>
              <w:tc>
                <w:tcPr>
                  <w:tcW w:w="1528" w:type="pct"/>
                  <w:tcBorders>
                    <w:tl2br w:val="nil"/>
                    <w:tr2bl w:val="nil"/>
                  </w:tcBorders>
                  <w:vAlign w:val="center"/>
                </w:tcPr>
                <w:p w14:paraId="05537B8E">
                  <w:pPr>
                    <w:pStyle w:val="66"/>
                    <w:spacing w:line="240" w:lineRule="auto"/>
                    <w:ind w:left="0" w:right="0" w:firstLine="0" w:firstLineChars="0"/>
                    <w:rPr>
                      <w:color w:val="000000" w:themeColor="text1"/>
                      <w:sz w:val="21"/>
                    </w:rPr>
                  </w:pPr>
                  <w:r>
                    <w:rPr>
                      <w:rFonts w:hint="eastAsia"/>
                      <w:color w:val="000000" w:themeColor="text1"/>
                      <w:sz w:val="21"/>
                    </w:rPr>
                    <w:t>锯末（湿料）筛分出大块木废边角料</w:t>
                  </w:r>
                </w:p>
              </w:tc>
            </w:tr>
            <w:tr w14:paraId="1D777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07F86409">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输送、转运</w:t>
                  </w:r>
                </w:p>
              </w:tc>
              <w:tc>
                <w:tcPr>
                  <w:tcW w:w="794" w:type="pct"/>
                  <w:tcBorders>
                    <w:tl2br w:val="nil"/>
                    <w:tr2bl w:val="nil"/>
                  </w:tcBorders>
                  <w:shd w:val="clear" w:color="auto" w:fill="auto"/>
                  <w:vAlign w:val="center"/>
                </w:tcPr>
                <w:p w14:paraId="58E9FE49">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3661560F">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9620E1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1400*800</w:t>
                  </w:r>
                </w:p>
              </w:tc>
              <w:tc>
                <w:tcPr>
                  <w:tcW w:w="544" w:type="pct"/>
                  <w:tcBorders>
                    <w:tl2br w:val="nil"/>
                    <w:tr2bl w:val="nil"/>
                  </w:tcBorders>
                  <w:shd w:val="clear" w:color="auto" w:fill="auto"/>
                  <w:vAlign w:val="center"/>
                </w:tcPr>
                <w:p w14:paraId="4E7CE31D">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restart"/>
                  <w:tcBorders>
                    <w:tl2br w:val="nil"/>
                    <w:tr2bl w:val="nil"/>
                  </w:tcBorders>
                  <w:vAlign w:val="center"/>
                </w:tcPr>
                <w:p w14:paraId="34A0B4DE">
                  <w:pPr>
                    <w:pStyle w:val="66"/>
                    <w:spacing w:line="240" w:lineRule="auto"/>
                    <w:ind w:left="0" w:right="0" w:firstLine="0" w:firstLineChars="0"/>
                    <w:rPr>
                      <w:color w:val="000000" w:themeColor="text1"/>
                      <w:sz w:val="21"/>
                    </w:rPr>
                  </w:pPr>
                  <w:r>
                    <w:rPr>
                      <w:rFonts w:hint="eastAsia"/>
                      <w:color w:val="000000" w:themeColor="text1"/>
                      <w:sz w:val="21"/>
                    </w:rPr>
                    <w:t>锯末（湿料）转运</w:t>
                  </w:r>
                </w:p>
              </w:tc>
            </w:tr>
            <w:tr w14:paraId="5C217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3F59448C">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F4EB079">
                  <w:pPr>
                    <w:spacing w:line="240" w:lineRule="auto"/>
                    <w:ind w:firstLine="0" w:firstLineChars="0"/>
                    <w:jc w:val="center"/>
                    <w:rPr>
                      <w:color w:val="000000" w:themeColor="text1"/>
                      <w:sz w:val="21"/>
                      <w:szCs w:val="21"/>
                    </w:rPr>
                  </w:pPr>
                  <w:r>
                    <w:rPr>
                      <w:rFonts w:hint="eastAsia"/>
                      <w:color w:val="000000" w:themeColor="text1"/>
                      <w:sz w:val="21"/>
                      <w:szCs w:val="21"/>
                    </w:rPr>
                    <w:t>中间料斗</w:t>
                  </w:r>
                </w:p>
              </w:tc>
              <w:tc>
                <w:tcPr>
                  <w:tcW w:w="618" w:type="pct"/>
                  <w:tcBorders>
                    <w:tl2br w:val="nil"/>
                    <w:tr2bl w:val="nil"/>
                  </w:tcBorders>
                  <w:shd w:val="clear" w:color="auto" w:fill="auto"/>
                  <w:vAlign w:val="center"/>
                </w:tcPr>
                <w:p w14:paraId="5A907B0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1D901C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1m*1m</w:t>
                  </w:r>
                </w:p>
              </w:tc>
              <w:tc>
                <w:tcPr>
                  <w:tcW w:w="544" w:type="pct"/>
                  <w:tcBorders>
                    <w:tl2br w:val="nil"/>
                    <w:tr2bl w:val="nil"/>
                  </w:tcBorders>
                  <w:shd w:val="clear" w:color="auto" w:fill="auto"/>
                  <w:vAlign w:val="center"/>
                </w:tcPr>
                <w:p w14:paraId="44082AED">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continue"/>
                  <w:tcBorders>
                    <w:tl2br w:val="nil"/>
                    <w:tr2bl w:val="nil"/>
                  </w:tcBorders>
                  <w:vAlign w:val="center"/>
                </w:tcPr>
                <w:p w14:paraId="10DAFBC3">
                  <w:pPr>
                    <w:pStyle w:val="66"/>
                    <w:spacing w:line="240" w:lineRule="auto"/>
                    <w:ind w:left="0" w:right="0" w:firstLine="0" w:firstLineChars="0"/>
                    <w:rPr>
                      <w:color w:val="000000" w:themeColor="text1"/>
                      <w:sz w:val="21"/>
                    </w:rPr>
                  </w:pPr>
                </w:p>
              </w:tc>
            </w:tr>
            <w:tr w14:paraId="5E3B8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6E730D4F">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B6035EF">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7FC742F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2281CB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1200*600</w:t>
                  </w:r>
                </w:p>
              </w:tc>
              <w:tc>
                <w:tcPr>
                  <w:tcW w:w="544" w:type="pct"/>
                  <w:tcBorders>
                    <w:tl2br w:val="nil"/>
                    <w:tr2bl w:val="nil"/>
                  </w:tcBorders>
                  <w:shd w:val="clear" w:color="auto" w:fill="auto"/>
                  <w:vAlign w:val="center"/>
                </w:tcPr>
                <w:p w14:paraId="54F6C98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46AFEF19">
                  <w:pPr>
                    <w:pStyle w:val="66"/>
                    <w:spacing w:line="240" w:lineRule="auto"/>
                    <w:ind w:left="0" w:right="0" w:firstLine="0" w:firstLineChars="0"/>
                    <w:rPr>
                      <w:color w:val="000000" w:themeColor="text1"/>
                      <w:sz w:val="21"/>
                    </w:rPr>
                  </w:pPr>
                </w:p>
              </w:tc>
            </w:tr>
            <w:tr w14:paraId="4831D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2A1350D">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3F8C22C3">
                  <w:pPr>
                    <w:spacing w:line="240" w:lineRule="auto"/>
                    <w:ind w:firstLine="0" w:firstLineChars="0"/>
                    <w:jc w:val="center"/>
                    <w:rPr>
                      <w:color w:val="000000" w:themeColor="text1"/>
                      <w:sz w:val="21"/>
                      <w:szCs w:val="21"/>
                    </w:rPr>
                  </w:pPr>
                  <w:r>
                    <w:rPr>
                      <w:rFonts w:hint="eastAsia"/>
                      <w:color w:val="000000" w:themeColor="text1"/>
                      <w:sz w:val="21"/>
                      <w:szCs w:val="21"/>
                    </w:rPr>
                    <w:t>料斗</w:t>
                  </w:r>
                </w:p>
              </w:tc>
              <w:tc>
                <w:tcPr>
                  <w:tcW w:w="618" w:type="pct"/>
                  <w:tcBorders>
                    <w:tl2br w:val="nil"/>
                    <w:tr2bl w:val="nil"/>
                  </w:tcBorders>
                  <w:shd w:val="clear" w:color="auto" w:fill="auto"/>
                  <w:vAlign w:val="center"/>
                </w:tcPr>
                <w:p w14:paraId="54A5A5B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7B9E0FE">
                  <w:pPr>
                    <w:widowControl/>
                    <w:kinsoku w:val="0"/>
                    <w:autoSpaceDE w:val="0"/>
                    <w:autoSpaceDN w:val="0"/>
                    <w:adjustRightInd w:val="0"/>
                    <w:snapToGrid w:val="0"/>
                    <w:spacing w:line="240" w:lineRule="auto"/>
                    <w:ind w:firstLine="0" w:firstLineChars="0"/>
                    <w:jc w:val="center"/>
                    <w:textAlignment w:val="baseline"/>
                    <w:rPr>
                      <w:color w:val="000000" w:themeColor="text1"/>
                    </w:rPr>
                  </w:pPr>
                  <w:r>
                    <w:rPr>
                      <w:rFonts w:hint="eastAsia"/>
                      <w:color w:val="000000" w:themeColor="text1"/>
                      <w:sz w:val="21"/>
                      <w:szCs w:val="21"/>
                    </w:rPr>
                    <w:t>3m*2.7m*2.5m</w:t>
                  </w:r>
                </w:p>
              </w:tc>
              <w:tc>
                <w:tcPr>
                  <w:tcW w:w="544" w:type="pct"/>
                  <w:tcBorders>
                    <w:tl2br w:val="nil"/>
                    <w:tr2bl w:val="nil"/>
                  </w:tcBorders>
                  <w:shd w:val="clear" w:color="auto" w:fill="auto"/>
                  <w:vAlign w:val="center"/>
                </w:tcPr>
                <w:p w14:paraId="420D581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76D84C93">
                  <w:pPr>
                    <w:pStyle w:val="66"/>
                    <w:spacing w:line="240" w:lineRule="auto"/>
                    <w:ind w:left="0" w:right="0" w:firstLine="0" w:firstLineChars="0"/>
                    <w:rPr>
                      <w:color w:val="000000" w:themeColor="text1"/>
                      <w:sz w:val="21"/>
                    </w:rPr>
                  </w:pPr>
                </w:p>
              </w:tc>
            </w:tr>
            <w:tr w14:paraId="04E24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501A241C">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C0BD69E">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10069E4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201568C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9000*600</w:t>
                  </w:r>
                </w:p>
              </w:tc>
              <w:tc>
                <w:tcPr>
                  <w:tcW w:w="544" w:type="pct"/>
                  <w:tcBorders>
                    <w:tl2br w:val="nil"/>
                    <w:tr2bl w:val="nil"/>
                  </w:tcBorders>
                  <w:shd w:val="clear" w:color="auto" w:fill="auto"/>
                  <w:vAlign w:val="center"/>
                </w:tcPr>
                <w:p w14:paraId="1627E6A7">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2CF11864">
                  <w:pPr>
                    <w:pStyle w:val="66"/>
                    <w:spacing w:line="240" w:lineRule="auto"/>
                    <w:ind w:left="0" w:right="0" w:firstLine="0" w:firstLineChars="0"/>
                    <w:rPr>
                      <w:color w:val="000000" w:themeColor="text1"/>
                      <w:sz w:val="21"/>
                    </w:rPr>
                  </w:pPr>
                </w:p>
              </w:tc>
            </w:tr>
            <w:tr w14:paraId="58FC4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02839AD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烘干</w:t>
                  </w:r>
                </w:p>
              </w:tc>
              <w:tc>
                <w:tcPr>
                  <w:tcW w:w="794" w:type="pct"/>
                  <w:tcBorders>
                    <w:tl2br w:val="nil"/>
                    <w:tr2bl w:val="nil"/>
                  </w:tcBorders>
                  <w:shd w:val="clear" w:color="auto" w:fill="auto"/>
                  <w:vAlign w:val="center"/>
                </w:tcPr>
                <w:p w14:paraId="6DA70788">
                  <w:pPr>
                    <w:spacing w:line="240" w:lineRule="auto"/>
                    <w:ind w:firstLine="0" w:firstLineChars="0"/>
                    <w:jc w:val="center"/>
                    <w:rPr>
                      <w:color w:val="000000" w:themeColor="text1"/>
                      <w:sz w:val="21"/>
                      <w:szCs w:val="21"/>
                    </w:rPr>
                  </w:pPr>
                  <w:r>
                    <w:rPr>
                      <w:rFonts w:hint="eastAsia"/>
                      <w:color w:val="000000" w:themeColor="text1"/>
                      <w:sz w:val="21"/>
                      <w:szCs w:val="21"/>
                    </w:rPr>
                    <w:t>烘干机</w:t>
                  </w:r>
                </w:p>
              </w:tc>
              <w:tc>
                <w:tcPr>
                  <w:tcW w:w="618" w:type="pct"/>
                  <w:tcBorders>
                    <w:tl2br w:val="nil"/>
                    <w:tr2bl w:val="nil"/>
                  </w:tcBorders>
                  <w:shd w:val="clear" w:color="auto" w:fill="auto"/>
                  <w:vAlign w:val="center"/>
                </w:tcPr>
                <w:p w14:paraId="0A625DE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2CC48028">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YGHG2*20</w:t>
                  </w:r>
                </w:p>
              </w:tc>
              <w:tc>
                <w:tcPr>
                  <w:tcW w:w="544" w:type="pct"/>
                  <w:tcBorders>
                    <w:tl2br w:val="nil"/>
                    <w:tr2bl w:val="nil"/>
                  </w:tcBorders>
                  <w:shd w:val="clear" w:color="auto" w:fill="auto"/>
                  <w:vAlign w:val="center"/>
                </w:tcPr>
                <w:p w14:paraId="1CFD7DA8">
                  <w:pPr>
                    <w:pStyle w:val="66"/>
                    <w:spacing w:line="240" w:lineRule="auto"/>
                    <w:ind w:left="0" w:right="0" w:firstLine="0" w:firstLineChars="0"/>
                    <w:rPr>
                      <w:color w:val="000000" w:themeColor="text1"/>
                      <w:sz w:val="21"/>
                    </w:rPr>
                  </w:pPr>
                  <w:r>
                    <w:rPr>
                      <w:rFonts w:hint="eastAsia"/>
                      <w:color w:val="000000" w:themeColor="text1"/>
                      <w:sz w:val="21"/>
                    </w:rPr>
                    <w:t>6t/h</w:t>
                  </w:r>
                </w:p>
              </w:tc>
              <w:tc>
                <w:tcPr>
                  <w:tcW w:w="1528" w:type="pct"/>
                  <w:tcBorders>
                    <w:tl2br w:val="nil"/>
                    <w:tr2bl w:val="nil"/>
                  </w:tcBorders>
                  <w:vAlign w:val="center"/>
                </w:tcPr>
                <w:p w14:paraId="5933DCBE">
                  <w:pPr>
                    <w:pStyle w:val="66"/>
                    <w:spacing w:line="240" w:lineRule="auto"/>
                    <w:ind w:left="0" w:right="0" w:firstLine="0" w:firstLineChars="0"/>
                    <w:rPr>
                      <w:color w:val="000000" w:themeColor="text1"/>
                      <w:sz w:val="21"/>
                    </w:rPr>
                  </w:pPr>
                  <w:r>
                    <w:rPr>
                      <w:rFonts w:hint="eastAsia"/>
                      <w:color w:val="000000" w:themeColor="text1"/>
                      <w:sz w:val="21"/>
                    </w:rPr>
                    <w:t>/</w:t>
                  </w:r>
                </w:p>
              </w:tc>
            </w:tr>
            <w:tr w14:paraId="3B491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6FD8C3C">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218F41D9">
                  <w:pPr>
                    <w:spacing w:line="240" w:lineRule="auto"/>
                    <w:ind w:firstLine="0" w:firstLineChars="0"/>
                    <w:jc w:val="center"/>
                    <w:rPr>
                      <w:color w:val="000000" w:themeColor="text1"/>
                      <w:sz w:val="21"/>
                      <w:szCs w:val="21"/>
                    </w:rPr>
                  </w:pPr>
                  <w:r>
                    <w:rPr>
                      <w:rFonts w:hint="eastAsia"/>
                      <w:color w:val="000000" w:themeColor="text1"/>
                      <w:sz w:val="21"/>
                      <w:szCs w:val="21"/>
                    </w:rPr>
                    <w:t>叉车</w:t>
                  </w:r>
                </w:p>
              </w:tc>
              <w:tc>
                <w:tcPr>
                  <w:tcW w:w="618" w:type="pct"/>
                  <w:tcBorders>
                    <w:tl2br w:val="nil"/>
                    <w:tr2bl w:val="nil"/>
                  </w:tcBorders>
                  <w:shd w:val="clear" w:color="auto" w:fill="auto"/>
                  <w:vAlign w:val="center"/>
                </w:tcPr>
                <w:p w14:paraId="78C7461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3EAA45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杭叉CPCD35</w:t>
                  </w:r>
                </w:p>
              </w:tc>
              <w:tc>
                <w:tcPr>
                  <w:tcW w:w="544" w:type="pct"/>
                  <w:tcBorders>
                    <w:tl2br w:val="nil"/>
                    <w:tr2bl w:val="nil"/>
                  </w:tcBorders>
                  <w:shd w:val="clear" w:color="auto" w:fill="auto"/>
                  <w:vAlign w:val="center"/>
                </w:tcPr>
                <w:p w14:paraId="7BD0C2C5">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vMerge w:val="restart"/>
                  <w:tcBorders>
                    <w:tl2br w:val="nil"/>
                    <w:tr2bl w:val="nil"/>
                  </w:tcBorders>
                  <w:vAlign w:val="center"/>
                </w:tcPr>
                <w:p w14:paraId="67554670">
                  <w:pPr>
                    <w:pStyle w:val="66"/>
                    <w:spacing w:line="240" w:lineRule="auto"/>
                    <w:ind w:left="0" w:right="0" w:firstLine="0" w:firstLineChars="0"/>
                    <w:rPr>
                      <w:color w:val="000000" w:themeColor="text1"/>
                      <w:sz w:val="21"/>
                    </w:rPr>
                  </w:pPr>
                  <w:r>
                    <w:rPr>
                      <w:rFonts w:hint="eastAsia"/>
                      <w:color w:val="000000" w:themeColor="text1"/>
                      <w:sz w:val="21"/>
                    </w:rPr>
                    <w:t>热风炉燃料生物质能源颗粒上料、转运、输送设备，其中叉车为国四排放标准的油车</w:t>
                  </w:r>
                </w:p>
              </w:tc>
            </w:tr>
            <w:tr w14:paraId="250D6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4A67A996">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506ECDC2">
                  <w:pPr>
                    <w:spacing w:line="240" w:lineRule="auto"/>
                    <w:ind w:firstLine="0" w:firstLineChars="0"/>
                    <w:jc w:val="center"/>
                    <w:rPr>
                      <w:color w:val="000000" w:themeColor="text1"/>
                      <w:sz w:val="21"/>
                      <w:szCs w:val="21"/>
                    </w:rPr>
                  </w:pPr>
                  <w:r>
                    <w:rPr>
                      <w:rFonts w:hint="eastAsia"/>
                      <w:color w:val="000000" w:themeColor="text1"/>
                      <w:sz w:val="21"/>
                      <w:szCs w:val="21"/>
                    </w:rPr>
                    <w:t>料斗</w:t>
                  </w:r>
                </w:p>
              </w:tc>
              <w:tc>
                <w:tcPr>
                  <w:tcW w:w="618" w:type="pct"/>
                  <w:tcBorders>
                    <w:tl2br w:val="nil"/>
                    <w:tr2bl w:val="nil"/>
                  </w:tcBorders>
                  <w:shd w:val="clear" w:color="auto" w:fill="auto"/>
                  <w:vAlign w:val="center"/>
                </w:tcPr>
                <w:p w14:paraId="4C31605D">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201C40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1m*1m*2.5m</w:t>
                  </w:r>
                </w:p>
              </w:tc>
              <w:tc>
                <w:tcPr>
                  <w:tcW w:w="544" w:type="pct"/>
                  <w:tcBorders>
                    <w:tl2br w:val="nil"/>
                    <w:tr2bl w:val="nil"/>
                  </w:tcBorders>
                  <w:shd w:val="clear" w:color="auto" w:fill="auto"/>
                  <w:vAlign w:val="center"/>
                </w:tcPr>
                <w:p w14:paraId="21ADF71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26DAB665">
                  <w:pPr>
                    <w:pStyle w:val="66"/>
                    <w:spacing w:line="240" w:lineRule="auto"/>
                    <w:ind w:left="0" w:right="0" w:firstLine="0" w:firstLineChars="0"/>
                    <w:rPr>
                      <w:color w:val="000000" w:themeColor="text1"/>
                      <w:sz w:val="21"/>
                    </w:rPr>
                  </w:pPr>
                </w:p>
              </w:tc>
            </w:tr>
            <w:tr w14:paraId="3E5ED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05CC058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2709579E">
                  <w:pPr>
                    <w:spacing w:line="240" w:lineRule="auto"/>
                    <w:ind w:firstLine="0" w:firstLineChars="0"/>
                    <w:jc w:val="center"/>
                    <w:rPr>
                      <w:color w:val="000000" w:themeColor="text1"/>
                      <w:sz w:val="21"/>
                      <w:szCs w:val="21"/>
                    </w:rPr>
                  </w:pPr>
                  <w:r>
                    <w:rPr>
                      <w:rFonts w:hint="eastAsia"/>
                      <w:color w:val="000000" w:themeColor="text1"/>
                      <w:sz w:val="21"/>
                      <w:szCs w:val="21"/>
                    </w:rPr>
                    <w:t>绞龙</w:t>
                  </w:r>
                </w:p>
              </w:tc>
              <w:tc>
                <w:tcPr>
                  <w:tcW w:w="618" w:type="pct"/>
                  <w:tcBorders>
                    <w:tl2br w:val="nil"/>
                    <w:tr2bl w:val="nil"/>
                  </w:tcBorders>
                  <w:shd w:val="clear" w:color="auto" w:fill="auto"/>
                  <w:vAlign w:val="center"/>
                </w:tcPr>
                <w:p w14:paraId="7CCBA89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108D7F5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Φ200*3m</w:t>
                  </w:r>
                </w:p>
              </w:tc>
              <w:tc>
                <w:tcPr>
                  <w:tcW w:w="544" w:type="pct"/>
                  <w:tcBorders>
                    <w:tl2br w:val="nil"/>
                    <w:tr2bl w:val="nil"/>
                  </w:tcBorders>
                  <w:shd w:val="clear" w:color="auto" w:fill="auto"/>
                  <w:vAlign w:val="center"/>
                </w:tcPr>
                <w:p w14:paraId="0424394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6396A235">
                  <w:pPr>
                    <w:pStyle w:val="66"/>
                    <w:spacing w:line="240" w:lineRule="auto"/>
                    <w:ind w:left="0" w:right="0" w:firstLine="0" w:firstLineChars="0"/>
                    <w:rPr>
                      <w:color w:val="000000" w:themeColor="text1"/>
                      <w:sz w:val="21"/>
                    </w:rPr>
                  </w:pPr>
                </w:p>
              </w:tc>
            </w:tr>
            <w:tr w14:paraId="165F2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2F89A75C">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6C490ECD">
                  <w:pPr>
                    <w:spacing w:line="240" w:lineRule="auto"/>
                    <w:ind w:firstLine="0" w:firstLineChars="0"/>
                    <w:jc w:val="center"/>
                    <w:rPr>
                      <w:color w:val="000000" w:themeColor="text1"/>
                      <w:sz w:val="21"/>
                      <w:szCs w:val="21"/>
                    </w:rPr>
                  </w:pPr>
                  <w:r>
                    <w:rPr>
                      <w:rFonts w:hint="eastAsia"/>
                      <w:color w:val="000000" w:themeColor="text1"/>
                      <w:sz w:val="21"/>
                      <w:szCs w:val="21"/>
                    </w:rPr>
                    <w:t>斗提机</w:t>
                  </w:r>
                </w:p>
              </w:tc>
              <w:tc>
                <w:tcPr>
                  <w:tcW w:w="618" w:type="pct"/>
                  <w:tcBorders>
                    <w:tl2br w:val="nil"/>
                    <w:tr2bl w:val="nil"/>
                  </w:tcBorders>
                  <w:shd w:val="clear" w:color="auto" w:fill="auto"/>
                  <w:vAlign w:val="center"/>
                </w:tcPr>
                <w:p w14:paraId="3AF1A36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57DD2AA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YDTJ35</w:t>
                  </w:r>
                </w:p>
              </w:tc>
              <w:tc>
                <w:tcPr>
                  <w:tcW w:w="544" w:type="pct"/>
                  <w:tcBorders>
                    <w:tl2br w:val="nil"/>
                    <w:tr2bl w:val="nil"/>
                  </w:tcBorders>
                  <w:shd w:val="clear" w:color="auto" w:fill="auto"/>
                  <w:vAlign w:val="center"/>
                </w:tcPr>
                <w:p w14:paraId="0885E57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395C7627">
                  <w:pPr>
                    <w:pStyle w:val="66"/>
                    <w:spacing w:line="240" w:lineRule="auto"/>
                    <w:ind w:left="0" w:right="0" w:firstLine="0" w:firstLineChars="0"/>
                    <w:rPr>
                      <w:color w:val="000000" w:themeColor="text1"/>
                      <w:sz w:val="21"/>
                    </w:rPr>
                  </w:pPr>
                </w:p>
              </w:tc>
            </w:tr>
            <w:tr w14:paraId="68CA5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1EEEAF4C">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4AF6B61B">
                  <w:pPr>
                    <w:spacing w:line="240" w:lineRule="auto"/>
                    <w:ind w:firstLine="0" w:firstLineChars="0"/>
                    <w:jc w:val="center"/>
                    <w:rPr>
                      <w:color w:val="000000" w:themeColor="text1"/>
                      <w:sz w:val="21"/>
                      <w:szCs w:val="21"/>
                    </w:rPr>
                  </w:pPr>
                  <w:r>
                    <w:rPr>
                      <w:rFonts w:hint="eastAsia"/>
                      <w:color w:val="000000" w:themeColor="text1"/>
                      <w:sz w:val="21"/>
                      <w:szCs w:val="21"/>
                    </w:rPr>
                    <w:t>热风炉</w:t>
                  </w:r>
                </w:p>
              </w:tc>
              <w:tc>
                <w:tcPr>
                  <w:tcW w:w="618" w:type="pct"/>
                  <w:tcBorders>
                    <w:tl2br w:val="nil"/>
                    <w:tr2bl w:val="nil"/>
                  </w:tcBorders>
                  <w:shd w:val="clear" w:color="auto" w:fill="auto"/>
                  <w:vAlign w:val="center"/>
                </w:tcPr>
                <w:p w14:paraId="0A96A83A">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2184E904">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热负荷70万</w:t>
                  </w:r>
                  <w:r>
                    <w:rPr>
                      <w:color w:val="000000" w:themeColor="text1"/>
                      <w:sz w:val="21"/>
                      <w:szCs w:val="21"/>
                    </w:rPr>
                    <w:t>kcal/</w:t>
                  </w:r>
                  <w:r>
                    <w:rPr>
                      <w:rFonts w:hint="eastAsia"/>
                      <w:color w:val="000000" w:themeColor="text1"/>
                      <w:sz w:val="21"/>
                      <w:szCs w:val="21"/>
                    </w:rPr>
                    <w:t>h，额定功率815kW</w:t>
                  </w:r>
                </w:p>
              </w:tc>
              <w:tc>
                <w:tcPr>
                  <w:tcW w:w="544" w:type="pct"/>
                  <w:tcBorders>
                    <w:tl2br w:val="nil"/>
                    <w:tr2bl w:val="nil"/>
                  </w:tcBorders>
                  <w:shd w:val="clear" w:color="auto" w:fill="auto"/>
                  <w:vAlign w:val="center"/>
                </w:tcPr>
                <w:p w14:paraId="60D11772">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7DD2FF58">
                  <w:pPr>
                    <w:pStyle w:val="66"/>
                    <w:spacing w:line="240" w:lineRule="auto"/>
                    <w:ind w:left="0" w:right="0" w:firstLine="0" w:firstLineChars="0"/>
                    <w:rPr>
                      <w:color w:val="000000" w:themeColor="text1"/>
                      <w:sz w:val="21"/>
                    </w:rPr>
                  </w:pPr>
                  <w:r>
                    <w:rPr>
                      <w:rFonts w:hint="eastAsia"/>
                      <w:color w:val="000000" w:themeColor="text1"/>
                      <w:sz w:val="21"/>
                    </w:rPr>
                    <w:t>为烘干机提供热源，配套设置配风机及冷风混合阀控制热风温度，防止热风温度过高导致烘干物料受损</w:t>
                  </w:r>
                </w:p>
              </w:tc>
            </w:tr>
            <w:tr w14:paraId="5802F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6B5938EA">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10CBD326">
                  <w:pPr>
                    <w:spacing w:line="240" w:lineRule="auto"/>
                    <w:ind w:firstLine="0" w:firstLineChars="0"/>
                    <w:jc w:val="center"/>
                    <w:rPr>
                      <w:color w:val="000000" w:themeColor="text1"/>
                      <w:sz w:val="21"/>
                      <w:szCs w:val="21"/>
                    </w:rPr>
                  </w:pPr>
                  <w:r>
                    <w:rPr>
                      <w:rFonts w:hint="eastAsia"/>
                      <w:color w:val="000000" w:themeColor="text1"/>
                      <w:sz w:val="21"/>
                      <w:szCs w:val="21"/>
                    </w:rPr>
                    <w:t>冷却塔</w:t>
                  </w:r>
                </w:p>
              </w:tc>
              <w:tc>
                <w:tcPr>
                  <w:tcW w:w="618" w:type="pct"/>
                  <w:tcBorders>
                    <w:tl2br w:val="nil"/>
                    <w:tr2bl w:val="nil"/>
                  </w:tcBorders>
                  <w:shd w:val="clear" w:color="auto" w:fill="auto"/>
                  <w:vAlign w:val="center"/>
                </w:tcPr>
                <w:p w14:paraId="5749B95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2D6486B8">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Φ1500*0.75KW</w:t>
                  </w:r>
                </w:p>
              </w:tc>
              <w:tc>
                <w:tcPr>
                  <w:tcW w:w="544" w:type="pct"/>
                  <w:tcBorders>
                    <w:tl2br w:val="nil"/>
                    <w:tr2bl w:val="nil"/>
                  </w:tcBorders>
                  <w:shd w:val="clear" w:color="auto" w:fill="auto"/>
                  <w:vAlign w:val="center"/>
                </w:tcPr>
                <w:p w14:paraId="4BABAD8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restart"/>
                  <w:tcBorders>
                    <w:tl2br w:val="nil"/>
                    <w:tr2bl w:val="nil"/>
                  </w:tcBorders>
                  <w:vAlign w:val="center"/>
                </w:tcPr>
                <w:p w14:paraId="59B94CFD">
                  <w:pPr>
                    <w:pStyle w:val="66"/>
                    <w:spacing w:line="240" w:lineRule="auto"/>
                    <w:ind w:left="0" w:right="0" w:firstLine="0" w:firstLineChars="0"/>
                    <w:rPr>
                      <w:color w:val="000000" w:themeColor="text1"/>
                      <w:sz w:val="21"/>
                    </w:rPr>
                  </w:pPr>
                  <w:r>
                    <w:rPr>
                      <w:rFonts w:hint="eastAsia"/>
                      <w:color w:val="000000" w:themeColor="text1"/>
                      <w:sz w:val="21"/>
                    </w:rPr>
                    <w:t>提供冷却水冷却热风炉炉膛、燃烧器等高温部件，确保热风炉长期稳定运行，避免高温损坏</w:t>
                  </w:r>
                </w:p>
              </w:tc>
            </w:tr>
            <w:tr w14:paraId="4FC4D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791B9C60">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1DE0BD69">
                  <w:pPr>
                    <w:spacing w:line="240" w:lineRule="auto"/>
                    <w:ind w:firstLine="0" w:firstLineChars="0"/>
                    <w:jc w:val="center"/>
                    <w:rPr>
                      <w:color w:val="000000" w:themeColor="text1"/>
                      <w:sz w:val="21"/>
                      <w:szCs w:val="21"/>
                    </w:rPr>
                  </w:pPr>
                  <w:r>
                    <w:rPr>
                      <w:rFonts w:hint="eastAsia"/>
                      <w:color w:val="000000" w:themeColor="text1"/>
                      <w:sz w:val="21"/>
                      <w:szCs w:val="21"/>
                    </w:rPr>
                    <w:t>冷却水箱</w:t>
                  </w:r>
                </w:p>
              </w:tc>
              <w:tc>
                <w:tcPr>
                  <w:tcW w:w="618" w:type="pct"/>
                  <w:tcBorders>
                    <w:tl2br w:val="nil"/>
                    <w:tr2bl w:val="nil"/>
                  </w:tcBorders>
                  <w:shd w:val="clear" w:color="auto" w:fill="auto"/>
                  <w:vAlign w:val="center"/>
                </w:tcPr>
                <w:p w14:paraId="3F7F9C64">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16D98A7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Φ2000*2m、碳钢材质</w:t>
                  </w:r>
                </w:p>
              </w:tc>
              <w:tc>
                <w:tcPr>
                  <w:tcW w:w="544" w:type="pct"/>
                  <w:tcBorders>
                    <w:tl2br w:val="nil"/>
                    <w:tr2bl w:val="nil"/>
                  </w:tcBorders>
                  <w:shd w:val="clear" w:color="auto" w:fill="auto"/>
                  <w:vAlign w:val="center"/>
                </w:tcPr>
                <w:p w14:paraId="568F423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vMerge w:val="continue"/>
                  <w:tcBorders>
                    <w:tl2br w:val="nil"/>
                    <w:tr2bl w:val="nil"/>
                  </w:tcBorders>
                  <w:vAlign w:val="center"/>
                </w:tcPr>
                <w:p w14:paraId="77FC2D97">
                  <w:pPr>
                    <w:pStyle w:val="66"/>
                    <w:spacing w:line="240" w:lineRule="auto"/>
                    <w:ind w:left="0" w:right="0" w:firstLine="0" w:firstLineChars="0"/>
                    <w:rPr>
                      <w:color w:val="000000" w:themeColor="text1"/>
                      <w:sz w:val="21"/>
                    </w:rPr>
                  </w:pPr>
                </w:p>
              </w:tc>
            </w:tr>
            <w:tr w14:paraId="72935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1FE09280">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砂石分离</w:t>
                  </w:r>
                </w:p>
              </w:tc>
              <w:tc>
                <w:tcPr>
                  <w:tcW w:w="794" w:type="pct"/>
                  <w:tcBorders>
                    <w:tl2br w:val="nil"/>
                    <w:tr2bl w:val="nil"/>
                  </w:tcBorders>
                  <w:shd w:val="clear" w:color="auto" w:fill="auto"/>
                  <w:vAlign w:val="center"/>
                </w:tcPr>
                <w:p w14:paraId="7FCB041B">
                  <w:pPr>
                    <w:spacing w:line="240" w:lineRule="auto"/>
                    <w:ind w:firstLine="0" w:firstLineChars="0"/>
                    <w:jc w:val="center"/>
                    <w:rPr>
                      <w:color w:val="000000" w:themeColor="text1"/>
                      <w:sz w:val="21"/>
                      <w:szCs w:val="21"/>
                    </w:rPr>
                  </w:pPr>
                  <w:r>
                    <w:rPr>
                      <w:rFonts w:hint="eastAsia"/>
                      <w:color w:val="000000" w:themeColor="text1"/>
                      <w:sz w:val="21"/>
                      <w:szCs w:val="21"/>
                    </w:rPr>
                    <w:t>砂石分离器</w:t>
                  </w:r>
                </w:p>
              </w:tc>
              <w:tc>
                <w:tcPr>
                  <w:tcW w:w="618" w:type="pct"/>
                  <w:tcBorders>
                    <w:tl2br w:val="nil"/>
                    <w:tr2bl w:val="nil"/>
                  </w:tcBorders>
                  <w:shd w:val="clear" w:color="auto" w:fill="auto"/>
                  <w:vAlign w:val="center"/>
                </w:tcPr>
                <w:p w14:paraId="6AD5444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A2CC1E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Φ1200mm*2m</w:t>
                  </w:r>
                </w:p>
              </w:tc>
              <w:tc>
                <w:tcPr>
                  <w:tcW w:w="544" w:type="pct"/>
                  <w:tcBorders>
                    <w:tl2br w:val="nil"/>
                    <w:tr2bl w:val="nil"/>
                  </w:tcBorders>
                  <w:shd w:val="clear" w:color="auto" w:fill="auto"/>
                  <w:vAlign w:val="center"/>
                </w:tcPr>
                <w:p w14:paraId="7CAC82CD">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035478A9">
                  <w:pPr>
                    <w:pStyle w:val="66"/>
                    <w:spacing w:line="240" w:lineRule="auto"/>
                    <w:ind w:left="0" w:right="0" w:firstLine="0" w:firstLineChars="0"/>
                    <w:rPr>
                      <w:color w:val="000000" w:themeColor="text1"/>
                      <w:sz w:val="21"/>
                    </w:rPr>
                  </w:pPr>
                  <w:r>
                    <w:rPr>
                      <w:rFonts w:hint="eastAsia"/>
                      <w:color w:val="000000" w:themeColor="text1"/>
                      <w:sz w:val="21"/>
                    </w:rPr>
                    <w:t>去除原料中的硬质杂质</w:t>
                  </w:r>
                </w:p>
              </w:tc>
            </w:tr>
            <w:tr w14:paraId="39C25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28AFCA02">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输送、转运</w:t>
                  </w:r>
                </w:p>
              </w:tc>
              <w:tc>
                <w:tcPr>
                  <w:tcW w:w="794" w:type="pct"/>
                  <w:tcBorders>
                    <w:tl2br w:val="nil"/>
                    <w:tr2bl w:val="nil"/>
                  </w:tcBorders>
                  <w:shd w:val="clear" w:color="auto" w:fill="auto"/>
                  <w:vAlign w:val="center"/>
                </w:tcPr>
                <w:p w14:paraId="16F70F92">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735BE7A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AFC1E5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YPSJ80B</w:t>
                  </w:r>
                </w:p>
              </w:tc>
              <w:tc>
                <w:tcPr>
                  <w:tcW w:w="544" w:type="pct"/>
                  <w:tcBorders>
                    <w:tl2br w:val="nil"/>
                    <w:tr2bl w:val="nil"/>
                  </w:tcBorders>
                  <w:shd w:val="clear" w:color="auto" w:fill="auto"/>
                  <w:vAlign w:val="center"/>
                </w:tcPr>
                <w:p w14:paraId="3ACEF58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18DF6BC0">
                  <w:pPr>
                    <w:pStyle w:val="66"/>
                    <w:spacing w:line="240" w:lineRule="auto"/>
                    <w:ind w:left="0" w:right="0" w:firstLine="0" w:firstLineChars="0"/>
                    <w:rPr>
                      <w:color w:val="000000" w:themeColor="text1"/>
                      <w:sz w:val="21"/>
                    </w:rPr>
                  </w:pPr>
                  <w:r>
                    <w:rPr>
                      <w:rFonts w:hint="eastAsia"/>
                      <w:color w:val="000000" w:themeColor="text1"/>
                      <w:sz w:val="21"/>
                    </w:rPr>
                    <w:t>将砂石分离后的物料输送至中转仓</w:t>
                  </w:r>
                </w:p>
              </w:tc>
            </w:tr>
            <w:tr w14:paraId="72B57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38F55316">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1424F3A5">
                  <w:pPr>
                    <w:spacing w:line="240" w:lineRule="auto"/>
                    <w:ind w:firstLine="0" w:firstLineChars="0"/>
                    <w:jc w:val="center"/>
                    <w:rPr>
                      <w:color w:val="000000" w:themeColor="text1"/>
                      <w:sz w:val="21"/>
                      <w:szCs w:val="21"/>
                    </w:rPr>
                  </w:pPr>
                  <w:r>
                    <w:rPr>
                      <w:rFonts w:hint="eastAsia"/>
                      <w:color w:val="000000" w:themeColor="text1"/>
                      <w:sz w:val="21"/>
                      <w:szCs w:val="21"/>
                    </w:rPr>
                    <w:t>中转仓</w:t>
                  </w:r>
                </w:p>
              </w:tc>
              <w:tc>
                <w:tcPr>
                  <w:tcW w:w="618" w:type="pct"/>
                  <w:tcBorders>
                    <w:tl2br w:val="nil"/>
                    <w:tr2bl w:val="nil"/>
                  </w:tcBorders>
                  <w:shd w:val="clear" w:color="auto" w:fill="auto"/>
                  <w:vAlign w:val="center"/>
                </w:tcPr>
                <w:p w14:paraId="130A2BFF">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9BB6E9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color w:val="000000" w:themeColor="text1"/>
                      <w:sz w:val="21"/>
                      <w:szCs w:val="21"/>
                    </w:rPr>
                    <w:t>12m×7m×</w:t>
                  </w:r>
                  <w:r>
                    <w:rPr>
                      <w:rFonts w:hint="eastAsia"/>
                      <w:color w:val="000000" w:themeColor="text1"/>
                      <w:sz w:val="21"/>
                      <w:szCs w:val="21"/>
                    </w:rPr>
                    <w:t>5m</w:t>
                  </w:r>
                </w:p>
              </w:tc>
              <w:tc>
                <w:tcPr>
                  <w:tcW w:w="544" w:type="pct"/>
                  <w:tcBorders>
                    <w:tl2br w:val="nil"/>
                    <w:tr2bl w:val="nil"/>
                  </w:tcBorders>
                  <w:shd w:val="clear" w:color="auto" w:fill="auto"/>
                  <w:vAlign w:val="center"/>
                </w:tcPr>
                <w:p w14:paraId="565AC68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0AEA8DF0">
                  <w:pPr>
                    <w:pStyle w:val="66"/>
                    <w:spacing w:line="240" w:lineRule="auto"/>
                    <w:ind w:left="0" w:right="0" w:firstLine="0" w:firstLineChars="0"/>
                    <w:rPr>
                      <w:color w:val="000000" w:themeColor="text1"/>
                      <w:sz w:val="21"/>
                    </w:rPr>
                  </w:pPr>
                  <w:r>
                    <w:rPr>
                      <w:rFonts w:hint="eastAsia"/>
                      <w:color w:val="000000" w:themeColor="text1"/>
                      <w:sz w:val="21"/>
                    </w:rPr>
                    <w:t>原料含水率15%的锯末和烘干后的锯末在中转仓内混合后进入制粒机</w:t>
                  </w:r>
                </w:p>
              </w:tc>
            </w:tr>
            <w:tr w14:paraId="15CDC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703301FB">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1A1E656C">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1151CD1B">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4FA7EB55">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YPSJ80B</w:t>
                  </w:r>
                </w:p>
              </w:tc>
              <w:tc>
                <w:tcPr>
                  <w:tcW w:w="544" w:type="pct"/>
                  <w:tcBorders>
                    <w:tl2br w:val="nil"/>
                    <w:tr2bl w:val="nil"/>
                  </w:tcBorders>
                  <w:shd w:val="clear" w:color="auto" w:fill="auto"/>
                  <w:vAlign w:val="center"/>
                </w:tcPr>
                <w:p w14:paraId="4940B00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1528" w:type="pct"/>
                  <w:tcBorders>
                    <w:tl2br w:val="nil"/>
                    <w:tr2bl w:val="nil"/>
                  </w:tcBorders>
                  <w:vAlign w:val="center"/>
                </w:tcPr>
                <w:p w14:paraId="34CF2B15">
                  <w:pPr>
                    <w:pStyle w:val="66"/>
                    <w:spacing w:line="240" w:lineRule="auto"/>
                    <w:ind w:left="0" w:right="0" w:firstLine="0" w:firstLineChars="0"/>
                    <w:rPr>
                      <w:color w:val="000000" w:themeColor="text1"/>
                      <w:sz w:val="21"/>
                    </w:rPr>
                  </w:pPr>
                  <w:r>
                    <w:rPr>
                      <w:rFonts w:hint="eastAsia"/>
                      <w:color w:val="000000" w:themeColor="text1"/>
                      <w:sz w:val="21"/>
                    </w:rPr>
                    <w:t>/</w:t>
                  </w:r>
                </w:p>
              </w:tc>
            </w:tr>
            <w:tr w14:paraId="39623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6162DBB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制粒</w:t>
                  </w:r>
                </w:p>
              </w:tc>
              <w:tc>
                <w:tcPr>
                  <w:tcW w:w="794" w:type="pct"/>
                  <w:tcBorders>
                    <w:tl2br w:val="nil"/>
                    <w:tr2bl w:val="nil"/>
                  </w:tcBorders>
                  <w:shd w:val="clear" w:color="auto" w:fill="auto"/>
                  <w:vAlign w:val="center"/>
                </w:tcPr>
                <w:p w14:paraId="5DF7804B">
                  <w:pPr>
                    <w:spacing w:line="240" w:lineRule="auto"/>
                    <w:ind w:firstLine="0" w:firstLineChars="0"/>
                    <w:jc w:val="center"/>
                    <w:rPr>
                      <w:color w:val="000000" w:themeColor="text1"/>
                      <w:sz w:val="21"/>
                      <w:szCs w:val="21"/>
                    </w:rPr>
                  </w:pPr>
                  <w:r>
                    <w:rPr>
                      <w:rFonts w:hint="eastAsia"/>
                      <w:color w:val="000000" w:themeColor="text1"/>
                      <w:sz w:val="21"/>
                      <w:szCs w:val="21"/>
                    </w:rPr>
                    <w:t>生物质颗粒机</w:t>
                  </w:r>
                </w:p>
              </w:tc>
              <w:tc>
                <w:tcPr>
                  <w:tcW w:w="618" w:type="pct"/>
                  <w:tcBorders>
                    <w:tl2br w:val="nil"/>
                    <w:tr2bl w:val="nil"/>
                  </w:tcBorders>
                  <w:shd w:val="clear" w:color="auto" w:fill="auto"/>
                  <w:vAlign w:val="center"/>
                </w:tcPr>
                <w:p w14:paraId="78E84C1C">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4</w:t>
                  </w:r>
                </w:p>
              </w:tc>
              <w:tc>
                <w:tcPr>
                  <w:tcW w:w="1033" w:type="pct"/>
                  <w:tcBorders>
                    <w:tl2br w:val="nil"/>
                    <w:tr2bl w:val="nil"/>
                  </w:tcBorders>
                  <w:shd w:val="clear" w:color="auto" w:fill="auto"/>
                  <w:vAlign w:val="center"/>
                </w:tcPr>
                <w:p w14:paraId="5899A117">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YMPJ560Pro</w:t>
                  </w:r>
                </w:p>
              </w:tc>
              <w:tc>
                <w:tcPr>
                  <w:tcW w:w="544" w:type="pct"/>
                  <w:tcBorders>
                    <w:tl2br w:val="nil"/>
                    <w:tr2bl w:val="nil"/>
                  </w:tcBorders>
                  <w:shd w:val="clear" w:color="auto" w:fill="auto"/>
                  <w:vAlign w:val="center"/>
                </w:tcPr>
                <w:p w14:paraId="23AAA748">
                  <w:pPr>
                    <w:pStyle w:val="66"/>
                    <w:spacing w:line="240" w:lineRule="auto"/>
                    <w:ind w:left="0" w:right="0" w:firstLine="0" w:firstLineChars="0"/>
                    <w:rPr>
                      <w:color w:val="000000" w:themeColor="text1"/>
                      <w:sz w:val="21"/>
                    </w:rPr>
                  </w:pPr>
                  <w:r>
                    <w:rPr>
                      <w:rFonts w:hint="eastAsia"/>
                      <w:color w:val="000000" w:themeColor="text1"/>
                      <w:sz w:val="21"/>
                    </w:rPr>
                    <w:t>单台生产能力1.6t/h</w:t>
                  </w:r>
                </w:p>
              </w:tc>
              <w:tc>
                <w:tcPr>
                  <w:tcW w:w="1528" w:type="pct"/>
                  <w:tcBorders>
                    <w:tl2br w:val="nil"/>
                    <w:tr2bl w:val="nil"/>
                  </w:tcBorders>
                  <w:vAlign w:val="center"/>
                </w:tcPr>
                <w:p w14:paraId="6AD27AD4">
                  <w:pPr>
                    <w:pStyle w:val="66"/>
                    <w:spacing w:line="240" w:lineRule="auto"/>
                    <w:ind w:left="0" w:right="0" w:firstLine="0" w:firstLineChars="0"/>
                    <w:rPr>
                      <w:color w:val="000000" w:themeColor="text1"/>
                      <w:sz w:val="21"/>
                    </w:rPr>
                  </w:pPr>
                  <w:r>
                    <w:rPr>
                      <w:rFonts w:hint="eastAsia"/>
                      <w:color w:val="000000" w:themeColor="text1"/>
                      <w:sz w:val="21"/>
                    </w:rPr>
                    <w:t>/</w:t>
                  </w:r>
                </w:p>
              </w:tc>
            </w:tr>
            <w:tr w14:paraId="423A1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23D076BE">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生物质颗粒机自带除尘设施</w:t>
                  </w:r>
                </w:p>
              </w:tc>
              <w:tc>
                <w:tcPr>
                  <w:tcW w:w="794" w:type="pct"/>
                  <w:tcBorders>
                    <w:tl2br w:val="nil"/>
                    <w:tr2bl w:val="nil"/>
                  </w:tcBorders>
                  <w:shd w:val="clear" w:color="auto" w:fill="auto"/>
                  <w:vAlign w:val="center"/>
                </w:tcPr>
                <w:p w14:paraId="13EA7BF4">
                  <w:pPr>
                    <w:spacing w:line="240" w:lineRule="auto"/>
                    <w:ind w:firstLine="0" w:firstLineChars="0"/>
                    <w:jc w:val="center"/>
                    <w:rPr>
                      <w:color w:val="000000" w:themeColor="text1"/>
                      <w:sz w:val="21"/>
                      <w:szCs w:val="21"/>
                    </w:rPr>
                  </w:pPr>
                  <w:r>
                    <w:rPr>
                      <w:rFonts w:hint="eastAsia"/>
                      <w:color w:val="000000" w:themeColor="text1"/>
                      <w:sz w:val="21"/>
                      <w:szCs w:val="21"/>
                    </w:rPr>
                    <w:t>制粒旋风除尘器</w:t>
                  </w:r>
                </w:p>
              </w:tc>
              <w:tc>
                <w:tcPr>
                  <w:tcW w:w="618" w:type="pct"/>
                  <w:tcBorders>
                    <w:tl2br w:val="nil"/>
                    <w:tr2bl w:val="nil"/>
                  </w:tcBorders>
                  <w:shd w:val="clear" w:color="auto" w:fill="auto"/>
                  <w:vAlign w:val="center"/>
                </w:tcPr>
                <w:p w14:paraId="615B1522">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4</w:t>
                  </w:r>
                </w:p>
              </w:tc>
              <w:tc>
                <w:tcPr>
                  <w:tcW w:w="1033" w:type="pct"/>
                  <w:tcBorders>
                    <w:tl2br w:val="nil"/>
                    <w:tr2bl w:val="nil"/>
                  </w:tcBorders>
                  <w:shd w:val="clear" w:color="auto" w:fill="auto"/>
                  <w:vAlign w:val="center"/>
                </w:tcPr>
                <w:p w14:paraId="7F6DCF8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单台风机风量2000m</w:t>
                  </w:r>
                  <w:r>
                    <w:rPr>
                      <w:rFonts w:hint="eastAsia"/>
                      <w:color w:val="000000" w:themeColor="text1"/>
                      <w:sz w:val="21"/>
                      <w:szCs w:val="21"/>
                      <w:vertAlign w:val="superscript"/>
                    </w:rPr>
                    <w:t>3</w:t>
                  </w:r>
                  <w:r>
                    <w:rPr>
                      <w:rFonts w:hint="eastAsia"/>
                      <w:color w:val="000000" w:themeColor="text1"/>
                      <w:sz w:val="21"/>
                      <w:szCs w:val="21"/>
                    </w:rPr>
                    <w:t>/h</w:t>
                  </w:r>
                </w:p>
              </w:tc>
              <w:tc>
                <w:tcPr>
                  <w:tcW w:w="544" w:type="pct"/>
                  <w:tcBorders>
                    <w:tl2br w:val="nil"/>
                    <w:tr2bl w:val="nil"/>
                  </w:tcBorders>
                  <w:shd w:val="clear" w:color="auto" w:fill="auto"/>
                  <w:vAlign w:val="center"/>
                </w:tcPr>
                <w:p w14:paraId="2B77C589">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6415E219">
                  <w:pPr>
                    <w:pStyle w:val="66"/>
                    <w:spacing w:line="240" w:lineRule="auto"/>
                    <w:ind w:left="0" w:right="0" w:firstLine="0" w:firstLineChars="0"/>
                    <w:rPr>
                      <w:color w:val="000000" w:themeColor="text1"/>
                      <w:sz w:val="21"/>
                    </w:rPr>
                  </w:pPr>
                  <w:r>
                    <w:rPr>
                      <w:rFonts w:hint="eastAsia"/>
                      <w:color w:val="000000" w:themeColor="text1"/>
                      <w:sz w:val="21"/>
                    </w:rPr>
                    <w:t>/</w:t>
                  </w:r>
                </w:p>
              </w:tc>
            </w:tr>
            <w:tr w14:paraId="2D0AB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700AA92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筛分</w:t>
                  </w:r>
                </w:p>
              </w:tc>
              <w:tc>
                <w:tcPr>
                  <w:tcW w:w="794" w:type="pct"/>
                  <w:tcBorders>
                    <w:tl2br w:val="nil"/>
                    <w:tr2bl w:val="nil"/>
                  </w:tcBorders>
                  <w:shd w:val="clear" w:color="auto" w:fill="auto"/>
                  <w:vAlign w:val="center"/>
                </w:tcPr>
                <w:p w14:paraId="0D509C06">
                  <w:pPr>
                    <w:spacing w:line="240" w:lineRule="auto"/>
                    <w:ind w:firstLine="0" w:firstLineChars="0"/>
                    <w:jc w:val="center"/>
                    <w:rPr>
                      <w:color w:val="000000" w:themeColor="text1"/>
                      <w:sz w:val="21"/>
                      <w:szCs w:val="21"/>
                    </w:rPr>
                  </w:pPr>
                  <w:r>
                    <w:rPr>
                      <w:rFonts w:hint="eastAsia"/>
                      <w:color w:val="000000" w:themeColor="text1"/>
                      <w:sz w:val="21"/>
                      <w:szCs w:val="21"/>
                    </w:rPr>
                    <w:t>振筛</w:t>
                  </w:r>
                </w:p>
              </w:tc>
              <w:tc>
                <w:tcPr>
                  <w:tcW w:w="618" w:type="pct"/>
                  <w:tcBorders>
                    <w:tl2br w:val="nil"/>
                    <w:tr2bl w:val="nil"/>
                  </w:tcBorders>
                  <w:shd w:val="clear" w:color="auto" w:fill="auto"/>
                  <w:vAlign w:val="center"/>
                </w:tcPr>
                <w:p w14:paraId="604A13B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6E1B2ED">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1.7m*0.8m*0.8m</w:t>
                  </w:r>
                </w:p>
              </w:tc>
              <w:tc>
                <w:tcPr>
                  <w:tcW w:w="544" w:type="pct"/>
                  <w:tcBorders>
                    <w:tl2br w:val="nil"/>
                    <w:tr2bl w:val="nil"/>
                  </w:tcBorders>
                  <w:shd w:val="clear" w:color="auto" w:fill="auto"/>
                  <w:vAlign w:val="center"/>
                </w:tcPr>
                <w:p w14:paraId="212667ED">
                  <w:pPr>
                    <w:pStyle w:val="66"/>
                    <w:spacing w:line="240" w:lineRule="auto"/>
                    <w:ind w:left="0" w:right="0" w:firstLine="0" w:firstLineChars="0"/>
                    <w:rPr>
                      <w:color w:val="000000" w:themeColor="text1"/>
                      <w:sz w:val="21"/>
                    </w:rPr>
                  </w:pPr>
                  <w:r>
                    <w:rPr>
                      <w:rFonts w:hint="eastAsia"/>
                      <w:color w:val="000000" w:themeColor="text1"/>
                      <w:sz w:val="21"/>
                    </w:rPr>
                    <w:t>9t/h</w:t>
                  </w:r>
                </w:p>
              </w:tc>
              <w:tc>
                <w:tcPr>
                  <w:tcW w:w="1528" w:type="pct"/>
                  <w:tcBorders>
                    <w:tl2br w:val="nil"/>
                    <w:tr2bl w:val="nil"/>
                  </w:tcBorders>
                  <w:vAlign w:val="center"/>
                </w:tcPr>
                <w:p w14:paraId="23422195">
                  <w:pPr>
                    <w:pStyle w:val="66"/>
                    <w:spacing w:line="240" w:lineRule="auto"/>
                    <w:ind w:left="0" w:right="0" w:firstLine="0" w:firstLineChars="0"/>
                    <w:rPr>
                      <w:color w:val="000000" w:themeColor="text1"/>
                      <w:sz w:val="21"/>
                    </w:rPr>
                  </w:pPr>
                  <w:r>
                    <w:rPr>
                      <w:rFonts w:hint="eastAsia"/>
                      <w:color w:val="000000" w:themeColor="text1"/>
                      <w:sz w:val="21"/>
                    </w:rPr>
                    <w:t>筛分出低于8mm粒径的物料返料至制粒工序</w:t>
                  </w:r>
                </w:p>
              </w:tc>
            </w:tr>
            <w:tr w14:paraId="68851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7DDE6EB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输送、转运</w:t>
                  </w:r>
                </w:p>
              </w:tc>
              <w:tc>
                <w:tcPr>
                  <w:tcW w:w="794" w:type="pct"/>
                  <w:tcBorders>
                    <w:tl2br w:val="nil"/>
                    <w:tr2bl w:val="nil"/>
                  </w:tcBorders>
                  <w:shd w:val="clear" w:color="auto" w:fill="auto"/>
                  <w:vAlign w:val="center"/>
                </w:tcPr>
                <w:p w14:paraId="551DAEA7">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3310B04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6B8062F">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YPSJ80B</w:t>
                  </w:r>
                </w:p>
              </w:tc>
              <w:tc>
                <w:tcPr>
                  <w:tcW w:w="544" w:type="pct"/>
                  <w:tcBorders>
                    <w:tl2br w:val="nil"/>
                    <w:tr2bl w:val="nil"/>
                  </w:tcBorders>
                  <w:shd w:val="clear" w:color="auto" w:fill="auto"/>
                  <w:vAlign w:val="center"/>
                </w:tcPr>
                <w:p w14:paraId="47BE6352">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7CD6AEFC">
                  <w:pPr>
                    <w:pStyle w:val="66"/>
                    <w:spacing w:line="240" w:lineRule="auto"/>
                    <w:ind w:left="0" w:right="0" w:firstLine="0" w:firstLineChars="0"/>
                    <w:rPr>
                      <w:color w:val="000000" w:themeColor="text1"/>
                      <w:sz w:val="21"/>
                    </w:rPr>
                  </w:pPr>
                  <w:r>
                    <w:rPr>
                      <w:rFonts w:hint="eastAsia"/>
                      <w:color w:val="000000" w:themeColor="text1"/>
                      <w:sz w:val="21"/>
                    </w:rPr>
                    <w:t>/</w:t>
                  </w:r>
                </w:p>
              </w:tc>
            </w:tr>
            <w:tr w14:paraId="64B4D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28372A08">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4613AA42">
                  <w:pPr>
                    <w:spacing w:line="240" w:lineRule="auto"/>
                    <w:ind w:firstLine="0" w:firstLineChars="0"/>
                    <w:jc w:val="center"/>
                    <w:rPr>
                      <w:color w:val="000000" w:themeColor="text1"/>
                      <w:sz w:val="21"/>
                      <w:szCs w:val="21"/>
                    </w:rPr>
                  </w:pPr>
                  <w:r>
                    <w:rPr>
                      <w:rFonts w:hint="eastAsia"/>
                      <w:color w:val="000000" w:themeColor="text1"/>
                      <w:sz w:val="21"/>
                      <w:szCs w:val="21"/>
                    </w:rPr>
                    <w:t>成品网状料仓</w:t>
                  </w:r>
                </w:p>
              </w:tc>
              <w:tc>
                <w:tcPr>
                  <w:tcW w:w="618" w:type="pct"/>
                  <w:tcBorders>
                    <w:tl2br w:val="nil"/>
                    <w:tr2bl w:val="nil"/>
                  </w:tcBorders>
                  <w:shd w:val="clear" w:color="auto" w:fill="auto"/>
                  <w:vAlign w:val="center"/>
                </w:tcPr>
                <w:p w14:paraId="32CE349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5E8342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4m*6m*4.75m</w:t>
                  </w:r>
                </w:p>
              </w:tc>
              <w:tc>
                <w:tcPr>
                  <w:tcW w:w="544" w:type="pct"/>
                  <w:tcBorders>
                    <w:tl2br w:val="nil"/>
                    <w:tr2bl w:val="nil"/>
                  </w:tcBorders>
                  <w:shd w:val="clear" w:color="auto" w:fill="auto"/>
                  <w:vAlign w:val="center"/>
                </w:tcPr>
                <w:p w14:paraId="04999C23">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2D6845E0">
                  <w:pPr>
                    <w:pStyle w:val="66"/>
                    <w:spacing w:line="240" w:lineRule="auto"/>
                    <w:ind w:left="0" w:right="0" w:firstLine="0" w:firstLineChars="0"/>
                    <w:rPr>
                      <w:color w:val="000000" w:themeColor="text1"/>
                      <w:sz w:val="21"/>
                    </w:rPr>
                  </w:pPr>
                  <w:r>
                    <w:rPr>
                      <w:rFonts w:hint="eastAsia"/>
                      <w:color w:val="000000" w:themeColor="text1"/>
                      <w:sz w:val="21"/>
                    </w:rPr>
                    <w:t>成品冷却及暂存仓，配套设置风扇冷却物料，料仓底部设计有两个独立出口，分别进行吨包袋装和25kg/袋小袋包装</w:t>
                  </w:r>
                </w:p>
              </w:tc>
            </w:tr>
            <w:tr w14:paraId="6E505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vAlign w:val="center"/>
                </w:tcPr>
                <w:p w14:paraId="7A3947A2">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p>
              </w:tc>
              <w:tc>
                <w:tcPr>
                  <w:tcW w:w="794" w:type="pct"/>
                  <w:tcBorders>
                    <w:tl2br w:val="nil"/>
                    <w:tr2bl w:val="nil"/>
                  </w:tcBorders>
                  <w:shd w:val="clear" w:color="auto" w:fill="auto"/>
                  <w:vAlign w:val="center"/>
                </w:tcPr>
                <w:p w14:paraId="45402845">
                  <w:pPr>
                    <w:spacing w:line="240" w:lineRule="auto"/>
                    <w:ind w:firstLine="0" w:firstLineChars="0"/>
                    <w:jc w:val="center"/>
                    <w:rPr>
                      <w:color w:val="000000" w:themeColor="text1"/>
                      <w:sz w:val="21"/>
                      <w:szCs w:val="21"/>
                    </w:rPr>
                  </w:pPr>
                  <w:r>
                    <w:rPr>
                      <w:rFonts w:hint="eastAsia"/>
                      <w:color w:val="000000" w:themeColor="text1"/>
                      <w:sz w:val="21"/>
                      <w:szCs w:val="21"/>
                    </w:rPr>
                    <w:t>皮带输送机</w:t>
                  </w:r>
                </w:p>
              </w:tc>
              <w:tc>
                <w:tcPr>
                  <w:tcW w:w="618" w:type="pct"/>
                  <w:tcBorders>
                    <w:tl2br w:val="nil"/>
                    <w:tr2bl w:val="nil"/>
                  </w:tcBorders>
                  <w:shd w:val="clear" w:color="auto" w:fill="auto"/>
                  <w:vAlign w:val="center"/>
                </w:tcPr>
                <w:p w14:paraId="323FA473">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6ED3878A">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3000*600</w:t>
                  </w:r>
                </w:p>
              </w:tc>
              <w:tc>
                <w:tcPr>
                  <w:tcW w:w="544" w:type="pct"/>
                  <w:tcBorders>
                    <w:tl2br w:val="nil"/>
                    <w:tr2bl w:val="nil"/>
                  </w:tcBorders>
                  <w:shd w:val="clear" w:color="auto" w:fill="auto"/>
                  <w:vAlign w:val="center"/>
                </w:tcPr>
                <w:p w14:paraId="57C0E68A">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76975FEB">
                  <w:pPr>
                    <w:pStyle w:val="66"/>
                    <w:spacing w:line="240" w:lineRule="auto"/>
                    <w:ind w:left="0" w:right="0" w:firstLine="0" w:firstLineChars="0"/>
                    <w:rPr>
                      <w:color w:val="000000" w:themeColor="text1"/>
                      <w:sz w:val="21"/>
                    </w:rPr>
                  </w:pPr>
                  <w:r>
                    <w:rPr>
                      <w:rFonts w:hint="eastAsia"/>
                      <w:color w:val="000000" w:themeColor="text1"/>
                      <w:sz w:val="21"/>
                    </w:rPr>
                    <w:t>成品网状料仓吨包袋装出料口经皮带输送机输送到吨包袋进行吨包包装，吨包袋装能力为15t/h</w:t>
                  </w:r>
                </w:p>
              </w:tc>
            </w:tr>
            <w:tr w14:paraId="49085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687F5B67">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包装</w:t>
                  </w:r>
                </w:p>
              </w:tc>
              <w:tc>
                <w:tcPr>
                  <w:tcW w:w="794" w:type="pct"/>
                  <w:tcBorders>
                    <w:tl2br w:val="nil"/>
                    <w:tr2bl w:val="nil"/>
                  </w:tcBorders>
                  <w:shd w:val="clear" w:color="auto" w:fill="auto"/>
                  <w:vAlign w:val="center"/>
                </w:tcPr>
                <w:p w14:paraId="411AB200">
                  <w:pPr>
                    <w:spacing w:line="240" w:lineRule="auto"/>
                    <w:ind w:firstLine="0" w:firstLineChars="0"/>
                    <w:jc w:val="center"/>
                    <w:rPr>
                      <w:color w:val="000000" w:themeColor="text1"/>
                      <w:sz w:val="21"/>
                      <w:szCs w:val="21"/>
                    </w:rPr>
                  </w:pPr>
                  <w:r>
                    <w:rPr>
                      <w:rFonts w:hint="eastAsia"/>
                      <w:color w:val="000000" w:themeColor="text1"/>
                      <w:sz w:val="21"/>
                      <w:szCs w:val="21"/>
                    </w:rPr>
                    <w:t>打包机</w:t>
                  </w:r>
                </w:p>
              </w:tc>
              <w:tc>
                <w:tcPr>
                  <w:tcW w:w="618" w:type="pct"/>
                  <w:tcBorders>
                    <w:tl2br w:val="nil"/>
                    <w:tr2bl w:val="nil"/>
                  </w:tcBorders>
                  <w:shd w:val="clear" w:color="auto" w:fill="auto"/>
                  <w:vAlign w:val="center"/>
                </w:tcPr>
                <w:p w14:paraId="4CC634B6">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21ED88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RF801-C</w:t>
                  </w:r>
                </w:p>
              </w:tc>
              <w:tc>
                <w:tcPr>
                  <w:tcW w:w="544" w:type="pct"/>
                  <w:tcBorders>
                    <w:tl2br w:val="nil"/>
                    <w:tr2bl w:val="nil"/>
                  </w:tcBorders>
                  <w:shd w:val="clear" w:color="auto" w:fill="auto"/>
                  <w:vAlign w:val="center"/>
                </w:tcPr>
                <w:p w14:paraId="1CC5940D">
                  <w:pPr>
                    <w:pStyle w:val="66"/>
                    <w:spacing w:line="240" w:lineRule="auto"/>
                    <w:ind w:left="0" w:right="0" w:firstLine="0" w:firstLineChars="0"/>
                    <w:rPr>
                      <w:color w:val="000000" w:themeColor="text1"/>
                      <w:sz w:val="21"/>
                    </w:rPr>
                  </w:pPr>
                  <w:r>
                    <w:rPr>
                      <w:rFonts w:hint="eastAsia"/>
                      <w:color w:val="000000" w:themeColor="text1"/>
                      <w:sz w:val="21"/>
                    </w:rPr>
                    <w:t>5t/h</w:t>
                  </w:r>
                </w:p>
              </w:tc>
              <w:tc>
                <w:tcPr>
                  <w:tcW w:w="1528" w:type="pct"/>
                  <w:tcBorders>
                    <w:tl2br w:val="nil"/>
                    <w:tr2bl w:val="nil"/>
                  </w:tcBorders>
                  <w:vAlign w:val="center"/>
                </w:tcPr>
                <w:p w14:paraId="18697668">
                  <w:pPr>
                    <w:pStyle w:val="66"/>
                    <w:spacing w:line="240" w:lineRule="auto"/>
                    <w:ind w:left="0" w:right="0" w:firstLine="0" w:firstLineChars="0"/>
                    <w:rPr>
                      <w:color w:val="000000" w:themeColor="text1"/>
                      <w:sz w:val="21"/>
                    </w:rPr>
                  </w:pPr>
                  <w:r>
                    <w:rPr>
                      <w:rFonts w:hint="eastAsia"/>
                      <w:color w:val="000000" w:themeColor="text1"/>
                      <w:sz w:val="21"/>
                    </w:rPr>
                    <w:t>成品网状料仓小袋包装出料口连接打包机进行25kg/袋小袋包装，自带自动封口装置</w:t>
                  </w:r>
                </w:p>
              </w:tc>
            </w:tr>
            <w:tr w14:paraId="022C5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tcBorders>
                    <w:tl2br w:val="nil"/>
                    <w:tr2bl w:val="nil"/>
                  </w:tcBorders>
                  <w:vAlign w:val="center"/>
                </w:tcPr>
                <w:p w14:paraId="224CB6DF">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w:t>
                  </w:r>
                </w:p>
              </w:tc>
              <w:tc>
                <w:tcPr>
                  <w:tcW w:w="794" w:type="pct"/>
                  <w:tcBorders>
                    <w:tl2br w:val="nil"/>
                    <w:tr2bl w:val="nil"/>
                  </w:tcBorders>
                  <w:shd w:val="clear" w:color="auto" w:fill="auto"/>
                  <w:vAlign w:val="center"/>
                </w:tcPr>
                <w:p w14:paraId="5AE41175">
                  <w:pPr>
                    <w:spacing w:line="240" w:lineRule="auto"/>
                    <w:ind w:firstLine="0" w:firstLineChars="0"/>
                    <w:jc w:val="center"/>
                    <w:rPr>
                      <w:color w:val="000000" w:themeColor="text1"/>
                      <w:sz w:val="21"/>
                      <w:szCs w:val="21"/>
                    </w:rPr>
                  </w:pPr>
                  <w:r>
                    <w:rPr>
                      <w:rFonts w:hint="eastAsia"/>
                      <w:color w:val="000000" w:themeColor="text1"/>
                      <w:sz w:val="21"/>
                      <w:szCs w:val="21"/>
                    </w:rPr>
                    <w:t>空压机</w:t>
                  </w:r>
                </w:p>
              </w:tc>
              <w:tc>
                <w:tcPr>
                  <w:tcW w:w="618" w:type="pct"/>
                  <w:tcBorders>
                    <w:tl2br w:val="nil"/>
                    <w:tr2bl w:val="nil"/>
                  </w:tcBorders>
                  <w:shd w:val="clear" w:color="auto" w:fill="auto"/>
                  <w:vAlign w:val="center"/>
                </w:tcPr>
                <w:p w14:paraId="2B7C74D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03F8450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w:t>
                  </w:r>
                </w:p>
              </w:tc>
              <w:tc>
                <w:tcPr>
                  <w:tcW w:w="544" w:type="pct"/>
                  <w:tcBorders>
                    <w:tl2br w:val="nil"/>
                    <w:tr2bl w:val="nil"/>
                  </w:tcBorders>
                  <w:shd w:val="clear" w:color="auto" w:fill="auto"/>
                  <w:vAlign w:val="center"/>
                </w:tcPr>
                <w:p w14:paraId="353CFFE0">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vAlign w:val="center"/>
                </w:tcPr>
                <w:p w14:paraId="6E990D83">
                  <w:pPr>
                    <w:pStyle w:val="66"/>
                    <w:spacing w:line="240" w:lineRule="auto"/>
                    <w:ind w:left="0" w:right="0" w:firstLine="0" w:firstLineChars="0"/>
                    <w:rPr>
                      <w:color w:val="000000" w:themeColor="text1"/>
                      <w:sz w:val="21"/>
                    </w:rPr>
                  </w:pPr>
                  <w:r>
                    <w:rPr>
                      <w:rFonts w:hint="eastAsia"/>
                      <w:color w:val="000000" w:themeColor="text1"/>
                      <w:sz w:val="21"/>
                    </w:rPr>
                    <w:t>布袋除尘器配套设备</w:t>
                  </w:r>
                </w:p>
              </w:tc>
            </w:tr>
            <w:tr w14:paraId="4D990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restart"/>
                  <w:tcBorders>
                    <w:tl2br w:val="nil"/>
                    <w:tr2bl w:val="nil"/>
                  </w:tcBorders>
                  <w:vAlign w:val="center"/>
                </w:tcPr>
                <w:p w14:paraId="05ECD81B">
                  <w:pPr>
                    <w:widowControl/>
                    <w:kinsoku w:val="0"/>
                    <w:autoSpaceDE w:val="0"/>
                    <w:autoSpaceDN w:val="0"/>
                    <w:adjustRightInd w:val="0"/>
                    <w:snapToGrid w:val="0"/>
                    <w:spacing w:line="240" w:lineRule="auto"/>
                    <w:ind w:firstLine="0" w:firstLineChars="0"/>
                    <w:jc w:val="center"/>
                    <w:textAlignment w:val="baseline"/>
                    <w:rPr>
                      <w:color w:val="000000" w:themeColor="text1"/>
                      <w:kern w:val="0"/>
                      <w:sz w:val="21"/>
                      <w:szCs w:val="21"/>
                    </w:rPr>
                  </w:pPr>
                  <w:r>
                    <w:rPr>
                      <w:rFonts w:hint="eastAsia"/>
                      <w:color w:val="000000" w:themeColor="text1"/>
                      <w:sz w:val="21"/>
                      <w:szCs w:val="21"/>
                    </w:rPr>
                    <w:t>环保设施</w:t>
                  </w:r>
                </w:p>
              </w:tc>
              <w:tc>
                <w:tcPr>
                  <w:tcW w:w="794" w:type="pct"/>
                  <w:tcBorders>
                    <w:tl2br w:val="nil"/>
                    <w:tr2bl w:val="nil"/>
                  </w:tcBorders>
                  <w:shd w:val="clear" w:color="auto" w:fill="auto"/>
                  <w:vAlign w:val="center"/>
                </w:tcPr>
                <w:p w14:paraId="3280D2E6">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沙克龙除尘器+布袋除尘器</w:t>
                  </w:r>
                </w:p>
              </w:tc>
              <w:tc>
                <w:tcPr>
                  <w:tcW w:w="618" w:type="pct"/>
                  <w:tcBorders>
                    <w:tl2br w:val="nil"/>
                    <w:tr2bl w:val="nil"/>
                  </w:tcBorders>
                  <w:shd w:val="clear" w:color="auto" w:fill="auto"/>
                  <w:vAlign w:val="center"/>
                </w:tcPr>
                <w:p w14:paraId="6BAC267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72CACFD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风机风量20000m</w:t>
                  </w:r>
                  <w:r>
                    <w:rPr>
                      <w:rFonts w:hint="eastAsia"/>
                      <w:color w:val="000000" w:themeColor="text1"/>
                      <w:sz w:val="21"/>
                      <w:szCs w:val="21"/>
                      <w:vertAlign w:val="superscript"/>
                    </w:rPr>
                    <w:t>3</w:t>
                  </w:r>
                  <w:r>
                    <w:rPr>
                      <w:rFonts w:hint="eastAsia"/>
                      <w:color w:val="000000" w:themeColor="text1"/>
                      <w:sz w:val="21"/>
                      <w:szCs w:val="21"/>
                    </w:rPr>
                    <w:t>/h</w:t>
                  </w:r>
                </w:p>
              </w:tc>
              <w:tc>
                <w:tcPr>
                  <w:tcW w:w="544" w:type="pct"/>
                  <w:tcBorders>
                    <w:tl2br w:val="nil"/>
                    <w:tr2bl w:val="nil"/>
                  </w:tcBorders>
                  <w:shd w:val="clear" w:color="auto" w:fill="auto"/>
                  <w:vAlign w:val="center"/>
                </w:tcPr>
                <w:p w14:paraId="3B85B058">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shd w:val="clear" w:color="auto" w:fill="auto"/>
                  <w:vAlign w:val="center"/>
                </w:tcPr>
                <w:p w14:paraId="3F5B281D">
                  <w:pPr>
                    <w:pStyle w:val="66"/>
                    <w:spacing w:line="240" w:lineRule="auto"/>
                    <w:ind w:left="0" w:right="0" w:firstLine="0" w:firstLineChars="0"/>
                    <w:rPr>
                      <w:color w:val="000000" w:themeColor="text1"/>
                      <w:sz w:val="21"/>
                    </w:rPr>
                  </w:pPr>
                  <w:r>
                    <w:rPr>
                      <w:rFonts w:hint="eastAsia"/>
                      <w:color w:val="000000" w:themeColor="text1"/>
                      <w:sz w:val="21"/>
                    </w:rPr>
                    <w:t>处理烘干废气（</w:t>
                  </w:r>
                  <w:r>
                    <w:rPr>
                      <w:color w:val="000000" w:themeColor="text1"/>
                      <w:sz w:val="21"/>
                    </w:rPr>
                    <w:t>包括热风炉燃料燃烧废气</w:t>
                  </w:r>
                  <w:r>
                    <w:rPr>
                      <w:rFonts w:hint="eastAsia"/>
                      <w:color w:val="000000" w:themeColor="text1"/>
                      <w:sz w:val="21"/>
                    </w:rPr>
                    <w:t>和</w:t>
                  </w:r>
                  <w:r>
                    <w:rPr>
                      <w:color w:val="000000" w:themeColor="text1"/>
                      <w:sz w:val="21"/>
                    </w:rPr>
                    <w:t>物料烘干工艺废气</w:t>
                  </w:r>
                  <w:r>
                    <w:rPr>
                      <w:rFonts w:hint="eastAsia"/>
                      <w:color w:val="000000" w:themeColor="text1"/>
                      <w:sz w:val="21"/>
                    </w:rPr>
                    <w:t>）</w:t>
                  </w:r>
                </w:p>
              </w:tc>
            </w:tr>
            <w:tr w14:paraId="2C245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Merge w:val="continue"/>
                  <w:tcBorders>
                    <w:tl2br w:val="nil"/>
                    <w:tr2bl w:val="nil"/>
                  </w:tcBorders>
                  <w:shd w:val="clear" w:color="auto" w:fill="auto"/>
                  <w:vAlign w:val="center"/>
                </w:tcPr>
                <w:p w14:paraId="44575420">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p>
              </w:tc>
              <w:tc>
                <w:tcPr>
                  <w:tcW w:w="794" w:type="pct"/>
                  <w:tcBorders>
                    <w:tl2br w:val="nil"/>
                    <w:tr2bl w:val="nil"/>
                  </w:tcBorders>
                  <w:shd w:val="clear" w:color="auto" w:fill="auto"/>
                  <w:vAlign w:val="center"/>
                </w:tcPr>
                <w:p w14:paraId="5852727F">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布袋除尘器</w:t>
                  </w:r>
                </w:p>
              </w:tc>
              <w:tc>
                <w:tcPr>
                  <w:tcW w:w="618" w:type="pct"/>
                  <w:tcBorders>
                    <w:tl2br w:val="nil"/>
                    <w:tr2bl w:val="nil"/>
                  </w:tcBorders>
                  <w:shd w:val="clear" w:color="auto" w:fill="auto"/>
                  <w:vAlign w:val="center"/>
                </w:tcPr>
                <w:p w14:paraId="695FE741">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hint="eastAsia"/>
                      <w:color w:val="000000" w:themeColor="text1"/>
                      <w:sz w:val="21"/>
                      <w:szCs w:val="21"/>
                    </w:rPr>
                    <w:t>1</w:t>
                  </w:r>
                </w:p>
              </w:tc>
              <w:tc>
                <w:tcPr>
                  <w:tcW w:w="1033" w:type="pct"/>
                  <w:tcBorders>
                    <w:tl2br w:val="nil"/>
                    <w:tr2bl w:val="nil"/>
                  </w:tcBorders>
                  <w:shd w:val="clear" w:color="auto" w:fill="auto"/>
                  <w:vAlign w:val="center"/>
                </w:tcPr>
                <w:p w14:paraId="3854CBDF">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风机风量35000m</w:t>
                  </w:r>
                  <w:r>
                    <w:rPr>
                      <w:rFonts w:hint="eastAsia" w:ascii="Times New Roman" w:hAnsi="Times New Roman" w:cs="Times New Roman"/>
                      <w:color w:val="000000" w:themeColor="text1"/>
                      <w:sz w:val="21"/>
                      <w:szCs w:val="21"/>
                      <w:vertAlign w:val="superscript"/>
                      <w:lang w:eastAsia="zh-CN"/>
                    </w:rPr>
                    <w:t>3</w:t>
                  </w:r>
                  <w:r>
                    <w:rPr>
                      <w:rFonts w:hint="eastAsia" w:ascii="Times New Roman" w:hAnsi="Times New Roman" w:cs="Times New Roman"/>
                      <w:color w:val="000000" w:themeColor="text1"/>
                      <w:sz w:val="21"/>
                      <w:szCs w:val="21"/>
                      <w:lang w:eastAsia="zh-CN"/>
                    </w:rPr>
                    <w:t>/h</w:t>
                  </w:r>
                </w:p>
              </w:tc>
              <w:tc>
                <w:tcPr>
                  <w:tcW w:w="544" w:type="pct"/>
                  <w:tcBorders>
                    <w:tl2br w:val="nil"/>
                    <w:tr2bl w:val="nil"/>
                  </w:tcBorders>
                  <w:shd w:val="clear" w:color="auto" w:fill="auto"/>
                  <w:vAlign w:val="center"/>
                </w:tcPr>
                <w:p w14:paraId="65F68998">
                  <w:pPr>
                    <w:pStyle w:val="66"/>
                    <w:spacing w:line="240" w:lineRule="auto"/>
                    <w:ind w:left="0" w:right="0" w:firstLine="0" w:firstLineChars="0"/>
                    <w:rPr>
                      <w:color w:val="000000" w:themeColor="text1"/>
                      <w:sz w:val="21"/>
                    </w:rPr>
                  </w:pPr>
                  <w:r>
                    <w:rPr>
                      <w:rFonts w:hint="eastAsia"/>
                      <w:color w:val="000000" w:themeColor="text1"/>
                      <w:sz w:val="21"/>
                    </w:rPr>
                    <w:t>/</w:t>
                  </w:r>
                </w:p>
              </w:tc>
              <w:tc>
                <w:tcPr>
                  <w:tcW w:w="1528" w:type="pct"/>
                  <w:tcBorders>
                    <w:tl2br w:val="nil"/>
                    <w:tr2bl w:val="nil"/>
                  </w:tcBorders>
                  <w:shd w:val="clear" w:color="auto" w:fill="auto"/>
                  <w:vAlign w:val="center"/>
                </w:tcPr>
                <w:p w14:paraId="1AE8650F">
                  <w:pPr>
                    <w:pStyle w:val="66"/>
                    <w:spacing w:line="240" w:lineRule="auto"/>
                    <w:ind w:left="0" w:right="0" w:firstLine="0" w:firstLineChars="0"/>
                    <w:rPr>
                      <w:color w:val="000000" w:themeColor="text1"/>
                      <w:sz w:val="21"/>
                    </w:rPr>
                  </w:pPr>
                  <w:r>
                    <w:rPr>
                      <w:rFonts w:hint="eastAsia"/>
                      <w:color w:val="000000" w:themeColor="text1"/>
                      <w:sz w:val="21"/>
                    </w:rPr>
                    <w:t>处理中转仓落料及入料、制粒、筛分及筛下料落料、成品网状料仓入料及冷却、成品皮带输送机落料、打包机包装废气</w:t>
                  </w:r>
                </w:p>
              </w:tc>
            </w:tr>
          </w:tbl>
          <w:p w14:paraId="1E31D664">
            <w:pPr>
              <w:ind w:firstLine="480"/>
              <w:rPr>
                <w:color w:val="000000" w:themeColor="text1"/>
              </w:rPr>
            </w:pPr>
            <w:r>
              <w:rPr>
                <w:rFonts w:hint="eastAsia"/>
                <w:color w:val="000000" w:themeColor="text1"/>
              </w:rPr>
              <w:t>主要生产设备与产能的匹配性分析见下表。</w:t>
            </w:r>
          </w:p>
          <w:p w14:paraId="33A24719">
            <w:pPr>
              <w:ind w:firstLine="0" w:firstLineChars="0"/>
              <w:jc w:val="center"/>
              <w:rPr>
                <w:b/>
                <w:bCs/>
                <w:color w:val="000000" w:themeColor="text1"/>
                <w:sz w:val="21"/>
                <w:szCs w:val="21"/>
              </w:rPr>
            </w:pPr>
            <w:r>
              <w:rPr>
                <w:rFonts w:hint="eastAsia"/>
                <w:b/>
                <w:bCs/>
                <w:color w:val="000000" w:themeColor="text1"/>
                <w:sz w:val="21"/>
                <w:szCs w:val="21"/>
              </w:rPr>
              <w:t>表16   主要生产设备与产能的匹配性分析一览表</w:t>
            </w:r>
          </w:p>
          <w:tbl>
            <w:tblPr>
              <w:tblStyle w:val="25"/>
              <w:tblW w:w="80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690"/>
              <w:gridCol w:w="1140"/>
              <w:gridCol w:w="915"/>
              <w:gridCol w:w="929"/>
              <w:gridCol w:w="915"/>
              <w:gridCol w:w="915"/>
              <w:gridCol w:w="1530"/>
            </w:tblGrid>
            <w:tr w14:paraId="7ECCA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vAlign w:val="center"/>
                </w:tcPr>
                <w:p w14:paraId="6E71C0D7">
                  <w:pPr>
                    <w:spacing w:line="240" w:lineRule="auto"/>
                    <w:ind w:firstLine="0" w:firstLineChars="0"/>
                    <w:jc w:val="center"/>
                    <w:rPr>
                      <w:b/>
                      <w:bCs/>
                      <w:color w:val="000000" w:themeColor="text1"/>
                      <w:sz w:val="21"/>
                      <w:szCs w:val="21"/>
                    </w:rPr>
                  </w:pPr>
                  <w:r>
                    <w:rPr>
                      <w:b/>
                      <w:bCs/>
                      <w:color w:val="000000" w:themeColor="text1"/>
                      <w:sz w:val="21"/>
                      <w:szCs w:val="21"/>
                    </w:rPr>
                    <w:t>设备名称</w:t>
                  </w:r>
                </w:p>
              </w:tc>
              <w:tc>
                <w:tcPr>
                  <w:tcW w:w="426" w:type="pct"/>
                  <w:tcBorders>
                    <w:tl2br w:val="nil"/>
                    <w:tr2bl w:val="nil"/>
                  </w:tcBorders>
                  <w:vAlign w:val="center"/>
                </w:tcPr>
                <w:p w14:paraId="09A06F33">
                  <w:pPr>
                    <w:spacing w:line="240" w:lineRule="auto"/>
                    <w:ind w:firstLine="0" w:firstLineChars="0"/>
                    <w:jc w:val="center"/>
                    <w:rPr>
                      <w:b/>
                      <w:bCs/>
                      <w:color w:val="000000" w:themeColor="text1"/>
                      <w:sz w:val="21"/>
                      <w:szCs w:val="21"/>
                    </w:rPr>
                  </w:pPr>
                  <w:r>
                    <w:rPr>
                      <w:b/>
                      <w:bCs/>
                      <w:color w:val="000000" w:themeColor="text1"/>
                      <w:sz w:val="21"/>
                      <w:szCs w:val="21"/>
                    </w:rPr>
                    <w:t>数量（台/套）</w:t>
                  </w:r>
                </w:p>
              </w:tc>
              <w:tc>
                <w:tcPr>
                  <w:tcW w:w="704" w:type="pct"/>
                  <w:tcBorders>
                    <w:tl2br w:val="nil"/>
                    <w:tr2bl w:val="nil"/>
                  </w:tcBorders>
                  <w:vAlign w:val="center"/>
                </w:tcPr>
                <w:p w14:paraId="695A6EB0">
                  <w:pPr>
                    <w:spacing w:line="240" w:lineRule="auto"/>
                    <w:ind w:firstLine="0" w:firstLineChars="0"/>
                    <w:jc w:val="center"/>
                    <w:rPr>
                      <w:b/>
                      <w:bCs/>
                      <w:color w:val="000000" w:themeColor="text1"/>
                      <w:sz w:val="21"/>
                      <w:szCs w:val="21"/>
                    </w:rPr>
                  </w:pPr>
                  <w:r>
                    <w:rPr>
                      <w:b/>
                      <w:bCs/>
                      <w:color w:val="000000" w:themeColor="text1"/>
                      <w:sz w:val="21"/>
                      <w:szCs w:val="21"/>
                    </w:rPr>
                    <w:t>单台设备生产能力（t/h）</w:t>
                  </w:r>
                </w:p>
              </w:tc>
              <w:tc>
                <w:tcPr>
                  <w:tcW w:w="565" w:type="pct"/>
                  <w:tcBorders>
                    <w:tl2br w:val="nil"/>
                    <w:tr2bl w:val="nil"/>
                  </w:tcBorders>
                  <w:vAlign w:val="center"/>
                </w:tcPr>
                <w:p w14:paraId="5CD583C0">
                  <w:pPr>
                    <w:spacing w:line="240" w:lineRule="auto"/>
                    <w:ind w:firstLine="0" w:firstLineChars="0"/>
                    <w:jc w:val="center"/>
                    <w:rPr>
                      <w:b/>
                      <w:bCs/>
                      <w:color w:val="000000" w:themeColor="text1"/>
                      <w:sz w:val="21"/>
                      <w:szCs w:val="21"/>
                    </w:rPr>
                  </w:pPr>
                  <w:r>
                    <w:rPr>
                      <w:b/>
                      <w:bCs/>
                      <w:color w:val="000000" w:themeColor="text1"/>
                      <w:sz w:val="21"/>
                      <w:szCs w:val="21"/>
                    </w:rPr>
                    <w:t>合计额定产能（t</w:t>
                  </w:r>
                  <w:r>
                    <w:rPr>
                      <w:rFonts w:hint="eastAsia"/>
                      <w:b/>
                      <w:bCs/>
                      <w:color w:val="000000" w:themeColor="text1"/>
                      <w:sz w:val="21"/>
                      <w:szCs w:val="21"/>
                    </w:rPr>
                    <w:t>/h</w:t>
                  </w:r>
                  <w:r>
                    <w:rPr>
                      <w:b/>
                      <w:bCs/>
                      <w:color w:val="000000" w:themeColor="text1"/>
                      <w:sz w:val="21"/>
                      <w:szCs w:val="21"/>
                    </w:rPr>
                    <w:t>）</w:t>
                  </w:r>
                </w:p>
              </w:tc>
              <w:tc>
                <w:tcPr>
                  <w:tcW w:w="574" w:type="pct"/>
                  <w:tcBorders>
                    <w:tl2br w:val="nil"/>
                    <w:tr2bl w:val="nil"/>
                  </w:tcBorders>
                  <w:vAlign w:val="center"/>
                </w:tcPr>
                <w:p w14:paraId="2D2A1BC0">
                  <w:pPr>
                    <w:spacing w:line="240" w:lineRule="auto"/>
                    <w:ind w:firstLine="0" w:firstLineChars="0"/>
                    <w:jc w:val="center"/>
                    <w:rPr>
                      <w:b/>
                      <w:bCs/>
                      <w:color w:val="000000" w:themeColor="text1"/>
                      <w:sz w:val="21"/>
                      <w:szCs w:val="21"/>
                    </w:rPr>
                  </w:pPr>
                  <w:r>
                    <w:rPr>
                      <w:b/>
                      <w:bCs/>
                      <w:color w:val="000000" w:themeColor="text1"/>
                      <w:sz w:val="21"/>
                      <w:szCs w:val="21"/>
                    </w:rPr>
                    <w:t>年工作时间（</w:t>
                  </w:r>
                  <w:r>
                    <w:rPr>
                      <w:rFonts w:hint="eastAsia"/>
                      <w:b/>
                      <w:bCs/>
                      <w:color w:val="000000" w:themeColor="text1"/>
                      <w:sz w:val="21"/>
                      <w:szCs w:val="21"/>
                    </w:rPr>
                    <w:t>h</w:t>
                  </w:r>
                  <w:r>
                    <w:rPr>
                      <w:b/>
                      <w:bCs/>
                      <w:color w:val="000000" w:themeColor="text1"/>
                      <w:sz w:val="21"/>
                      <w:szCs w:val="21"/>
                    </w:rPr>
                    <w:t>/a）</w:t>
                  </w:r>
                </w:p>
              </w:tc>
              <w:tc>
                <w:tcPr>
                  <w:tcW w:w="565" w:type="pct"/>
                  <w:tcBorders>
                    <w:tl2br w:val="nil"/>
                    <w:tr2bl w:val="nil"/>
                  </w:tcBorders>
                  <w:vAlign w:val="center"/>
                </w:tcPr>
                <w:p w14:paraId="009C34BF">
                  <w:pPr>
                    <w:spacing w:line="240" w:lineRule="auto"/>
                    <w:ind w:firstLine="0" w:firstLineChars="0"/>
                    <w:jc w:val="center"/>
                    <w:rPr>
                      <w:b/>
                      <w:bCs/>
                      <w:color w:val="000000" w:themeColor="text1"/>
                      <w:sz w:val="21"/>
                      <w:szCs w:val="21"/>
                    </w:rPr>
                  </w:pPr>
                  <w:r>
                    <w:rPr>
                      <w:b/>
                      <w:bCs/>
                      <w:color w:val="000000" w:themeColor="text1"/>
                      <w:sz w:val="21"/>
                      <w:szCs w:val="21"/>
                    </w:rPr>
                    <w:t>合计额定产能（t/a）</w:t>
                  </w:r>
                </w:p>
              </w:tc>
              <w:tc>
                <w:tcPr>
                  <w:tcW w:w="565" w:type="pct"/>
                  <w:tcBorders>
                    <w:tl2br w:val="nil"/>
                    <w:tr2bl w:val="nil"/>
                  </w:tcBorders>
                  <w:vAlign w:val="center"/>
                </w:tcPr>
                <w:p w14:paraId="5DCE9243">
                  <w:pPr>
                    <w:spacing w:line="240" w:lineRule="auto"/>
                    <w:ind w:firstLine="0" w:firstLineChars="0"/>
                    <w:jc w:val="center"/>
                    <w:rPr>
                      <w:b/>
                      <w:bCs/>
                      <w:color w:val="000000" w:themeColor="text1"/>
                      <w:sz w:val="21"/>
                      <w:szCs w:val="21"/>
                    </w:rPr>
                  </w:pPr>
                  <w:r>
                    <w:rPr>
                      <w:b/>
                      <w:bCs/>
                      <w:color w:val="000000" w:themeColor="text1"/>
                      <w:sz w:val="21"/>
                      <w:szCs w:val="21"/>
                    </w:rPr>
                    <w:t>项目总产能（t/a）</w:t>
                  </w:r>
                </w:p>
              </w:tc>
              <w:tc>
                <w:tcPr>
                  <w:tcW w:w="945" w:type="pct"/>
                  <w:tcBorders>
                    <w:tl2br w:val="nil"/>
                    <w:tr2bl w:val="nil"/>
                  </w:tcBorders>
                  <w:vAlign w:val="center"/>
                </w:tcPr>
                <w:p w14:paraId="15773202">
                  <w:pPr>
                    <w:spacing w:line="240" w:lineRule="auto"/>
                    <w:ind w:firstLine="0" w:firstLineChars="0"/>
                    <w:jc w:val="center"/>
                    <w:rPr>
                      <w:b/>
                      <w:bCs/>
                      <w:color w:val="000000" w:themeColor="text1"/>
                      <w:sz w:val="21"/>
                      <w:szCs w:val="21"/>
                    </w:rPr>
                  </w:pPr>
                  <w:r>
                    <w:rPr>
                      <w:b/>
                      <w:bCs/>
                      <w:color w:val="000000" w:themeColor="text1"/>
                      <w:sz w:val="21"/>
                      <w:szCs w:val="21"/>
                    </w:rPr>
                    <w:t>项目总产能占设备额定总产能的比例（%）</w:t>
                  </w:r>
                </w:p>
              </w:tc>
            </w:tr>
            <w:tr w14:paraId="15BCD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vAlign w:val="center"/>
                </w:tcPr>
                <w:p w14:paraId="1E7202E7">
                  <w:pPr>
                    <w:spacing w:line="240" w:lineRule="auto"/>
                    <w:ind w:firstLine="0" w:firstLineChars="0"/>
                    <w:jc w:val="center"/>
                    <w:rPr>
                      <w:color w:val="000000" w:themeColor="text1"/>
                      <w:sz w:val="21"/>
                      <w:szCs w:val="21"/>
                    </w:rPr>
                  </w:pPr>
                  <w:r>
                    <w:rPr>
                      <w:rFonts w:hint="eastAsia"/>
                      <w:color w:val="000000" w:themeColor="text1"/>
                      <w:sz w:val="21"/>
                      <w:szCs w:val="21"/>
                    </w:rPr>
                    <w:t>滚筒筛</w:t>
                  </w:r>
                </w:p>
              </w:tc>
              <w:tc>
                <w:tcPr>
                  <w:tcW w:w="426" w:type="pct"/>
                  <w:tcBorders>
                    <w:tl2br w:val="nil"/>
                    <w:tr2bl w:val="nil"/>
                  </w:tcBorders>
                  <w:vAlign w:val="center"/>
                </w:tcPr>
                <w:p w14:paraId="199DFE4E">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vAlign w:val="center"/>
                </w:tcPr>
                <w:p w14:paraId="743F57F1">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65" w:type="pct"/>
                  <w:tcBorders>
                    <w:tl2br w:val="nil"/>
                    <w:tr2bl w:val="nil"/>
                  </w:tcBorders>
                  <w:vAlign w:val="center"/>
                </w:tcPr>
                <w:p w14:paraId="39150662">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74" w:type="pct"/>
                  <w:tcBorders>
                    <w:tl2br w:val="nil"/>
                    <w:tr2bl w:val="nil"/>
                  </w:tcBorders>
                  <w:vAlign w:val="center"/>
                </w:tcPr>
                <w:p w14:paraId="585342FD">
                  <w:pPr>
                    <w:spacing w:line="240" w:lineRule="auto"/>
                    <w:ind w:firstLine="0" w:firstLineChars="0"/>
                    <w:jc w:val="center"/>
                    <w:rPr>
                      <w:color w:val="000000" w:themeColor="text1"/>
                      <w:sz w:val="21"/>
                      <w:szCs w:val="21"/>
                    </w:rPr>
                  </w:pPr>
                  <w:r>
                    <w:rPr>
                      <w:rFonts w:hint="eastAsia"/>
                      <w:color w:val="000000" w:themeColor="text1"/>
                      <w:sz w:val="21"/>
                      <w:szCs w:val="21"/>
                    </w:rPr>
                    <w:t>1200</w:t>
                  </w:r>
                </w:p>
              </w:tc>
              <w:tc>
                <w:tcPr>
                  <w:tcW w:w="565" w:type="pct"/>
                  <w:tcBorders>
                    <w:tl2br w:val="nil"/>
                    <w:tr2bl w:val="nil"/>
                  </w:tcBorders>
                  <w:vAlign w:val="center"/>
                </w:tcPr>
                <w:p w14:paraId="512003F2">
                  <w:pPr>
                    <w:spacing w:line="240" w:lineRule="auto"/>
                    <w:ind w:firstLine="0" w:firstLineChars="0"/>
                    <w:jc w:val="center"/>
                    <w:rPr>
                      <w:color w:val="000000" w:themeColor="text1"/>
                      <w:sz w:val="21"/>
                      <w:szCs w:val="21"/>
                    </w:rPr>
                  </w:pPr>
                  <w:r>
                    <w:rPr>
                      <w:rFonts w:hint="eastAsia"/>
                      <w:color w:val="000000" w:themeColor="text1"/>
                      <w:sz w:val="21"/>
                      <w:szCs w:val="21"/>
                    </w:rPr>
                    <w:t>10800</w:t>
                  </w:r>
                </w:p>
              </w:tc>
              <w:tc>
                <w:tcPr>
                  <w:tcW w:w="565" w:type="pct"/>
                  <w:tcBorders>
                    <w:tl2br w:val="nil"/>
                    <w:tr2bl w:val="nil"/>
                  </w:tcBorders>
                  <w:vAlign w:val="center"/>
                </w:tcPr>
                <w:p w14:paraId="021A02B6">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7679A2FE">
                  <w:pPr>
                    <w:spacing w:line="240" w:lineRule="auto"/>
                    <w:ind w:firstLine="0" w:firstLineChars="0"/>
                    <w:jc w:val="center"/>
                    <w:rPr>
                      <w:color w:val="000000" w:themeColor="text1"/>
                      <w:sz w:val="21"/>
                      <w:szCs w:val="21"/>
                    </w:rPr>
                  </w:pPr>
                  <w:r>
                    <w:rPr>
                      <w:rFonts w:hint="eastAsia"/>
                      <w:color w:val="000000" w:themeColor="text1"/>
                      <w:sz w:val="21"/>
                      <w:szCs w:val="21"/>
                    </w:rPr>
                    <w:t>92.6</w:t>
                  </w:r>
                </w:p>
              </w:tc>
            </w:tr>
            <w:tr w14:paraId="12548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1C4A7DA1">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烘干机</w:t>
                  </w:r>
                </w:p>
              </w:tc>
              <w:tc>
                <w:tcPr>
                  <w:tcW w:w="426" w:type="pct"/>
                  <w:tcBorders>
                    <w:tl2br w:val="nil"/>
                    <w:tr2bl w:val="nil"/>
                  </w:tcBorders>
                  <w:vAlign w:val="center"/>
                </w:tcPr>
                <w:p w14:paraId="55A9B4C7">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shd w:val="clear" w:color="auto" w:fill="auto"/>
                  <w:vAlign w:val="center"/>
                </w:tcPr>
                <w:p w14:paraId="73DEF6CE">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565" w:type="pct"/>
                  <w:tcBorders>
                    <w:tl2br w:val="nil"/>
                    <w:tr2bl w:val="nil"/>
                  </w:tcBorders>
                  <w:vAlign w:val="center"/>
                </w:tcPr>
                <w:p w14:paraId="27F5614E">
                  <w:pPr>
                    <w:spacing w:line="240" w:lineRule="auto"/>
                    <w:ind w:firstLine="0" w:firstLineChars="0"/>
                    <w:jc w:val="center"/>
                    <w:rPr>
                      <w:color w:val="000000" w:themeColor="text1"/>
                      <w:sz w:val="21"/>
                      <w:szCs w:val="21"/>
                    </w:rPr>
                  </w:pPr>
                  <w:r>
                    <w:rPr>
                      <w:rFonts w:hint="eastAsia"/>
                      <w:color w:val="000000" w:themeColor="text1"/>
                      <w:sz w:val="21"/>
                      <w:szCs w:val="21"/>
                    </w:rPr>
                    <w:t>6</w:t>
                  </w:r>
                </w:p>
              </w:tc>
              <w:tc>
                <w:tcPr>
                  <w:tcW w:w="574" w:type="pct"/>
                  <w:tcBorders>
                    <w:tl2br w:val="nil"/>
                    <w:tr2bl w:val="nil"/>
                  </w:tcBorders>
                  <w:vAlign w:val="center"/>
                </w:tcPr>
                <w:p w14:paraId="7DDA810A">
                  <w:pPr>
                    <w:spacing w:line="240" w:lineRule="auto"/>
                    <w:ind w:firstLine="0" w:firstLineChars="0"/>
                    <w:jc w:val="center"/>
                    <w:rPr>
                      <w:color w:val="000000" w:themeColor="text1"/>
                      <w:sz w:val="21"/>
                      <w:szCs w:val="21"/>
                    </w:rPr>
                  </w:pPr>
                  <w:r>
                    <w:rPr>
                      <w:rFonts w:hint="eastAsia"/>
                      <w:color w:val="000000" w:themeColor="text1"/>
                      <w:sz w:val="21"/>
                      <w:szCs w:val="21"/>
                    </w:rPr>
                    <w:t>1800</w:t>
                  </w:r>
                </w:p>
              </w:tc>
              <w:tc>
                <w:tcPr>
                  <w:tcW w:w="565" w:type="pct"/>
                  <w:tcBorders>
                    <w:tl2br w:val="nil"/>
                    <w:tr2bl w:val="nil"/>
                  </w:tcBorders>
                  <w:vAlign w:val="center"/>
                </w:tcPr>
                <w:p w14:paraId="692057BD">
                  <w:pPr>
                    <w:spacing w:line="240" w:lineRule="auto"/>
                    <w:ind w:firstLine="0" w:firstLineChars="0"/>
                    <w:jc w:val="center"/>
                    <w:rPr>
                      <w:color w:val="000000" w:themeColor="text1"/>
                      <w:sz w:val="21"/>
                      <w:szCs w:val="21"/>
                    </w:rPr>
                  </w:pPr>
                  <w:r>
                    <w:rPr>
                      <w:rFonts w:hint="eastAsia"/>
                      <w:color w:val="000000" w:themeColor="text1"/>
                      <w:sz w:val="21"/>
                      <w:szCs w:val="21"/>
                    </w:rPr>
                    <w:t>10800</w:t>
                  </w:r>
                </w:p>
              </w:tc>
              <w:tc>
                <w:tcPr>
                  <w:tcW w:w="565" w:type="pct"/>
                  <w:tcBorders>
                    <w:tl2br w:val="nil"/>
                    <w:tr2bl w:val="nil"/>
                  </w:tcBorders>
                  <w:vAlign w:val="center"/>
                </w:tcPr>
                <w:p w14:paraId="436BB025">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7DF25F9C">
                  <w:pPr>
                    <w:spacing w:line="240" w:lineRule="auto"/>
                    <w:ind w:firstLine="0" w:firstLineChars="0"/>
                    <w:jc w:val="center"/>
                    <w:rPr>
                      <w:color w:val="000000" w:themeColor="text1"/>
                      <w:sz w:val="21"/>
                      <w:szCs w:val="21"/>
                    </w:rPr>
                  </w:pPr>
                  <w:r>
                    <w:rPr>
                      <w:rFonts w:hint="eastAsia"/>
                      <w:color w:val="000000" w:themeColor="text1"/>
                      <w:sz w:val="21"/>
                      <w:szCs w:val="21"/>
                    </w:rPr>
                    <w:t>92.6</w:t>
                  </w:r>
                </w:p>
              </w:tc>
            </w:tr>
            <w:tr w14:paraId="747E9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51F0C81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生物质颗粒机</w:t>
                  </w:r>
                </w:p>
              </w:tc>
              <w:tc>
                <w:tcPr>
                  <w:tcW w:w="426" w:type="pct"/>
                  <w:tcBorders>
                    <w:tl2br w:val="nil"/>
                    <w:tr2bl w:val="nil"/>
                  </w:tcBorders>
                  <w:vAlign w:val="center"/>
                </w:tcPr>
                <w:p w14:paraId="5A3D8D96">
                  <w:pPr>
                    <w:spacing w:line="240" w:lineRule="auto"/>
                    <w:ind w:firstLine="0" w:firstLineChars="0"/>
                    <w:jc w:val="center"/>
                    <w:rPr>
                      <w:color w:val="000000" w:themeColor="text1"/>
                      <w:sz w:val="21"/>
                      <w:szCs w:val="21"/>
                    </w:rPr>
                  </w:pPr>
                  <w:r>
                    <w:rPr>
                      <w:rFonts w:hint="eastAsia"/>
                      <w:color w:val="000000" w:themeColor="text1"/>
                      <w:sz w:val="21"/>
                      <w:szCs w:val="21"/>
                    </w:rPr>
                    <w:t>4</w:t>
                  </w:r>
                </w:p>
              </w:tc>
              <w:tc>
                <w:tcPr>
                  <w:tcW w:w="704" w:type="pct"/>
                  <w:tcBorders>
                    <w:tl2br w:val="nil"/>
                    <w:tr2bl w:val="nil"/>
                  </w:tcBorders>
                  <w:shd w:val="clear" w:color="auto" w:fill="auto"/>
                  <w:vAlign w:val="center"/>
                </w:tcPr>
                <w:p w14:paraId="50802901">
                  <w:pPr>
                    <w:spacing w:line="240" w:lineRule="auto"/>
                    <w:ind w:firstLine="0" w:firstLineChars="0"/>
                    <w:jc w:val="center"/>
                    <w:rPr>
                      <w:color w:val="000000" w:themeColor="text1"/>
                      <w:sz w:val="21"/>
                      <w:szCs w:val="21"/>
                    </w:rPr>
                  </w:pPr>
                  <w:r>
                    <w:rPr>
                      <w:rFonts w:hint="eastAsia"/>
                      <w:color w:val="000000" w:themeColor="text1"/>
                      <w:sz w:val="21"/>
                      <w:szCs w:val="21"/>
                    </w:rPr>
                    <w:t>1.6</w:t>
                  </w:r>
                </w:p>
              </w:tc>
              <w:tc>
                <w:tcPr>
                  <w:tcW w:w="565" w:type="pct"/>
                  <w:tcBorders>
                    <w:tl2br w:val="nil"/>
                    <w:tr2bl w:val="nil"/>
                  </w:tcBorders>
                  <w:vAlign w:val="center"/>
                </w:tcPr>
                <w:p w14:paraId="358171A7">
                  <w:pPr>
                    <w:spacing w:line="240" w:lineRule="auto"/>
                    <w:ind w:firstLine="0" w:firstLineChars="0"/>
                    <w:jc w:val="center"/>
                    <w:rPr>
                      <w:color w:val="000000" w:themeColor="text1"/>
                      <w:sz w:val="21"/>
                      <w:szCs w:val="21"/>
                    </w:rPr>
                  </w:pPr>
                  <w:r>
                    <w:rPr>
                      <w:rFonts w:hint="eastAsia"/>
                      <w:color w:val="000000" w:themeColor="text1"/>
                      <w:sz w:val="21"/>
                      <w:szCs w:val="21"/>
                    </w:rPr>
                    <w:t>6.4</w:t>
                  </w:r>
                </w:p>
              </w:tc>
              <w:tc>
                <w:tcPr>
                  <w:tcW w:w="574" w:type="pct"/>
                  <w:tcBorders>
                    <w:tl2br w:val="nil"/>
                    <w:tr2bl w:val="nil"/>
                  </w:tcBorders>
                  <w:vAlign w:val="center"/>
                </w:tcPr>
                <w:p w14:paraId="764D25EA">
                  <w:pPr>
                    <w:spacing w:line="240" w:lineRule="auto"/>
                    <w:ind w:firstLine="0" w:firstLineChars="0"/>
                    <w:jc w:val="center"/>
                    <w:rPr>
                      <w:color w:val="000000" w:themeColor="text1"/>
                      <w:sz w:val="21"/>
                      <w:szCs w:val="21"/>
                    </w:rPr>
                  </w:pPr>
                  <w:r>
                    <w:rPr>
                      <w:rFonts w:hint="eastAsia"/>
                      <w:color w:val="000000" w:themeColor="text1"/>
                      <w:sz w:val="21"/>
                      <w:szCs w:val="21"/>
                    </w:rPr>
                    <w:t>1600</w:t>
                  </w:r>
                </w:p>
              </w:tc>
              <w:tc>
                <w:tcPr>
                  <w:tcW w:w="565" w:type="pct"/>
                  <w:tcBorders>
                    <w:tl2br w:val="nil"/>
                    <w:tr2bl w:val="nil"/>
                  </w:tcBorders>
                  <w:vAlign w:val="center"/>
                </w:tcPr>
                <w:p w14:paraId="6F445462">
                  <w:pPr>
                    <w:spacing w:line="240" w:lineRule="auto"/>
                    <w:ind w:firstLine="0" w:firstLineChars="0"/>
                    <w:jc w:val="center"/>
                    <w:rPr>
                      <w:color w:val="000000" w:themeColor="text1"/>
                      <w:sz w:val="21"/>
                      <w:szCs w:val="21"/>
                    </w:rPr>
                  </w:pPr>
                  <w:r>
                    <w:rPr>
                      <w:rFonts w:hint="eastAsia"/>
                      <w:color w:val="000000" w:themeColor="text1"/>
                      <w:sz w:val="21"/>
                      <w:szCs w:val="21"/>
                    </w:rPr>
                    <w:t>10240</w:t>
                  </w:r>
                </w:p>
              </w:tc>
              <w:tc>
                <w:tcPr>
                  <w:tcW w:w="565" w:type="pct"/>
                  <w:tcBorders>
                    <w:tl2br w:val="nil"/>
                    <w:tr2bl w:val="nil"/>
                  </w:tcBorders>
                  <w:vAlign w:val="center"/>
                </w:tcPr>
                <w:p w14:paraId="5B54AEB1">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17AA44FE">
                  <w:pPr>
                    <w:spacing w:line="240" w:lineRule="auto"/>
                    <w:ind w:firstLine="0" w:firstLineChars="0"/>
                    <w:jc w:val="center"/>
                    <w:rPr>
                      <w:color w:val="000000" w:themeColor="text1"/>
                      <w:sz w:val="21"/>
                      <w:szCs w:val="21"/>
                    </w:rPr>
                  </w:pPr>
                  <w:r>
                    <w:rPr>
                      <w:rFonts w:hint="eastAsia"/>
                      <w:color w:val="000000" w:themeColor="text1"/>
                      <w:sz w:val="21"/>
                      <w:szCs w:val="21"/>
                    </w:rPr>
                    <w:t>97.7</w:t>
                  </w:r>
                </w:p>
              </w:tc>
            </w:tr>
            <w:tr w14:paraId="39791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7167C65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振筛</w:t>
                  </w:r>
                </w:p>
              </w:tc>
              <w:tc>
                <w:tcPr>
                  <w:tcW w:w="426" w:type="pct"/>
                  <w:tcBorders>
                    <w:tl2br w:val="nil"/>
                    <w:tr2bl w:val="nil"/>
                  </w:tcBorders>
                  <w:vAlign w:val="center"/>
                </w:tcPr>
                <w:p w14:paraId="293D5F8A">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vAlign w:val="center"/>
                </w:tcPr>
                <w:p w14:paraId="18376312">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65" w:type="pct"/>
                  <w:tcBorders>
                    <w:tl2br w:val="nil"/>
                    <w:tr2bl w:val="nil"/>
                  </w:tcBorders>
                  <w:vAlign w:val="center"/>
                </w:tcPr>
                <w:p w14:paraId="546DF583">
                  <w:pPr>
                    <w:spacing w:line="240" w:lineRule="auto"/>
                    <w:ind w:firstLine="0" w:firstLineChars="0"/>
                    <w:jc w:val="center"/>
                    <w:rPr>
                      <w:color w:val="000000" w:themeColor="text1"/>
                      <w:sz w:val="21"/>
                      <w:szCs w:val="21"/>
                    </w:rPr>
                  </w:pPr>
                  <w:r>
                    <w:rPr>
                      <w:rFonts w:hint="eastAsia"/>
                      <w:color w:val="000000" w:themeColor="text1"/>
                      <w:sz w:val="21"/>
                      <w:szCs w:val="21"/>
                    </w:rPr>
                    <w:t>9</w:t>
                  </w:r>
                </w:p>
              </w:tc>
              <w:tc>
                <w:tcPr>
                  <w:tcW w:w="574" w:type="pct"/>
                  <w:tcBorders>
                    <w:tl2br w:val="nil"/>
                    <w:tr2bl w:val="nil"/>
                  </w:tcBorders>
                  <w:vAlign w:val="center"/>
                </w:tcPr>
                <w:p w14:paraId="2FEACF12">
                  <w:pPr>
                    <w:spacing w:line="240" w:lineRule="auto"/>
                    <w:ind w:firstLine="0" w:firstLineChars="0"/>
                    <w:jc w:val="center"/>
                    <w:rPr>
                      <w:color w:val="000000" w:themeColor="text1"/>
                      <w:sz w:val="21"/>
                      <w:szCs w:val="21"/>
                    </w:rPr>
                  </w:pPr>
                  <w:r>
                    <w:rPr>
                      <w:rFonts w:hint="eastAsia"/>
                      <w:color w:val="000000" w:themeColor="text1"/>
                      <w:sz w:val="21"/>
                      <w:szCs w:val="21"/>
                    </w:rPr>
                    <w:t>1200</w:t>
                  </w:r>
                </w:p>
              </w:tc>
              <w:tc>
                <w:tcPr>
                  <w:tcW w:w="565" w:type="pct"/>
                  <w:tcBorders>
                    <w:tl2br w:val="nil"/>
                    <w:tr2bl w:val="nil"/>
                  </w:tcBorders>
                  <w:vAlign w:val="center"/>
                </w:tcPr>
                <w:p w14:paraId="3A4BC4D5">
                  <w:pPr>
                    <w:spacing w:line="240" w:lineRule="auto"/>
                    <w:ind w:firstLine="0" w:firstLineChars="0"/>
                    <w:jc w:val="center"/>
                    <w:rPr>
                      <w:color w:val="000000" w:themeColor="text1"/>
                      <w:sz w:val="21"/>
                      <w:szCs w:val="21"/>
                    </w:rPr>
                  </w:pPr>
                  <w:r>
                    <w:rPr>
                      <w:rFonts w:hint="eastAsia"/>
                      <w:color w:val="000000" w:themeColor="text1"/>
                      <w:sz w:val="21"/>
                      <w:szCs w:val="21"/>
                    </w:rPr>
                    <w:t>10800</w:t>
                  </w:r>
                </w:p>
              </w:tc>
              <w:tc>
                <w:tcPr>
                  <w:tcW w:w="565" w:type="pct"/>
                  <w:tcBorders>
                    <w:tl2br w:val="nil"/>
                    <w:tr2bl w:val="nil"/>
                  </w:tcBorders>
                  <w:vAlign w:val="center"/>
                </w:tcPr>
                <w:p w14:paraId="5CB36AB9">
                  <w:pPr>
                    <w:spacing w:line="240" w:lineRule="auto"/>
                    <w:ind w:firstLine="0" w:firstLineChars="0"/>
                    <w:jc w:val="center"/>
                    <w:rPr>
                      <w:color w:val="000000" w:themeColor="text1"/>
                      <w:sz w:val="21"/>
                      <w:szCs w:val="21"/>
                    </w:rPr>
                  </w:pPr>
                  <w:r>
                    <w:rPr>
                      <w:rFonts w:hint="eastAsia"/>
                      <w:color w:val="000000" w:themeColor="text1"/>
                      <w:sz w:val="21"/>
                      <w:szCs w:val="21"/>
                    </w:rPr>
                    <w:t>10000</w:t>
                  </w:r>
                </w:p>
              </w:tc>
              <w:tc>
                <w:tcPr>
                  <w:tcW w:w="945" w:type="pct"/>
                  <w:tcBorders>
                    <w:tl2br w:val="nil"/>
                    <w:tr2bl w:val="nil"/>
                  </w:tcBorders>
                  <w:vAlign w:val="center"/>
                </w:tcPr>
                <w:p w14:paraId="4E7609FF">
                  <w:pPr>
                    <w:spacing w:line="240" w:lineRule="auto"/>
                    <w:ind w:firstLine="0" w:firstLineChars="0"/>
                    <w:jc w:val="center"/>
                    <w:rPr>
                      <w:color w:val="000000" w:themeColor="text1"/>
                      <w:sz w:val="21"/>
                      <w:szCs w:val="21"/>
                    </w:rPr>
                  </w:pPr>
                  <w:r>
                    <w:rPr>
                      <w:rFonts w:hint="eastAsia"/>
                      <w:color w:val="000000" w:themeColor="text1"/>
                      <w:sz w:val="21"/>
                      <w:szCs w:val="21"/>
                    </w:rPr>
                    <w:t>92.6</w:t>
                  </w:r>
                </w:p>
              </w:tc>
            </w:tr>
            <w:tr w14:paraId="09ABC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4" w:type="pct"/>
                  <w:tcBorders>
                    <w:tl2br w:val="nil"/>
                    <w:tr2bl w:val="nil"/>
                  </w:tcBorders>
                  <w:shd w:val="clear" w:color="auto" w:fill="auto"/>
                  <w:vAlign w:val="center"/>
                </w:tcPr>
                <w:p w14:paraId="38DFEB21">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打包机</w:t>
                  </w:r>
                </w:p>
              </w:tc>
              <w:tc>
                <w:tcPr>
                  <w:tcW w:w="426" w:type="pct"/>
                  <w:tcBorders>
                    <w:tl2br w:val="nil"/>
                    <w:tr2bl w:val="nil"/>
                  </w:tcBorders>
                  <w:vAlign w:val="center"/>
                </w:tcPr>
                <w:p w14:paraId="14FBA6B7">
                  <w:pPr>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704" w:type="pct"/>
                  <w:tcBorders>
                    <w:tl2br w:val="nil"/>
                    <w:tr2bl w:val="nil"/>
                  </w:tcBorders>
                  <w:vAlign w:val="center"/>
                </w:tcPr>
                <w:p w14:paraId="7D778B9B">
                  <w:pPr>
                    <w:spacing w:line="240" w:lineRule="auto"/>
                    <w:ind w:firstLine="0" w:firstLineChars="0"/>
                    <w:jc w:val="center"/>
                    <w:rPr>
                      <w:color w:val="000000" w:themeColor="text1"/>
                      <w:sz w:val="21"/>
                      <w:szCs w:val="21"/>
                    </w:rPr>
                  </w:pPr>
                  <w:r>
                    <w:rPr>
                      <w:rFonts w:hint="eastAsia"/>
                      <w:color w:val="000000" w:themeColor="text1"/>
                      <w:sz w:val="21"/>
                      <w:szCs w:val="21"/>
                    </w:rPr>
                    <w:t>5</w:t>
                  </w:r>
                </w:p>
              </w:tc>
              <w:tc>
                <w:tcPr>
                  <w:tcW w:w="565" w:type="pct"/>
                  <w:tcBorders>
                    <w:tl2br w:val="nil"/>
                    <w:tr2bl w:val="nil"/>
                  </w:tcBorders>
                  <w:vAlign w:val="center"/>
                </w:tcPr>
                <w:p w14:paraId="46B9330B">
                  <w:pPr>
                    <w:spacing w:line="240" w:lineRule="auto"/>
                    <w:ind w:firstLine="0" w:firstLineChars="0"/>
                    <w:jc w:val="center"/>
                    <w:rPr>
                      <w:color w:val="000000" w:themeColor="text1"/>
                      <w:sz w:val="21"/>
                      <w:szCs w:val="21"/>
                    </w:rPr>
                  </w:pPr>
                  <w:r>
                    <w:rPr>
                      <w:rFonts w:hint="eastAsia"/>
                      <w:color w:val="000000" w:themeColor="text1"/>
                      <w:sz w:val="21"/>
                      <w:szCs w:val="21"/>
                    </w:rPr>
                    <w:t>5</w:t>
                  </w:r>
                </w:p>
              </w:tc>
              <w:tc>
                <w:tcPr>
                  <w:tcW w:w="574" w:type="pct"/>
                  <w:tcBorders>
                    <w:tl2br w:val="nil"/>
                    <w:tr2bl w:val="nil"/>
                  </w:tcBorders>
                  <w:vAlign w:val="center"/>
                </w:tcPr>
                <w:p w14:paraId="14E21D8A">
                  <w:pPr>
                    <w:spacing w:line="240" w:lineRule="auto"/>
                    <w:ind w:firstLine="0" w:firstLineChars="0"/>
                    <w:jc w:val="center"/>
                    <w:rPr>
                      <w:color w:val="000000" w:themeColor="text1"/>
                      <w:sz w:val="21"/>
                      <w:szCs w:val="21"/>
                    </w:rPr>
                  </w:pPr>
                  <w:r>
                    <w:rPr>
                      <w:rFonts w:hint="eastAsia"/>
                      <w:color w:val="000000" w:themeColor="text1"/>
                      <w:sz w:val="21"/>
                      <w:szCs w:val="21"/>
                    </w:rPr>
                    <w:t>720</w:t>
                  </w:r>
                </w:p>
              </w:tc>
              <w:tc>
                <w:tcPr>
                  <w:tcW w:w="565" w:type="pct"/>
                  <w:tcBorders>
                    <w:tl2br w:val="nil"/>
                    <w:tr2bl w:val="nil"/>
                  </w:tcBorders>
                  <w:vAlign w:val="center"/>
                </w:tcPr>
                <w:p w14:paraId="037F6D07">
                  <w:pPr>
                    <w:spacing w:line="240" w:lineRule="auto"/>
                    <w:ind w:firstLine="0" w:firstLineChars="0"/>
                    <w:jc w:val="center"/>
                    <w:rPr>
                      <w:color w:val="000000" w:themeColor="text1"/>
                      <w:sz w:val="21"/>
                      <w:szCs w:val="21"/>
                    </w:rPr>
                  </w:pPr>
                  <w:r>
                    <w:rPr>
                      <w:rFonts w:hint="eastAsia"/>
                      <w:color w:val="000000" w:themeColor="text1"/>
                      <w:sz w:val="21"/>
                      <w:szCs w:val="21"/>
                    </w:rPr>
                    <w:t>3600</w:t>
                  </w:r>
                </w:p>
              </w:tc>
              <w:tc>
                <w:tcPr>
                  <w:tcW w:w="565" w:type="pct"/>
                  <w:tcBorders>
                    <w:tl2br w:val="nil"/>
                    <w:tr2bl w:val="nil"/>
                  </w:tcBorders>
                  <w:vAlign w:val="center"/>
                </w:tcPr>
                <w:p w14:paraId="5DACE54C">
                  <w:pPr>
                    <w:spacing w:line="240" w:lineRule="auto"/>
                    <w:ind w:firstLine="0" w:firstLineChars="0"/>
                    <w:jc w:val="center"/>
                    <w:rPr>
                      <w:color w:val="000000" w:themeColor="text1"/>
                      <w:sz w:val="21"/>
                      <w:szCs w:val="21"/>
                    </w:rPr>
                  </w:pPr>
                  <w:r>
                    <w:rPr>
                      <w:rFonts w:hint="eastAsia"/>
                      <w:color w:val="000000" w:themeColor="text1"/>
                      <w:sz w:val="21"/>
                      <w:szCs w:val="21"/>
                    </w:rPr>
                    <w:t>3500</w:t>
                  </w:r>
                </w:p>
              </w:tc>
              <w:tc>
                <w:tcPr>
                  <w:tcW w:w="945" w:type="pct"/>
                  <w:tcBorders>
                    <w:tl2br w:val="nil"/>
                    <w:tr2bl w:val="nil"/>
                  </w:tcBorders>
                  <w:vAlign w:val="center"/>
                </w:tcPr>
                <w:p w14:paraId="33234270">
                  <w:pPr>
                    <w:spacing w:line="240" w:lineRule="auto"/>
                    <w:ind w:firstLine="0" w:firstLineChars="0"/>
                    <w:jc w:val="center"/>
                    <w:rPr>
                      <w:color w:val="000000" w:themeColor="text1"/>
                      <w:sz w:val="21"/>
                      <w:szCs w:val="21"/>
                    </w:rPr>
                  </w:pPr>
                  <w:r>
                    <w:rPr>
                      <w:rFonts w:hint="eastAsia"/>
                      <w:color w:val="000000" w:themeColor="text1"/>
                      <w:sz w:val="21"/>
                      <w:szCs w:val="21"/>
                    </w:rPr>
                    <w:t>97.2</w:t>
                  </w:r>
                </w:p>
              </w:tc>
            </w:tr>
          </w:tbl>
          <w:p w14:paraId="7215FD8A">
            <w:pPr>
              <w:ind w:firstLine="480"/>
              <w:rPr>
                <w:color w:val="000000" w:themeColor="text1"/>
              </w:rPr>
            </w:pPr>
            <w:r>
              <w:rPr>
                <w:color w:val="000000" w:themeColor="text1"/>
              </w:rPr>
              <w:t xml:space="preserve">10、给排水 </w:t>
            </w:r>
          </w:p>
          <w:p w14:paraId="3F3E7D4E">
            <w:pPr>
              <w:ind w:firstLine="480"/>
              <w:rPr>
                <w:color w:val="000000" w:themeColor="text1"/>
              </w:rPr>
            </w:pPr>
            <w:r>
              <w:rPr>
                <w:color w:val="000000" w:themeColor="text1"/>
              </w:rPr>
              <w:t>本项目用水主要为生活用水及生产用水，用水来源于</w:t>
            </w:r>
            <w:r>
              <w:rPr>
                <w:rFonts w:hint="eastAsia"/>
                <w:color w:val="000000" w:themeColor="text1"/>
              </w:rPr>
              <w:t>园区</w:t>
            </w:r>
            <w:r>
              <w:rPr>
                <w:color w:val="000000" w:themeColor="text1"/>
              </w:rPr>
              <w:t>供水管网。</w:t>
            </w:r>
          </w:p>
          <w:p w14:paraId="1FC34D4B">
            <w:pPr>
              <w:ind w:firstLine="480"/>
              <w:rPr>
                <w:color w:val="000000" w:themeColor="text1"/>
                <w:kern w:val="0"/>
              </w:rPr>
            </w:pPr>
            <w:r>
              <w:rPr>
                <w:color w:val="000000" w:themeColor="text1"/>
                <w:kern w:val="0"/>
              </w:rPr>
              <w:t>（1）生活用水</w:t>
            </w:r>
          </w:p>
          <w:p w14:paraId="07631D05">
            <w:pPr>
              <w:ind w:firstLine="480"/>
              <w:rPr>
                <w:color w:val="000000" w:themeColor="text1"/>
              </w:rPr>
            </w:pPr>
            <w:r>
              <w:rPr>
                <w:color w:val="000000" w:themeColor="text1"/>
                <w:kern w:val="0"/>
              </w:rPr>
              <w:t>本项目不设食堂、宿舍、浴室等设施，厕所依托于</w:t>
            </w:r>
            <w:r>
              <w:rPr>
                <w:rFonts w:hint="eastAsia"/>
                <w:color w:val="000000" w:themeColor="text1"/>
              </w:rPr>
              <w:t>唐山曹妃甸木业股份有限公司</w:t>
            </w:r>
            <w:r>
              <w:rPr>
                <w:color w:val="000000" w:themeColor="text1"/>
              </w:rPr>
              <w:t>水厕，生活用水主要为盥洗、冲厕用水。</w:t>
            </w:r>
          </w:p>
          <w:p w14:paraId="72D7C384">
            <w:pPr>
              <w:ind w:firstLine="480"/>
              <w:rPr>
                <w:color w:val="000000" w:themeColor="text1"/>
                <w:kern w:val="0"/>
              </w:rPr>
            </w:pPr>
            <w:r>
              <w:rPr>
                <w:color w:val="000000" w:themeColor="text1"/>
                <w:kern w:val="0"/>
              </w:rPr>
              <w:t>本项目劳动定员</w:t>
            </w:r>
            <w:r>
              <w:rPr>
                <w:rFonts w:hint="eastAsia"/>
                <w:color w:val="000000" w:themeColor="text1"/>
                <w:kern w:val="0"/>
              </w:rPr>
              <w:t>6</w:t>
            </w:r>
            <w:r>
              <w:rPr>
                <w:color w:val="000000" w:themeColor="text1"/>
                <w:kern w:val="0"/>
              </w:rPr>
              <w:t>人，</w:t>
            </w:r>
            <w:r>
              <w:rPr>
                <w:rFonts w:hint="eastAsia"/>
                <w:color w:val="000000" w:themeColor="text1"/>
                <w:kern w:val="0"/>
              </w:rPr>
              <w:t>年工作时间300天，</w:t>
            </w:r>
            <w:r>
              <w:rPr>
                <w:color w:val="000000" w:themeColor="text1"/>
                <w:kern w:val="0"/>
              </w:rPr>
              <w:t>参考河北省用水定额《生活与服务业用水定额 第1部分：居民生活》（DB13/T 5450.1-2021）中的用水标准，同时结合项目情况，生活用水量按40L/人</w:t>
            </w:r>
            <w:r>
              <w:rPr>
                <w:rFonts w:eastAsia="Times New Roman"/>
                <w:color w:val="000000" w:themeColor="text1"/>
                <w:spacing w:val="-8"/>
              </w:rPr>
              <w:t>·</w:t>
            </w:r>
            <w:r>
              <w:rPr>
                <w:color w:val="000000" w:themeColor="text1"/>
                <w:kern w:val="0"/>
              </w:rPr>
              <w:t>d计，则本项目生活用水量为0.</w:t>
            </w:r>
            <w:r>
              <w:rPr>
                <w:rFonts w:hint="eastAsia"/>
                <w:color w:val="000000" w:themeColor="text1"/>
                <w:kern w:val="0"/>
              </w:rPr>
              <w:t>2</w:t>
            </w:r>
            <w:r>
              <w:rPr>
                <w:color w:val="000000" w:themeColor="text1"/>
                <w:kern w:val="0"/>
              </w:rPr>
              <w:t>4m</w:t>
            </w:r>
            <w:r>
              <w:rPr>
                <w:color w:val="000000" w:themeColor="text1"/>
                <w:kern w:val="0"/>
                <w:vertAlign w:val="superscript"/>
              </w:rPr>
              <w:t>3</w:t>
            </w:r>
            <w:r>
              <w:rPr>
                <w:color w:val="000000" w:themeColor="text1"/>
                <w:kern w:val="0"/>
              </w:rPr>
              <w:t>/d（</w:t>
            </w:r>
            <w:r>
              <w:rPr>
                <w:rFonts w:hint="eastAsia"/>
                <w:color w:val="000000" w:themeColor="text1"/>
                <w:kern w:val="0"/>
              </w:rPr>
              <w:t>72</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，其中新水用量</w:t>
            </w:r>
            <w:r>
              <w:rPr>
                <w:color w:val="000000" w:themeColor="text1"/>
                <w:kern w:val="0"/>
              </w:rPr>
              <w:t>0.</w:t>
            </w:r>
            <w:r>
              <w:rPr>
                <w:rFonts w:hint="eastAsia"/>
                <w:color w:val="000000" w:themeColor="text1"/>
                <w:kern w:val="0"/>
              </w:rPr>
              <w:t>048</w:t>
            </w:r>
            <w:r>
              <w:rPr>
                <w:color w:val="000000" w:themeColor="text1"/>
                <w:kern w:val="0"/>
              </w:rPr>
              <w:t>m</w:t>
            </w:r>
            <w:r>
              <w:rPr>
                <w:color w:val="000000" w:themeColor="text1"/>
                <w:kern w:val="0"/>
                <w:vertAlign w:val="superscript"/>
              </w:rPr>
              <w:t>3</w:t>
            </w:r>
            <w:r>
              <w:rPr>
                <w:color w:val="000000" w:themeColor="text1"/>
                <w:kern w:val="0"/>
              </w:rPr>
              <w:t>/d（1</w:t>
            </w:r>
            <w:r>
              <w:rPr>
                <w:rFonts w:hint="eastAsia"/>
                <w:color w:val="000000" w:themeColor="text1"/>
                <w:kern w:val="0"/>
              </w:rPr>
              <w:t>4.4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，回用水用量0.192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p>
          <w:p w14:paraId="48F80861">
            <w:pPr>
              <w:ind w:firstLine="480"/>
              <w:rPr>
                <w:color w:val="000000" w:themeColor="text1"/>
                <w:kern w:val="0"/>
              </w:rPr>
            </w:pPr>
            <w:r>
              <w:rPr>
                <w:color w:val="000000" w:themeColor="text1"/>
                <w:kern w:val="0"/>
              </w:rPr>
              <w:t>生活污水产生量以用水量的80%计，则生活污水产生量为0.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经</w:t>
            </w:r>
            <w:r>
              <w:rPr>
                <w:rFonts w:hint="eastAsia"/>
                <w:color w:val="000000" w:themeColor="text1"/>
              </w:rPr>
              <w:t>唐山曹妃甸木业股份有限公司废水总排口排入市政污水管网，最终进入曹妃甸工业区装备制造区污水处理站处理</w:t>
            </w:r>
            <w:r>
              <w:rPr>
                <w:color w:val="000000" w:themeColor="text1"/>
                <w:kern w:val="0"/>
              </w:rPr>
              <w:t>。</w:t>
            </w:r>
          </w:p>
          <w:p w14:paraId="4EC7EE06">
            <w:pPr>
              <w:ind w:firstLine="480"/>
              <w:rPr>
                <w:color w:val="000000" w:themeColor="text1"/>
                <w:kern w:val="0"/>
              </w:rPr>
            </w:pPr>
            <w:r>
              <w:rPr>
                <w:color w:val="000000" w:themeColor="text1"/>
                <w:kern w:val="0"/>
              </w:rPr>
              <w:t>（2）生产用水</w:t>
            </w:r>
          </w:p>
          <w:p w14:paraId="53C6901A">
            <w:pPr>
              <w:ind w:firstLine="480"/>
              <w:rPr>
                <w:color w:val="000000" w:themeColor="text1"/>
                <w:kern w:val="0"/>
              </w:rPr>
            </w:pPr>
            <w:r>
              <w:rPr>
                <w:color w:val="000000" w:themeColor="text1"/>
                <w:kern w:val="0"/>
              </w:rPr>
              <w:t>本项目生产用水主要为</w:t>
            </w:r>
            <w:r>
              <w:rPr>
                <w:rFonts w:hint="eastAsia"/>
                <w:color w:val="000000" w:themeColor="text1"/>
                <w:kern w:val="0"/>
              </w:rPr>
              <w:t>热风炉冷却系统补水</w:t>
            </w:r>
            <w:r>
              <w:rPr>
                <w:color w:val="000000" w:themeColor="text1"/>
                <w:kern w:val="0"/>
              </w:rPr>
              <w:t>。</w:t>
            </w:r>
          </w:p>
          <w:p w14:paraId="7977DD6A">
            <w:pPr>
              <w:ind w:firstLine="480"/>
              <w:rPr>
                <w:color w:val="000000" w:themeColor="text1"/>
              </w:rPr>
            </w:pPr>
            <w:r>
              <w:rPr>
                <w:rFonts w:hint="eastAsia"/>
                <w:color w:val="000000" w:themeColor="text1"/>
                <w:kern w:val="0"/>
              </w:rPr>
              <w:t>本项目采用热风炉为烘干机提供热源，热风炉配套设置冷却塔及冷却水箱提供冷却水间接</w:t>
            </w:r>
            <w:r>
              <w:rPr>
                <w:rFonts w:hint="eastAsia"/>
                <w:snapToGrid w:val="0"/>
                <w:color w:val="000000" w:themeColor="text1"/>
                <w:kern w:val="0"/>
              </w:rPr>
              <w:t>冷却热风炉炉膛、燃烧器等高温部件，</w:t>
            </w:r>
            <w:r>
              <w:rPr>
                <w:rFonts w:hint="eastAsia"/>
                <w:color w:val="000000" w:themeColor="text1"/>
                <w:kern w:val="0"/>
              </w:rPr>
              <w:t>冷却水箱规格为</w:t>
            </w:r>
            <w:r>
              <w:rPr>
                <w:color w:val="000000" w:themeColor="text1"/>
                <w:kern w:val="0"/>
              </w:rPr>
              <w:t>Φ</w:t>
            </w:r>
            <w:r>
              <w:rPr>
                <w:rFonts w:hint="eastAsia"/>
                <w:color w:val="000000" w:themeColor="text1"/>
                <w:kern w:val="0"/>
              </w:rPr>
              <w:t>2000</w:t>
            </w:r>
            <w:r>
              <w:rPr>
                <w:rFonts w:hint="eastAsia"/>
                <w:color w:val="000000" w:themeColor="text1"/>
              </w:rPr>
              <w:t>mm</w:t>
            </w:r>
            <w:r>
              <w:rPr>
                <w:rFonts w:hint="eastAsia"/>
                <w:color w:val="000000" w:themeColor="text1"/>
                <w:kern w:val="0"/>
              </w:rPr>
              <w:t>*2m、碳钢材质，循环水泵的流量为4m</w:t>
            </w:r>
            <w:r>
              <w:rPr>
                <w:rFonts w:hint="eastAsia"/>
                <w:color w:val="000000" w:themeColor="text1"/>
                <w:kern w:val="0"/>
                <w:vertAlign w:val="superscript"/>
              </w:rPr>
              <w:t>3</w:t>
            </w:r>
            <w:r>
              <w:rPr>
                <w:color w:val="000000" w:themeColor="text1"/>
                <w:kern w:val="0"/>
              </w:rPr>
              <w:t>/h，冷却水循环使用，定期补</w:t>
            </w:r>
            <w:r>
              <w:rPr>
                <w:rFonts w:hint="eastAsia"/>
                <w:color w:val="000000" w:themeColor="text1"/>
                <w:kern w:val="0"/>
              </w:rPr>
              <w:t>水，循环水量为24</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7200</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，补水量约占循环水量的2%，则冷却系统补水量为0.48</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144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循环冷却系统总用水量为24.48</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7344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color w:val="000000" w:themeColor="text1"/>
                <w:kern w:val="0"/>
              </w:rPr>
              <w:t>循环冷却过程需定期排污，</w:t>
            </w:r>
            <w:r>
              <w:rPr>
                <w:rFonts w:hint="eastAsia"/>
                <w:color w:val="000000" w:themeColor="text1"/>
                <w:kern w:val="0"/>
              </w:rPr>
              <w:t>排污水约占补水量的40%，</w:t>
            </w:r>
            <w:r>
              <w:rPr>
                <w:color w:val="000000" w:themeColor="text1"/>
                <w:kern w:val="0"/>
              </w:rPr>
              <w:t>排污水量</w:t>
            </w:r>
            <w:r>
              <w:rPr>
                <w:rFonts w:hint="eastAsia"/>
                <w:color w:val="000000" w:themeColor="text1"/>
                <w:kern w:val="0"/>
              </w:rPr>
              <w:t>为0.192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p w14:paraId="5112EA82">
            <w:pPr>
              <w:ind w:firstLine="480"/>
              <w:rPr>
                <w:color w:val="000000" w:themeColor="text1"/>
              </w:rPr>
            </w:pPr>
            <w:r>
              <w:rPr>
                <w:color w:val="000000" w:themeColor="text1"/>
              </w:rPr>
              <w:t>综上所述，本项目总用水量为</w:t>
            </w:r>
            <w:r>
              <w:rPr>
                <w:rFonts w:hint="eastAsia"/>
                <w:color w:val="000000" w:themeColor="text1"/>
              </w:rPr>
              <w:t>24.72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7416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w:t>
            </w:r>
            <w:r>
              <w:rPr>
                <w:color w:val="000000" w:themeColor="text1"/>
              </w:rPr>
              <w:t>新水用量为</w:t>
            </w:r>
            <w:r>
              <w:rPr>
                <w:rFonts w:hint="eastAsia"/>
                <w:color w:val="000000" w:themeColor="text1"/>
              </w:rPr>
              <w:t>0.528</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158.4</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w:t>
            </w:r>
            <w:r>
              <w:rPr>
                <w:color w:val="000000" w:themeColor="text1"/>
                <w:kern w:val="0"/>
              </w:rPr>
              <w:t>循环水量为</w:t>
            </w:r>
            <w:r>
              <w:rPr>
                <w:rFonts w:hint="eastAsia"/>
                <w:color w:val="000000" w:themeColor="text1"/>
                <w:kern w:val="0"/>
              </w:rPr>
              <w:t>24</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7200</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总回用水量为0.192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，总</w:t>
            </w:r>
            <w:r>
              <w:rPr>
                <w:color w:val="000000" w:themeColor="text1"/>
                <w:kern w:val="0"/>
              </w:rPr>
              <w:t>废水量为</w:t>
            </w:r>
            <w:r>
              <w:rPr>
                <w:rFonts w:hint="eastAsia"/>
                <w:color w:val="000000" w:themeColor="text1"/>
                <w:kern w:val="0"/>
              </w:rPr>
              <w:t>0.384</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115.2</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，其中生活污水产生量</w:t>
            </w:r>
            <w:r>
              <w:rPr>
                <w:color w:val="000000" w:themeColor="text1"/>
                <w:kern w:val="0"/>
              </w:rPr>
              <w:t>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生产废水产生量</w:t>
            </w:r>
            <w:r>
              <w:rPr>
                <w:color w:val="000000" w:themeColor="text1"/>
                <w:kern w:val="0"/>
              </w:rPr>
              <w:t>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r>
              <w:rPr>
                <w:color w:val="000000" w:themeColor="text1"/>
                <w:kern w:val="0"/>
              </w:rPr>
              <w:t>。</w:t>
            </w:r>
          </w:p>
          <w:p w14:paraId="32CD8EC8">
            <w:pPr>
              <w:ind w:firstLine="480"/>
              <w:rPr>
                <w:color w:val="000000" w:themeColor="text1"/>
              </w:rPr>
            </w:pPr>
            <w:r>
              <w:rPr>
                <w:color w:val="000000" w:themeColor="text1"/>
              </w:rPr>
              <w:t>本项目水量平衡表见下表，</w:t>
            </w:r>
            <w:r>
              <w:rPr>
                <w:color w:val="000000" w:themeColor="text1"/>
                <w:szCs w:val="30"/>
              </w:rPr>
              <w:t>水量平衡图见图</w:t>
            </w:r>
            <w:r>
              <w:rPr>
                <w:rFonts w:hint="eastAsia"/>
                <w:color w:val="000000" w:themeColor="text1"/>
                <w:szCs w:val="30"/>
              </w:rPr>
              <w:t>3</w:t>
            </w:r>
            <w:r>
              <w:rPr>
                <w:color w:val="000000" w:themeColor="text1"/>
                <w:szCs w:val="30"/>
              </w:rPr>
              <w:t>。</w:t>
            </w:r>
          </w:p>
          <w:p w14:paraId="7AE08561">
            <w:pPr>
              <w:pStyle w:val="34"/>
              <w:rPr>
                <w:color w:val="000000" w:themeColor="text1"/>
              </w:rPr>
            </w:pPr>
            <w:r>
              <w:rPr>
                <w:color w:val="000000" w:themeColor="text1"/>
              </w:rPr>
              <w:t>表</w:t>
            </w:r>
            <w:r>
              <w:rPr>
                <w:rFonts w:hint="eastAsia"/>
                <w:color w:val="000000" w:themeColor="text1"/>
              </w:rPr>
              <w:t>17</w:t>
            </w:r>
            <w:r>
              <w:rPr>
                <w:color w:val="000000" w:themeColor="text1"/>
              </w:rPr>
              <w:t xml:space="preserve">   本项目水平衡一览表  </w:t>
            </w:r>
            <w:r>
              <w:rPr>
                <w:bCs/>
                <w:color w:val="000000" w:themeColor="text1"/>
              </w:rPr>
              <w:t>单位m</w:t>
            </w:r>
            <w:r>
              <w:rPr>
                <w:bCs/>
                <w:color w:val="000000" w:themeColor="text1"/>
                <w:vertAlign w:val="superscript"/>
              </w:rPr>
              <w:t>3</w:t>
            </w:r>
            <w:r>
              <w:rPr>
                <w:bCs/>
                <w:color w:val="000000" w:themeColor="text1"/>
              </w:rPr>
              <w:t>/d</w:t>
            </w:r>
          </w:p>
          <w:tbl>
            <w:tblPr>
              <w:tblStyle w:val="25"/>
              <w:tblW w:w="81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595"/>
              <w:gridCol w:w="1125"/>
              <w:gridCol w:w="1020"/>
              <w:gridCol w:w="990"/>
              <w:gridCol w:w="1035"/>
              <w:gridCol w:w="1035"/>
              <w:gridCol w:w="800"/>
            </w:tblGrid>
            <w:tr w14:paraId="01BD8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7D9F40C0">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序号</w:t>
                  </w:r>
                </w:p>
              </w:tc>
              <w:tc>
                <w:tcPr>
                  <w:tcW w:w="1595" w:type="dxa"/>
                  <w:tcBorders>
                    <w:tl2br w:val="nil"/>
                    <w:tr2bl w:val="nil"/>
                  </w:tcBorders>
                  <w:vAlign w:val="center"/>
                </w:tcPr>
                <w:p w14:paraId="69F25825">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用水环节</w:t>
                  </w:r>
                </w:p>
              </w:tc>
              <w:tc>
                <w:tcPr>
                  <w:tcW w:w="1125" w:type="dxa"/>
                  <w:tcBorders>
                    <w:tl2br w:val="nil"/>
                    <w:tr2bl w:val="nil"/>
                  </w:tcBorders>
                  <w:vAlign w:val="center"/>
                </w:tcPr>
                <w:p w14:paraId="5F24AC91">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总用水量</w:t>
                  </w:r>
                </w:p>
              </w:tc>
              <w:tc>
                <w:tcPr>
                  <w:tcW w:w="1020" w:type="dxa"/>
                  <w:tcBorders>
                    <w:tl2br w:val="nil"/>
                    <w:tr2bl w:val="nil"/>
                  </w:tcBorders>
                  <w:vAlign w:val="center"/>
                </w:tcPr>
                <w:p w14:paraId="1488EB22">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新水用量</w:t>
                  </w:r>
                </w:p>
              </w:tc>
              <w:tc>
                <w:tcPr>
                  <w:tcW w:w="990" w:type="dxa"/>
                  <w:tcBorders>
                    <w:tl2br w:val="nil"/>
                    <w:tr2bl w:val="nil"/>
                  </w:tcBorders>
                  <w:vAlign w:val="center"/>
                </w:tcPr>
                <w:p w14:paraId="77F8C1D9">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循环水量</w:t>
                  </w:r>
                </w:p>
              </w:tc>
              <w:tc>
                <w:tcPr>
                  <w:tcW w:w="1035" w:type="dxa"/>
                  <w:tcBorders>
                    <w:tl2br w:val="nil"/>
                    <w:tr2bl w:val="nil"/>
                  </w:tcBorders>
                  <w:vAlign w:val="center"/>
                </w:tcPr>
                <w:p w14:paraId="0D434F76">
                  <w:pPr>
                    <w:spacing w:line="240" w:lineRule="auto"/>
                    <w:ind w:left="-48" w:leftChars="-20" w:right="-48" w:rightChars="-20" w:firstLine="0" w:firstLineChars="0"/>
                    <w:jc w:val="center"/>
                    <w:rPr>
                      <w:b/>
                      <w:bCs/>
                      <w:color w:val="000000" w:themeColor="text1"/>
                      <w:sz w:val="21"/>
                      <w:szCs w:val="21"/>
                    </w:rPr>
                  </w:pPr>
                  <w:r>
                    <w:rPr>
                      <w:rFonts w:hint="eastAsia"/>
                      <w:b/>
                      <w:bCs/>
                      <w:color w:val="000000" w:themeColor="text1"/>
                      <w:sz w:val="21"/>
                      <w:szCs w:val="21"/>
                    </w:rPr>
                    <w:t>回用水量</w:t>
                  </w:r>
                </w:p>
              </w:tc>
              <w:tc>
                <w:tcPr>
                  <w:tcW w:w="1035" w:type="dxa"/>
                  <w:tcBorders>
                    <w:tl2br w:val="nil"/>
                    <w:tr2bl w:val="nil"/>
                  </w:tcBorders>
                  <w:vAlign w:val="center"/>
                </w:tcPr>
                <w:p w14:paraId="38B8610B">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损耗水量</w:t>
                  </w:r>
                </w:p>
              </w:tc>
              <w:tc>
                <w:tcPr>
                  <w:tcW w:w="800" w:type="dxa"/>
                  <w:tcBorders>
                    <w:tl2br w:val="nil"/>
                    <w:tr2bl w:val="nil"/>
                  </w:tcBorders>
                  <w:vAlign w:val="center"/>
                </w:tcPr>
                <w:p w14:paraId="451C5764">
                  <w:pPr>
                    <w:spacing w:line="240" w:lineRule="auto"/>
                    <w:ind w:left="-48" w:leftChars="-20" w:right="-48" w:rightChars="-20" w:firstLine="0" w:firstLineChars="0"/>
                    <w:jc w:val="center"/>
                    <w:rPr>
                      <w:b/>
                      <w:bCs/>
                      <w:color w:val="000000" w:themeColor="text1"/>
                      <w:sz w:val="21"/>
                      <w:szCs w:val="21"/>
                    </w:rPr>
                  </w:pPr>
                  <w:r>
                    <w:rPr>
                      <w:b/>
                      <w:bCs/>
                      <w:color w:val="000000" w:themeColor="text1"/>
                      <w:sz w:val="21"/>
                      <w:szCs w:val="21"/>
                    </w:rPr>
                    <w:t>废水量</w:t>
                  </w:r>
                </w:p>
              </w:tc>
            </w:tr>
            <w:tr w14:paraId="517F0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tcBorders>
                    <w:tl2br w:val="nil"/>
                    <w:tr2bl w:val="nil"/>
                  </w:tcBorders>
                  <w:vAlign w:val="center"/>
                </w:tcPr>
                <w:p w14:paraId="52D7873F">
                  <w:pPr>
                    <w:spacing w:line="240" w:lineRule="auto"/>
                    <w:ind w:right="-48" w:rightChars="-20" w:firstLine="0" w:firstLineChars="0"/>
                    <w:jc w:val="center"/>
                    <w:rPr>
                      <w:color w:val="000000" w:themeColor="text1"/>
                      <w:sz w:val="21"/>
                      <w:szCs w:val="21"/>
                    </w:rPr>
                  </w:pPr>
                  <w:r>
                    <w:rPr>
                      <w:color w:val="000000" w:themeColor="text1"/>
                      <w:sz w:val="21"/>
                      <w:szCs w:val="21"/>
                    </w:rPr>
                    <w:t>1</w:t>
                  </w:r>
                </w:p>
              </w:tc>
              <w:tc>
                <w:tcPr>
                  <w:tcW w:w="1595" w:type="dxa"/>
                  <w:tcBorders>
                    <w:tl2br w:val="nil"/>
                    <w:tr2bl w:val="nil"/>
                  </w:tcBorders>
                  <w:vAlign w:val="center"/>
                </w:tcPr>
                <w:p w14:paraId="4BC0BC65">
                  <w:pPr>
                    <w:spacing w:line="240" w:lineRule="auto"/>
                    <w:ind w:left="-48" w:leftChars="-20" w:right="-48" w:rightChars="-20" w:firstLine="0" w:firstLineChars="0"/>
                    <w:jc w:val="center"/>
                    <w:rPr>
                      <w:color w:val="000000" w:themeColor="text1"/>
                      <w:sz w:val="21"/>
                      <w:szCs w:val="21"/>
                    </w:rPr>
                  </w:pPr>
                  <w:r>
                    <w:rPr>
                      <w:color w:val="000000" w:themeColor="text1"/>
                      <w:sz w:val="21"/>
                      <w:szCs w:val="21"/>
                    </w:rPr>
                    <w:t>生活用水</w:t>
                  </w:r>
                </w:p>
              </w:tc>
              <w:tc>
                <w:tcPr>
                  <w:tcW w:w="1125" w:type="dxa"/>
                  <w:tcBorders>
                    <w:tl2br w:val="nil"/>
                    <w:tr2bl w:val="nil"/>
                  </w:tcBorders>
                  <w:vAlign w:val="center"/>
                </w:tcPr>
                <w:p w14:paraId="0B57DFA3">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0.24</w:t>
                  </w:r>
                </w:p>
              </w:tc>
              <w:tc>
                <w:tcPr>
                  <w:tcW w:w="1020" w:type="dxa"/>
                  <w:tcBorders>
                    <w:tl2br w:val="nil"/>
                    <w:tr2bl w:val="nil"/>
                  </w:tcBorders>
                  <w:vAlign w:val="center"/>
                </w:tcPr>
                <w:p w14:paraId="1CF94C14">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0.048</w:t>
                  </w:r>
                </w:p>
              </w:tc>
              <w:tc>
                <w:tcPr>
                  <w:tcW w:w="990" w:type="dxa"/>
                  <w:tcBorders>
                    <w:tl2br w:val="nil"/>
                    <w:tr2bl w:val="nil"/>
                  </w:tcBorders>
                  <w:vAlign w:val="center"/>
                </w:tcPr>
                <w:p w14:paraId="37709A90">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w:t>
                  </w:r>
                </w:p>
              </w:tc>
              <w:tc>
                <w:tcPr>
                  <w:tcW w:w="1035" w:type="dxa"/>
                  <w:tcBorders>
                    <w:tl2br w:val="nil"/>
                    <w:tr2bl w:val="nil"/>
                  </w:tcBorders>
                  <w:vAlign w:val="center"/>
                </w:tcPr>
                <w:p w14:paraId="1ECB8E62">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0.192</w:t>
                  </w:r>
                </w:p>
              </w:tc>
              <w:tc>
                <w:tcPr>
                  <w:tcW w:w="1035" w:type="dxa"/>
                  <w:tcBorders>
                    <w:tl2br w:val="nil"/>
                    <w:tr2bl w:val="nil"/>
                  </w:tcBorders>
                  <w:vAlign w:val="center"/>
                </w:tcPr>
                <w:p w14:paraId="2F86700F">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0.048</w:t>
                  </w:r>
                </w:p>
              </w:tc>
              <w:tc>
                <w:tcPr>
                  <w:tcW w:w="800" w:type="dxa"/>
                  <w:tcBorders>
                    <w:tl2br w:val="nil"/>
                    <w:tr2bl w:val="nil"/>
                  </w:tcBorders>
                  <w:vAlign w:val="center"/>
                </w:tcPr>
                <w:p w14:paraId="5EA39FCF">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0.192</w:t>
                  </w:r>
                </w:p>
              </w:tc>
            </w:tr>
            <w:tr w14:paraId="08DF4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46" w:type="dxa"/>
                  <w:tcBorders>
                    <w:tl2br w:val="nil"/>
                    <w:tr2bl w:val="nil"/>
                  </w:tcBorders>
                  <w:shd w:val="clear" w:color="auto" w:fill="auto"/>
                  <w:vAlign w:val="center"/>
                </w:tcPr>
                <w:p w14:paraId="4D7C0E12">
                  <w:pPr>
                    <w:spacing w:line="240" w:lineRule="auto"/>
                    <w:ind w:right="-48" w:rightChars="-20" w:firstLine="0" w:firstLineChars="0"/>
                    <w:jc w:val="center"/>
                    <w:rPr>
                      <w:color w:val="000000" w:themeColor="text1"/>
                      <w:sz w:val="21"/>
                      <w:szCs w:val="21"/>
                    </w:rPr>
                  </w:pPr>
                  <w:r>
                    <w:rPr>
                      <w:rFonts w:hint="eastAsia"/>
                      <w:color w:val="000000" w:themeColor="text1"/>
                      <w:sz w:val="21"/>
                      <w:szCs w:val="21"/>
                    </w:rPr>
                    <w:t>2</w:t>
                  </w:r>
                </w:p>
              </w:tc>
              <w:tc>
                <w:tcPr>
                  <w:tcW w:w="1595" w:type="dxa"/>
                  <w:tcBorders>
                    <w:tl2br w:val="nil"/>
                    <w:tr2bl w:val="nil"/>
                  </w:tcBorders>
                  <w:shd w:val="clear" w:color="auto" w:fill="auto"/>
                  <w:vAlign w:val="center"/>
                </w:tcPr>
                <w:p w14:paraId="2CAC25B0">
                  <w:pPr>
                    <w:spacing w:line="240" w:lineRule="auto"/>
                    <w:ind w:left="-48" w:leftChars="-20" w:right="-48" w:rightChars="-20" w:firstLine="0" w:firstLineChars="0"/>
                    <w:jc w:val="center"/>
                    <w:rPr>
                      <w:color w:val="000000" w:themeColor="text1"/>
                      <w:sz w:val="21"/>
                      <w:szCs w:val="21"/>
                    </w:rPr>
                  </w:pPr>
                  <w:r>
                    <w:rPr>
                      <w:color w:val="000000" w:themeColor="text1"/>
                      <w:sz w:val="21"/>
                      <w:szCs w:val="21"/>
                    </w:rPr>
                    <w:t>冷却</w:t>
                  </w:r>
                  <w:r>
                    <w:rPr>
                      <w:rFonts w:hint="eastAsia"/>
                      <w:color w:val="000000" w:themeColor="text1"/>
                      <w:sz w:val="21"/>
                      <w:szCs w:val="21"/>
                    </w:rPr>
                    <w:t>系统用水</w:t>
                  </w:r>
                </w:p>
              </w:tc>
              <w:tc>
                <w:tcPr>
                  <w:tcW w:w="1125" w:type="dxa"/>
                  <w:tcBorders>
                    <w:tl2br w:val="nil"/>
                    <w:tr2bl w:val="nil"/>
                  </w:tcBorders>
                  <w:vAlign w:val="center"/>
                </w:tcPr>
                <w:p w14:paraId="3526D745">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24.48</w:t>
                  </w:r>
                </w:p>
              </w:tc>
              <w:tc>
                <w:tcPr>
                  <w:tcW w:w="1020" w:type="dxa"/>
                  <w:tcBorders>
                    <w:tl2br w:val="nil"/>
                    <w:tr2bl w:val="nil"/>
                  </w:tcBorders>
                  <w:vAlign w:val="center"/>
                </w:tcPr>
                <w:p w14:paraId="6A8AC668">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0.48</w:t>
                  </w:r>
                </w:p>
              </w:tc>
              <w:tc>
                <w:tcPr>
                  <w:tcW w:w="990" w:type="dxa"/>
                  <w:tcBorders>
                    <w:tl2br w:val="nil"/>
                    <w:tr2bl w:val="nil"/>
                  </w:tcBorders>
                  <w:vAlign w:val="center"/>
                </w:tcPr>
                <w:p w14:paraId="672FA573">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24</w:t>
                  </w:r>
                </w:p>
              </w:tc>
              <w:tc>
                <w:tcPr>
                  <w:tcW w:w="1035" w:type="dxa"/>
                  <w:tcBorders>
                    <w:tl2br w:val="nil"/>
                    <w:tr2bl w:val="nil"/>
                  </w:tcBorders>
                  <w:vAlign w:val="center"/>
                </w:tcPr>
                <w:p w14:paraId="518802E7">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w:t>
                  </w:r>
                </w:p>
              </w:tc>
              <w:tc>
                <w:tcPr>
                  <w:tcW w:w="1035" w:type="dxa"/>
                  <w:tcBorders>
                    <w:tl2br w:val="nil"/>
                    <w:tr2bl w:val="nil"/>
                  </w:tcBorders>
                  <w:vAlign w:val="center"/>
                </w:tcPr>
                <w:p w14:paraId="480D77A5">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0.288</w:t>
                  </w:r>
                </w:p>
              </w:tc>
              <w:tc>
                <w:tcPr>
                  <w:tcW w:w="800" w:type="dxa"/>
                  <w:tcBorders>
                    <w:tl2br w:val="nil"/>
                    <w:tr2bl w:val="nil"/>
                  </w:tcBorders>
                  <w:vAlign w:val="center"/>
                </w:tcPr>
                <w:p w14:paraId="72CBA3A3">
                  <w:pPr>
                    <w:spacing w:line="240" w:lineRule="auto"/>
                    <w:ind w:left="-48" w:leftChars="-20" w:right="-48" w:rightChars="-20" w:firstLine="0" w:firstLineChars="0"/>
                    <w:jc w:val="center"/>
                    <w:rPr>
                      <w:color w:val="000000" w:themeColor="text1"/>
                      <w:sz w:val="21"/>
                      <w:szCs w:val="21"/>
                    </w:rPr>
                  </w:pPr>
                  <w:r>
                    <w:rPr>
                      <w:rFonts w:hint="eastAsia"/>
                      <w:color w:val="000000" w:themeColor="text1"/>
                      <w:sz w:val="21"/>
                      <w:szCs w:val="21"/>
                    </w:rPr>
                    <w:t>0.192</w:t>
                  </w:r>
                </w:p>
              </w:tc>
            </w:tr>
            <w:tr w14:paraId="4DB55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41" w:type="dxa"/>
                  <w:gridSpan w:val="2"/>
                  <w:tcBorders>
                    <w:tl2br w:val="nil"/>
                    <w:tr2bl w:val="nil"/>
                  </w:tcBorders>
                  <w:vAlign w:val="center"/>
                </w:tcPr>
                <w:p w14:paraId="626ECB12">
                  <w:pPr>
                    <w:spacing w:line="240" w:lineRule="auto"/>
                    <w:ind w:left="-48" w:leftChars="-20" w:right="-48" w:rightChars="-20" w:firstLine="0" w:firstLineChars="0"/>
                    <w:jc w:val="center"/>
                    <w:rPr>
                      <w:color w:val="000000" w:themeColor="text1"/>
                      <w:sz w:val="21"/>
                      <w:szCs w:val="21"/>
                    </w:rPr>
                  </w:pPr>
                  <w:r>
                    <w:rPr>
                      <w:color w:val="000000" w:themeColor="text1"/>
                      <w:sz w:val="21"/>
                      <w:szCs w:val="21"/>
                    </w:rPr>
                    <w:t>合计</w:t>
                  </w:r>
                </w:p>
              </w:tc>
              <w:tc>
                <w:tcPr>
                  <w:tcW w:w="1125" w:type="dxa"/>
                  <w:tcBorders>
                    <w:tl2br w:val="nil"/>
                    <w:tr2bl w:val="nil"/>
                  </w:tcBorders>
                  <w:vAlign w:val="center"/>
                </w:tcPr>
                <w:p w14:paraId="66C8BC7C">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24.72</w:t>
                  </w:r>
                </w:p>
              </w:tc>
              <w:tc>
                <w:tcPr>
                  <w:tcW w:w="1020" w:type="dxa"/>
                  <w:tcBorders>
                    <w:tl2br w:val="nil"/>
                    <w:tr2bl w:val="nil"/>
                  </w:tcBorders>
                  <w:vAlign w:val="center"/>
                </w:tcPr>
                <w:p w14:paraId="71B78F29">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0.528</w:t>
                  </w:r>
                </w:p>
              </w:tc>
              <w:tc>
                <w:tcPr>
                  <w:tcW w:w="990" w:type="dxa"/>
                  <w:tcBorders>
                    <w:tl2br w:val="nil"/>
                    <w:tr2bl w:val="nil"/>
                  </w:tcBorders>
                  <w:vAlign w:val="center"/>
                </w:tcPr>
                <w:p w14:paraId="7A69E223">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24</w:t>
                  </w:r>
                </w:p>
              </w:tc>
              <w:tc>
                <w:tcPr>
                  <w:tcW w:w="1035" w:type="dxa"/>
                  <w:tcBorders>
                    <w:tl2br w:val="nil"/>
                    <w:tr2bl w:val="nil"/>
                  </w:tcBorders>
                  <w:vAlign w:val="center"/>
                </w:tcPr>
                <w:p w14:paraId="28A47080">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0.192</w:t>
                  </w:r>
                </w:p>
              </w:tc>
              <w:tc>
                <w:tcPr>
                  <w:tcW w:w="1035" w:type="dxa"/>
                  <w:tcBorders>
                    <w:tl2br w:val="nil"/>
                    <w:tr2bl w:val="nil"/>
                  </w:tcBorders>
                  <w:vAlign w:val="center"/>
                </w:tcPr>
                <w:p w14:paraId="7FB2A167">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0.336</w:t>
                  </w:r>
                </w:p>
              </w:tc>
              <w:tc>
                <w:tcPr>
                  <w:tcW w:w="800" w:type="dxa"/>
                  <w:tcBorders>
                    <w:tl2br w:val="nil"/>
                    <w:tr2bl w:val="nil"/>
                  </w:tcBorders>
                  <w:vAlign w:val="center"/>
                </w:tcPr>
                <w:p w14:paraId="0D39F26F">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0.384</w:t>
                  </w:r>
                </w:p>
              </w:tc>
            </w:tr>
          </w:tbl>
          <w:p w14:paraId="08335598">
            <w:pPr>
              <w:pStyle w:val="34"/>
              <w:spacing w:line="240" w:lineRule="auto"/>
              <w:rPr>
                <w:color w:val="000000" w:themeColor="text1"/>
              </w:rPr>
            </w:pPr>
            <w:r>
              <w:rPr>
                <w:color w:val="000000" w:themeColor="text1"/>
              </w:rPr>
              <w:pict>
                <v:shape id="_x0000_i1025" o:spt="75" type="#_x0000_t75" style="height:163.5pt;width:391.5pt;" filled="f" o:preferrelative="t" stroked="f" coordsize="21600,21600">
                  <v:path/>
                  <v:fill on="f" focussize="0,0"/>
                  <v:stroke on="f" joinstyle="miter"/>
                  <v:imagedata r:id="rId14" o:title=""/>
                  <o:lock v:ext="edit" aspectratio="f"/>
                  <w10:wrap type="none"/>
                  <w10:anchorlock/>
                </v:shape>
              </w:pict>
            </w:r>
          </w:p>
          <w:p w14:paraId="1840EB31">
            <w:pPr>
              <w:pStyle w:val="34"/>
              <w:spacing w:line="240" w:lineRule="auto"/>
              <w:rPr>
                <w:color w:val="000000" w:themeColor="text1"/>
              </w:rPr>
            </w:pPr>
            <w:r>
              <w:rPr>
                <w:color w:val="000000" w:themeColor="text1"/>
              </w:rPr>
              <w:t>图</w:t>
            </w:r>
            <w:r>
              <w:rPr>
                <w:rFonts w:hint="eastAsia"/>
                <w:color w:val="000000" w:themeColor="text1"/>
              </w:rPr>
              <w:t>3</w:t>
            </w:r>
            <w:r>
              <w:rPr>
                <w:color w:val="000000" w:themeColor="text1"/>
              </w:rPr>
              <w:t xml:space="preserve">  本项目水平衡图  </w:t>
            </w:r>
            <w:r>
              <w:rPr>
                <w:bCs/>
                <w:color w:val="000000" w:themeColor="text1"/>
              </w:rPr>
              <w:t>单位m</w:t>
            </w:r>
            <w:r>
              <w:rPr>
                <w:bCs/>
                <w:color w:val="000000" w:themeColor="text1"/>
                <w:vertAlign w:val="superscript"/>
              </w:rPr>
              <w:t>3</w:t>
            </w:r>
            <w:r>
              <w:rPr>
                <w:bCs/>
                <w:color w:val="000000" w:themeColor="text1"/>
              </w:rPr>
              <w:t>/d</w:t>
            </w:r>
          </w:p>
          <w:p w14:paraId="41191C44">
            <w:pPr>
              <w:ind w:firstLine="480"/>
              <w:rPr>
                <w:color w:val="000000" w:themeColor="text1"/>
              </w:rPr>
            </w:pPr>
            <w:r>
              <w:rPr>
                <w:color w:val="000000" w:themeColor="text1"/>
                <w:kern w:val="0"/>
              </w:rPr>
              <w:t xml:space="preserve"> </w:t>
            </w:r>
            <w:r>
              <w:rPr>
                <w:color w:val="000000" w:themeColor="text1"/>
              </w:rPr>
              <w:t>11、项目的地理位置、平面布置与周边关系</w:t>
            </w:r>
          </w:p>
          <w:p w14:paraId="72341D5F">
            <w:pPr>
              <w:ind w:firstLine="480"/>
              <w:rPr>
                <w:color w:val="000000" w:themeColor="text1"/>
              </w:rPr>
            </w:pPr>
            <w:r>
              <w:rPr>
                <w:color w:val="000000" w:themeColor="text1"/>
              </w:rPr>
              <w:t>（1）地理位置：本项目位于</w:t>
            </w:r>
            <w:r>
              <w:rPr>
                <w:rFonts w:hint="eastAsia"/>
                <w:color w:val="000000" w:themeColor="text1"/>
              </w:rPr>
              <w:t>唐山市曹妃甸装备制造产业园区唐山曹妃甸木业股份有限公司厂区内，</w:t>
            </w:r>
            <w:r>
              <w:rPr>
                <w:color w:val="000000" w:themeColor="text1"/>
              </w:rPr>
              <w:t>（中心坐标为东经：118°</w:t>
            </w:r>
            <w:r>
              <w:rPr>
                <w:rFonts w:hint="eastAsia"/>
                <w:color w:val="000000" w:themeColor="text1"/>
              </w:rPr>
              <w:t>29</w:t>
            </w:r>
            <w:r>
              <w:rPr>
                <w:color w:val="000000" w:themeColor="text1"/>
              </w:rPr>
              <w:t>'</w:t>
            </w:r>
            <w:r>
              <w:rPr>
                <w:rFonts w:hint="eastAsia"/>
                <w:color w:val="000000" w:themeColor="text1"/>
              </w:rPr>
              <w:t>43.95</w:t>
            </w:r>
            <w:r>
              <w:rPr>
                <w:color w:val="000000" w:themeColor="text1"/>
              </w:rPr>
              <w:t>8"；北纬：39°</w:t>
            </w:r>
            <w:r>
              <w:rPr>
                <w:rFonts w:hint="eastAsia"/>
                <w:color w:val="000000" w:themeColor="text1"/>
              </w:rPr>
              <w:t>6</w:t>
            </w:r>
            <w:r>
              <w:rPr>
                <w:color w:val="000000" w:themeColor="text1"/>
              </w:rPr>
              <w:t>'3</w:t>
            </w:r>
            <w:r>
              <w:rPr>
                <w:rFonts w:hint="eastAsia"/>
                <w:color w:val="000000" w:themeColor="text1"/>
              </w:rPr>
              <w:t>3.583</w:t>
            </w:r>
            <w:r>
              <w:rPr>
                <w:color w:val="000000" w:themeColor="text1"/>
              </w:rPr>
              <w:t>"），地理位置图见附图1。</w:t>
            </w:r>
          </w:p>
          <w:p w14:paraId="181185E5">
            <w:pPr>
              <w:ind w:firstLine="480"/>
              <w:rPr>
                <w:color w:val="000000" w:themeColor="text1"/>
              </w:rPr>
            </w:pPr>
            <w:r>
              <w:rPr>
                <w:color w:val="000000" w:themeColor="text1"/>
              </w:rPr>
              <w:t>（2）平面布置：本项目租赁</w:t>
            </w:r>
            <w:r>
              <w:rPr>
                <w:rFonts w:hint="eastAsia"/>
                <w:color w:val="000000" w:themeColor="text1"/>
              </w:rPr>
              <w:t>唐山曹妃甸木业股份有限公司9号</w:t>
            </w:r>
            <w:r>
              <w:rPr>
                <w:color w:val="000000" w:themeColor="text1"/>
              </w:rPr>
              <w:t>厂房</w:t>
            </w:r>
            <w:r>
              <w:rPr>
                <w:rFonts w:hint="eastAsia"/>
                <w:color w:val="000000" w:themeColor="text1"/>
              </w:rPr>
              <w:t>及堆场（目前均为闲置）</w:t>
            </w:r>
            <w:r>
              <w:rPr>
                <w:color w:val="000000" w:themeColor="text1"/>
              </w:rPr>
              <w:t>，</w:t>
            </w:r>
            <w:r>
              <w:rPr>
                <w:rFonts w:hint="eastAsia"/>
                <w:color w:val="000000" w:themeColor="text1"/>
              </w:rPr>
              <w:t>厂房内北部为成品区、锯末（干料）原料区，东部为锯末（湿料）原料区，南部为生产区，备件库位于厂房内西北角，油品储存库位于厂房内西南角，危废暂存间位于油品储存库北侧，一般固废储存区位于厂房内南侧、锯末（湿料）原料区西侧。本</w:t>
            </w:r>
            <w:r>
              <w:rPr>
                <w:color w:val="000000" w:themeColor="text1"/>
              </w:rPr>
              <w:t>项目平面布置图见附图</w:t>
            </w:r>
            <w:r>
              <w:rPr>
                <w:rFonts w:hint="eastAsia"/>
                <w:color w:val="000000" w:themeColor="text1"/>
              </w:rPr>
              <w:t>5</w:t>
            </w:r>
            <w:r>
              <w:rPr>
                <w:color w:val="000000" w:themeColor="text1"/>
              </w:rPr>
              <w:t>。</w:t>
            </w:r>
          </w:p>
          <w:p w14:paraId="4722F950">
            <w:pPr>
              <w:ind w:firstLine="480"/>
              <w:rPr>
                <w:color w:val="000000" w:themeColor="text1"/>
              </w:rPr>
            </w:pPr>
            <w:r>
              <w:rPr>
                <w:color w:val="000000" w:themeColor="text1"/>
              </w:rPr>
              <w:t>（3）周边关系：本项目位于</w:t>
            </w:r>
            <w:r>
              <w:rPr>
                <w:rFonts w:hint="eastAsia"/>
                <w:color w:val="000000" w:themeColor="text1"/>
              </w:rPr>
              <w:t>唐山曹妃甸木业股份有限公司厂区内</w:t>
            </w:r>
            <w:r>
              <w:rPr>
                <w:color w:val="000000" w:themeColor="text1"/>
              </w:rPr>
              <w:t>，本项目北侧</w:t>
            </w:r>
            <w:r>
              <w:rPr>
                <w:rFonts w:hint="eastAsia"/>
                <w:color w:val="000000" w:themeColor="text1"/>
              </w:rPr>
              <w:t>为平成木业厂房，西侧为闲置厂房，</w:t>
            </w:r>
            <w:r>
              <w:rPr>
                <w:color w:val="000000" w:themeColor="text1"/>
              </w:rPr>
              <w:t>南侧为</w:t>
            </w:r>
            <w:r>
              <w:rPr>
                <w:rFonts w:hint="eastAsia"/>
                <w:color w:val="000000" w:themeColor="text1"/>
              </w:rPr>
              <w:t>厂区内道路</w:t>
            </w:r>
            <w:r>
              <w:rPr>
                <w:color w:val="000000" w:themeColor="text1"/>
              </w:rPr>
              <w:t>，东侧</w:t>
            </w:r>
            <w:r>
              <w:rPr>
                <w:rFonts w:hint="eastAsia"/>
                <w:color w:val="000000" w:themeColor="text1"/>
              </w:rPr>
              <w:t>为厂区内空地</w:t>
            </w:r>
            <w:r>
              <w:rPr>
                <w:color w:val="000000" w:themeColor="text1"/>
              </w:rPr>
              <w:t>。</w:t>
            </w:r>
            <w:r>
              <w:rPr>
                <w:rFonts w:hint="eastAsia"/>
                <w:color w:val="000000" w:themeColor="text1"/>
              </w:rPr>
              <w:t>唐山曹妃甸木业股份有限公司</w:t>
            </w:r>
            <w:r>
              <w:rPr>
                <w:color w:val="000000" w:themeColor="text1"/>
              </w:rPr>
              <w:t>北侧</w:t>
            </w:r>
            <w:r>
              <w:rPr>
                <w:rFonts w:hint="eastAsia"/>
                <w:color w:val="000000" w:themeColor="text1"/>
              </w:rPr>
              <w:t>隔装备道为空地</w:t>
            </w:r>
            <w:r>
              <w:rPr>
                <w:color w:val="000000" w:themeColor="text1"/>
              </w:rPr>
              <w:t>，西侧</w:t>
            </w:r>
            <w:r>
              <w:rPr>
                <w:rFonts w:hint="eastAsia"/>
                <w:color w:val="000000" w:themeColor="text1"/>
              </w:rPr>
              <w:t>隔和顺路为空地和其他企业厂房，南侧隔滨海道为曹妃甸木材产业园，东侧隔和韵路为河北国森木业有限公司及台湾产业园</w:t>
            </w:r>
            <w:r>
              <w:rPr>
                <w:color w:val="000000" w:themeColor="text1"/>
              </w:rPr>
              <w:t>。</w:t>
            </w:r>
          </w:p>
          <w:p w14:paraId="1D54BA8D">
            <w:pPr>
              <w:ind w:firstLine="480"/>
              <w:rPr>
                <w:color w:val="000000" w:themeColor="text1"/>
              </w:rPr>
            </w:pPr>
            <w:r>
              <w:rPr>
                <w:color w:val="000000" w:themeColor="text1"/>
              </w:rPr>
              <w:t>项目周边关系图见附图</w:t>
            </w:r>
            <w:r>
              <w:rPr>
                <w:rFonts w:hint="eastAsia"/>
                <w:color w:val="000000" w:themeColor="text1"/>
              </w:rPr>
              <w:t>6</w:t>
            </w:r>
            <w:r>
              <w:rPr>
                <w:color w:val="000000" w:themeColor="text1"/>
              </w:rPr>
              <w:t>。</w:t>
            </w:r>
          </w:p>
        </w:tc>
      </w:tr>
      <w:tr w14:paraId="58FD4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tcBorders>
              <w:tl2br w:val="nil"/>
              <w:tr2bl w:val="nil"/>
            </w:tcBorders>
            <w:shd w:val="clear" w:color="auto" w:fill="auto"/>
            <w:vAlign w:val="center"/>
          </w:tcPr>
          <w:p w14:paraId="5323F91A">
            <w:pPr>
              <w:spacing w:line="240" w:lineRule="auto"/>
              <w:ind w:firstLine="0" w:firstLineChars="0"/>
              <w:jc w:val="center"/>
              <w:rPr>
                <w:color w:val="000000" w:themeColor="text1"/>
              </w:rPr>
            </w:pPr>
            <w:r>
              <w:rPr>
                <w:color w:val="000000" w:themeColor="text1"/>
              </w:rPr>
              <w:t>工艺流程和产排污环节</w:t>
            </w:r>
          </w:p>
        </w:tc>
        <w:tc>
          <w:tcPr>
            <w:tcW w:w="8298" w:type="dxa"/>
            <w:tcBorders>
              <w:tl2br w:val="nil"/>
              <w:tr2bl w:val="nil"/>
            </w:tcBorders>
            <w:shd w:val="clear" w:color="auto" w:fill="auto"/>
          </w:tcPr>
          <w:p w14:paraId="2E4760F5">
            <w:pPr>
              <w:ind w:firstLine="480"/>
              <w:rPr>
                <w:color w:val="000000" w:themeColor="text1"/>
              </w:rPr>
            </w:pPr>
            <w:r>
              <w:rPr>
                <w:color w:val="000000" w:themeColor="text1"/>
              </w:rPr>
              <w:t>1、生产工艺流程</w:t>
            </w:r>
          </w:p>
          <w:p w14:paraId="07FEDA86">
            <w:pPr>
              <w:ind w:firstLine="480"/>
              <w:rPr>
                <w:color w:val="000000" w:themeColor="text1"/>
              </w:rPr>
            </w:pPr>
            <w:r>
              <w:rPr>
                <w:rFonts w:hint="eastAsia"/>
                <w:color w:val="000000" w:themeColor="text1"/>
              </w:rPr>
              <w:t>（1）</w:t>
            </w:r>
            <w:r>
              <w:rPr>
                <w:color w:val="000000" w:themeColor="text1"/>
              </w:rPr>
              <w:t>原料储运</w:t>
            </w:r>
          </w:p>
          <w:p w14:paraId="3917DA97">
            <w:pPr>
              <w:ind w:firstLine="480"/>
              <w:rPr>
                <w:color w:val="000000" w:themeColor="text1"/>
              </w:rPr>
            </w:pPr>
            <w:r>
              <w:rPr>
                <w:rFonts w:hint="eastAsia"/>
                <w:color w:val="000000" w:themeColor="text1"/>
              </w:rPr>
              <w:t>生物质能源颗粒原料主要为木废边角料锯末（湿料，含水率30%）、锯末（干料，含水率15%），均为外购。外购锯末</w:t>
            </w:r>
            <w:r>
              <w:rPr>
                <w:color w:val="000000" w:themeColor="text1"/>
              </w:rPr>
              <w:t>由汽车运输进厂，</w:t>
            </w:r>
            <w:r>
              <w:rPr>
                <w:rFonts w:hint="eastAsia"/>
                <w:color w:val="000000" w:themeColor="text1"/>
              </w:rPr>
              <w:t>分别</w:t>
            </w:r>
            <w:r>
              <w:rPr>
                <w:color w:val="000000" w:themeColor="text1"/>
              </w:rPr>
              <w:t>储存于</w:t>
            </w:r>
            <w:r>
              <w:rPr>
                <w:rFonts w:hint="eastAsia"/>
                <w:color w:val="000000" w:themeColor="text1"/>
              </w:rPr>
              <w:t>厂房</w:t>
            </w:r>
            <w:r>
              <w:rPr>
                <w:color w:val="000000" w:themeColor="text1"/>
              </w:rPr>
              <w:t>内的锯末（湿料）原料区</w:t>
            </w:r>
            <w:r>
              <w:rPr>
                <w:rFonts w:hint="eastAsia"/>
                <w:color w:val="000000" w:themeColor="text1"/>
              </w:rPr>
              <w:t>、锯末（干料）原料区</w:t>
            </w:r>
            <w:r>
              <w:rPr>
                <w:color w:val="000000" w:themeColor="text1"/>
              </w:rPr>
              <w:t>。</w:t>
            </w:r>
          </w:p>
          <w:p w14:paraId="1CC43403">
            <w:pPr>
              <w:ind w:firstLine="480"/>
              <w:rPr>
                <w:color w:val="000000" w:themeColor="text1"/>
              </w:rPr>
            </w:pPr>
            <w:r>
              <w:rPr>
                <w:rFonts w:hint="eastAsia"/>
                <w:color w:val="000000" w:themeColor="text1"/>
              </w:rPr>
              <w:t>由于原料锯末含水率较高，且在封闭厂房内的原料区内储存，装卸及堆存过程产尘量较小，在厂房内无组织排放。运输过程采用加盖篷布的车辆密闭遮盖，运输过程基本无粉尘产生。</w:t>
            </w:r>
          </w:p>
          <w:p w14:paraId="3EB91ED3">
            <w:pPr>
              <w:ind w:firstLine="482"/>
              <w:rPr>
                <w:b/>
                <w:bCs/>
                <w:color w:val="000000" w:themeColor="text1"/>
              </w:rPr>
            </w:pPr>
            <w:r>
              <w:rPr>
                <w:b/>
                <w:bCs/>
                <w:color w:val="000000" w:themeColor="text1"/>
              </w:rPr>
              <w:t>本工序产污节点：</w:t>
            </w:r>
            <w:r>
              <w:rPr>
                <w:rFonts w:hint="eastAsia"/>
                <w:b/>
                <w:bCs/>
                <w:color w:val="000000" w:themeColor="text1"/>
              </w:rPr>
              <w:t>原料装卸、堆存过程产生的少量颗粒物。</w:t>
            </w:r>
          </w:p>
          <w:p w14:paraId="79231624">
            <w:pPr>
              <w:ind w:firstLine="480"/>
              <w:rPr>
                <w:color w:val="000000" w:themeColor="text1"/>
              </w:rPr>
            </w:pPr>
            <w:r>
              <w:rPr>
                <w:rFonts w:hint="eastAsia"/>
                <w:color w:val="000000" w:themeColor="text1"/>
              </w:rPr>
              <w:t>（2）上料、筛分</w:t>
            </w:r>
          </w:p>
          <w:p w14:paraId="7A08059C">
            <w:pPr>
              <w:ind w:firstLine="480"/>
              <w:rPr>
                <w:color w:val="000000" w:themeColor="text1"/>
              </w:rPr>
            </w:pPr>
            <w:r>
              <w:rPr>
                <w:rFonts w:hint="eastAsia"/>
                <w:color w:val="000000" w:themeColor="text1"/>
              </w:rPr>
              <w:t>锯末（湿料，含水率30%）使用铲车从原料区转运上料至上料斗内，由全封闭绞龙输送至滚筒筛（滚筒筛全封闭），筛分出大块木废边角料暂存于一般固废储存区，筛下料由全封闭皮带输送机输送至中间料斗，再由全封闭皮带输送机输送至料斗内。</w:t>
            </w:r>
          </w:p>
          <w:p w14:paraId="57B46077">
            <w:pPr>
              <w:ind w:firstLine="480"/>
              <w:rPr>
                <w:color w:val="000000" w:themeColor="text1"/>
              </w:rPr>
            </w:pPr>
            <w:r>
              <w:rPr>
                <w:rFonts w:hint="eastAsia"/>
                <w:color w:val="000000" w:themeColor="text1"/>
              </w:rPr>
              <w:t>绞龙、滚筒筛、皮带输送机、中间料斗、料斗均为全封闭设施，且绞龙、皮带输送机与滚筒筛、中间料斗、料斗等封闭连接，湿料锯末在筛分、物料输送、暂存过程无粉尘产生；由于原料含水率较高，铲车转运、上料斗上料过程产尘量较小，在厂房内无组织排放。</w:t>
            </w:r>
          </w:p>
          <w:p w14:paraId="1CA70389">
            <w:pPr>
              <w:ind w:firstLine="482"/>
              <w:rPr>
                <w:color w:val="000000" w:themeColor="text1"/>
              </w:rPr>
            </w:pPr>
            <w:r>
              <w:rPr>
                <w:b/>
                <w:bCs/>
                <w:color w:val="000000" w:themeColor="text1"/>
              </w:rPr>
              <w:t>本工序产污节点：</w:t>
            </w:r>
            <w:r>
              <w:rPr>
                <w:rFonts w:hint="eastAsia"/>
                <w:b/>
                <w:bCs/>
                <w:color w:val="000000" w:themeColor="text1"/>
              </w:rPr>
              <w:t>铲车转运、上料斗上料过程产生的少量颗粒物；绞龙、滚筒筛、皮带输送机</w:t>
            </w:r>
            <w:r>
              <w:rPr>
                <w:b/>
                <w:bCs/>
                <w:color w:val="000000" w:themeColor="text1"/>
              </w:rPr>
              <w:t>运行噪声；</w:t>
            </w:r>
            <w:r>
              <w:rPr>
                <w:rFonts w:hint="eastAsia"/>
                <w:b/>
                <w:bCs/>
                <w:color w:val="000000" w:themeColor="text1"/>
              </w:rPr>
              <w:t>筛分</w:t>
            </w:r>
            <w:r>
              <w:rPr>
                <w:b/>
                <w:bCs/>
                <w:color w:val="000000" w:themeColor="text1"/>
              </w:rPr>
              <w:t>过程产生</w:t>
            </w:r>
            <w:r>
              <w:rPr>
                <w:rFonts w:hint="eastAsia"/>
                <w:b/>
                <w:bCs/>
                <w:color w:val="000000" w:themeColor="text1"/>
              </w:rPr>
              <w:t>的大块木废边角料</w:t>
            </w:r>
            <w:r>
              <w:rPr>
                <w:b/>
                <w:bCs/>
                <w:color w:val="000000" w:themeColor="text1"/>
              </w:rPr>
              <w:t>。</w:t>
            </w:r>
          </w:p>
          <w:p w14:paraId="48235C34">
            <w:pPr>
              <w:ind w:firstLine="480"/>
              <w:rPr>
                <w:color w:val="000000" w:themeColor="text1"/>
              </w:rPr>
            </w:pPr>
            <w:r>
              <w:rPr>
                <w:rFonts w:hint="eastAsia"/>
                <w:color w:val="000000" w:themeColor="text1"/>
              </w:rPr>
              <w:t>（3）烘干</w:t>
            </w:r>
          </w:p>
          <w:p w14:paraId="3950004A">
            <w:pPr>
              <w:ind w:firstLine="480"/>
              <w:rPr>
                <w:color w:val="000000" w:themeColor="text1"/>
              </w:rPr>
            </w:pPr>
            <w:r>
              <w:rPr>
                <w:rFonts w:hint="eastAsia"/>
                <w:color w:val="000000" w:themeColor="text1"/>
              </w:rPr>
              <w:t>湿料锯末含水率较高，不能满足生物质制粒条件，需对物料进行烘干处理，烘干后物料含水率15%。使用全封闭皮带输送机将物料从料斗内输送至烘干机进行烘干，烘干机采用三筒烘干机，物料经过三道筒体内回旋，充分利用热能将物料烘干至指定水分要求。物料由供料装置进入回转滚筒的内层，实现顺流烘干，物料在内层的抄板下不断抄起、散落呈螺旋行进式实现热交换，物料移动至内层的另一端进入中层，进行逆流烘干，物料在中层不断地被反复扬进，呈进两步退一步的行进方式，物料在中层既充分吸收内层滚筒散发的热量，又吸收中层滚筒的热量，同时又延长了干燥时间，物料在此达到最佳干燥状态。物料行至中层另一端而落入外层，物料在外层滚筒内呈矩形多回路方式行进，达到干燥效果的物料在热风作用下快速行进排出滚筒，没有达到干燥效果的湿物料因自重而不能快速行进，物料在此矩形抄板内进行充分干燥，由此完成干燥目的。</w:t>
            </w:r>
          </w:p>
          <w:p w14:paraId="3BD9997C">
            <w:pPr>
              <w:ind w:firstLine="480"/>
              <w:rPr>
                <w:color w:val="000000" w:themeColor="text1"/>
              </w:rPr>
            </w:pPr>
            <w:r>
              <w:rPr>
                <w:rFonts w:hint="eastAsia"/>
                <w:color w:val="000000" w:themeColor="text1"/>
              </w:rPr>
              <w:t>本项目采用1台热风炉为烘干机提供热源，热风炉燃料为自产生物质能源颗粒，使用叉车将吨包生物质能源颗粒提升至料斗上料口位置后拆袋上料至料斗，通过全封闭绞龙输送至斗提机，通过斗提机落料至热风炉炉膛顶部进料口投入，依靠重力自然下落至燃烧区燃烧。烘干机为全封闭工作，热风炉燃烧生物质能源颗粒产生高温烟气，热风炉高温烟气温度约800~1000℃，同时项目设置一台配风机（15000m</w:t>
            </w:r>
            <w:r>
              <w:rPr>
                <w:rFonts w:hint="eastAsia"/>
                <w:color w:val="000000" w:themeColor="text1"/>
                <w:vertAlign w:val="superscript"/>
              </w:rPr>
              <w:t>3</w:t>
            </w:r>
            <w:r>
              <w:rPr>
                <w:rFonts w:hint="eastAsia"/>
                <w:color w:val="000000" w:themeColor="text1"/>
              </w:rPr>
              <w:t>/h），将配风机吸入的冷空气与热风炉燃烧生物质能源颗粒产生的高温烟气进行混合，混合后的气体通过管道进入烘干机滚筒进行烘干，烘干方式为直接与物料接触烘干，物料停留时间约为25min。配风时，项目设置冷风混合阀，控制热风温度，保证烘干机入口气体温度为80~110℃，避免因温度过高导致烘干物料受损或引发安全隐患（烘干时，物料实际温度一般低于热风温度15~25</w:t>
            </w:r>
            <w:r>
              <w:rPr>
                <w:color w:val="000000" w:themeColor="text1"/>
              </w:rPr>
              <w:t>℃</w:t>
            </w:r>
            <w:r>
              <w:rPr>
                <w:rFonts w:hint="eastAsia"/>
                <w:color w:val="000000" w:themeColor="text1"/>
              </w:rPr>
              <w:t>）。热风炉配套设置冷却塔及冷却水箱，提供冷却水间接冷却热风炉炉膛、燃烧器等高温部件。热风炉燃料燃尽后的灰渣通过炉排缝隙自然下落至底部灰斗，定期打开灰斗门人工清理，集中收集后外售用作农田肥料。项目生产的生物质能源颗粒规格为φ8mm、长3~5cm，粒径较大，且采用吨包袋转运上料，料斗三面围挡并在另一侧设置软帘，叉车上料、绞龙输送、斗提机落料过程基本无粉尘产生。</w:t>
            </w:r>
          </w:p>
          <w:p w14:paraId="3E643EED">
            <w:pPr>
              <w:ind w:firstLine="482"/>
              <w:rPr>
                <w:color w:val="000000" w:themeColor="text1"/>
              </w:rPr>
            </w:pPr>
            <w:r>
              <w:rPr>
                <w:b/>
                <w:bCs/>
                <w:color w:val="000000" w:themeColor="text1"/>
              </w:rPr>
              <w:t>本工序产污节点：烘干废气</w:t>
            </w:r>
            <w:r>
              <w:rPr>
                <w:rFonts w:hint="eastAsia"/>
                <w:b/>
                <w:bCs/>
                <w:color w:val="000000" w:themeColor="text1"/>
              </w:rPr>
              <w:t>（</w:t>
            </w:r>
            <w:r>
              <w:rPr>
                <w:b/>
                <w:bCs/>
                <w:color w:val="000000" w:themeColor="text1"/>
              </w:rPr>
              <w:t>包括热风炉燃料燃烧废气</w:t>
            </w:r>
            <w:r>
              <w:rPr>
                <w:rFonts w:hint="eastAsia"/>
                <w:b/>
                <w:bCs/>
                <w:color w:val="000000" w:themeColor="text1"/>
              </w:rPr>
              <w:t>和</w:t>
            </w:r>
            <w:r>
              <w:rPr>
                <w:b/>
                <w:bCs/>
                <w:color w:val="000000" w:themeColor="text1"/>
              </w:rPr>
              <w:t>物料烘干工艺废气</w:t>
            </w:r>
            <w:r>
              <w:rPr>
                <w:rFonts w:hint="eastAsia"/>
                <w:b/>
                <w:bCs/>
                <w:color w:val="000000" w:themeColor="text1"/>
              </w:rPr>
              <w:t>，颗粒物、SO</w:t>
            </w:r>
            <w:r>
              <w:rPr>
                <w:rFonts w:hint="eastAsia"/>
                <w:b/>
                <w:bCs/>
                <w:color w:val="000000" w:themeColor="text1"/>
                <w:vertAlign w:val="subscript"/>
              </w:rPr>
              <w:t>2</w:t>
            </w:r>
            <w:r>
              <w:rPr>
                <w:rFonts w:hint="eastAsia"/>
                <w:b/>
                <w:bCs/>
                <w:color w:val="000000" w:themeColor="text1"/>
              </w:rPr>
              <w:t>、NO</w:t>
            </w:r>
            <w:r>
              <w:rPr>
                <w:rFonts w:hint="eastAsia"/>
                <w:b/>
                <w:bCs/>
                <w:color w:val="000000" w:themeColor="text1"/>
                <w:vertAlign w:val="subscript"/>
              </w:rPr>
              <w:t>X</w:t>
            </w:r>
            <w:r>
              <w:rPr>
                <w:rFonts w:hint="eastAsia"/>
                <w:b/>
                <w:bCs/>
                <w:color w:val="000000" w:themeColor="text1"/>
              </w:rPr>
              <w:t>、汞、烟气黑度）；热风炉冷却过程排污水；皮带输送机、烘干机、斗提机、绞龙</w:t>
            </w:r>
            <w:r>
              <w:rPr>
                <w:b/>
                <w:bCs/>
                <w:color w:val="000000" w:themeColor="text1"/>
              </w:rPr>
              <w:t>运行噪声；</w:t>
            </w:r>
            <w:r>
              <w:rPr>
                <w:rFonts w:hint="eastAsia"/>
                <w:b/>
                <w:bCs/>
                <w:color w:val="000000" w:themeColor="text1"/>
              </w:rPr>
              <w:t>热风炉炉排下方排出的灰渣</w:t>
            </w:r>
            <w:r>
              <w:rPr>
                <w:b/>
                <w:bCs/>
                <w:color w:val="000000" w:themeColor="text1"/>
              </w:rPr>
              <w:t>。</w:t>
            </w:r>
          </w:p>
          <w:p w14:paraId="58D83687">
            <w:pPr>
              <w:ind w:firstLine="480"/>
              <w:rPr>
                <w:color w:val="000000" w:themeColor="text1"/>
              </w:rPr>
            </w:pPr>
            <w:r>
              <w:rPr>
                <w:rFonts w:hint="eastAsia"/>
                <w:color w:val="000000" w:themeColor="text1"/>
              </w:rPr>
              <w:t>（4）砂石分离</w:t>
            </w:r>
          </w:p>
          <w:p w14:paraId="5A8AF1F6">
            <w:pPr>
              <w:ind w:firstLine="480"/>
              <w:rPr>
                <w:color w:val="000000" w:themeColor="text1"/>
              </w:rPr>
            </w:pPr>
            <w:r>
              <w:rPr>
                <w:rFonts w:hint="eastAsia"/>
                <w:color w:val="000000" w:themeColor="text1"/>
              </w:rPr>
              <w:t>烘干机尾部与砂石分离器封闭连接，烘干后的物料进入砂石分离器去除原料中可能混入的石子等硬质杂质，避免进入生物质制粒机损坏设备，保证产品质量。分离出硬质杂质后的物料通过全封闭皮带输送机输送至中转仓暂存，中转仓封闭设置，顶部为三面围挡，一侧开口（为入料口，设置软帘），仓顶设顶棚。</w:t>
            </w:r>
          </w:p>
          <w:p w14:paraId="752C0561">
            <w:pPr>
              <w:ind w:firstLine="480"/>
              <w:rPr>
                <w:color w:val="000000" w:themeColor="text1"/>
              </w:rPr>
            </w:pPr>
            <w:r>
              <w:rPr>
                <w:rFonts w:hint="eastAsia"/>
                <w:color w:val="000000" w:themeColor="text1"/>
              </w:rPr>
              <w:t>皮带输送机为全封闭，头部与砂石分离器封闭连接，尾部位于中转仓内，皮带输送过程无粉尘产生，皮带落料过程废气位于中转仓内；砂石分离器全封闭，砂石分离过程无粉尘产生。</w:t>
            </w:r>
          </w:p>
          <w:p w14:paraId="28E48A25">
            <w:pPr>
              <w:ind w:firstLine="482"/>
              <w:rPr>
                <w:b/>
                <w:bCs/>
                <w:color w:val="000000" w:themeColor="text1"/>
              </w:rPr>
            </w:pPr>
            <w:r>
              <w:rPr>
                <w:b/>
                <w:bCs/>
                <w:color w:val="000000" w:themeColor="text1"/>
              </w:rPr>
              <w:t>本工序产污节点：</w:t>
            </w:r>
            <w:r>
              <w:rPr>
                <w:rFonts w:hint="eastAsia"/>
                <w:b/>
                <w:bCs/>
                <w:color w:val="000000" w:themeColor="text1"/>
              </w:rPr>
              <w:t>中转仓内皮带落料过程产生的颗粒物；砂石分离器、皮带输送机运行噪声；砂石分离器分离出的石子等硬质杂质。</w:t>
            </w:r>
          </w:p>
          <w:p w14:paraId="7842B5C8">
            <w:pPr>
              <w:ind w:firstLine="480"/>
              <w:rPr>
                <w:color w:val="000000" w:themeColor="text1"/>
              </w:rPr>
            </w:pPr>
            <w:r>
              <w:rPr>
                <w:rFonts w:hint="eastAsia"/>
                <w:color w:val="000000" w:themeColor="text1"/>
              </w:rPr>
              <w:t>（5）制粒</w:t>
            </w:r>
          </w:p>
          <w:p w14:paraId="1906ED2F">
            <w:pPr>
              <w:ind w:firstLine="480"/>
              <w:rPr>
                <w:color w:val="000000" w:themeColor="text1"/>
              </w:rPr>
            </w:pPr>
            <w:r>
              <w:rPr>
                <w:rFonts w:hint="eastAsia"/>
                <w:color w:val="000000" w:themeColor="text1"/>
              </w:rPr>
              <w:t>原料锯末（干料，含水率15%）使用铲车从原料区转运上料至中转仓内，与中转仓内烘干后的含水率15%的锯末混合后，通过全封闭皮带输送机输送至生物质颗粒机制粒成型。制粒过程水分自然蒸发，制粒后成品生物质能源颗粒含水率为7%。</w:t>
            </w:r>
          </w:p>
          <w:p w14:paraId="1D8F703C">
            <w:pPr>
              <w:ind w:firstLine="480"/>
              <w:rPr>
                <w:color w:val="000000" w:themeColor="text1"/>
              </w:rPr>
            </w:pPr>
            <w:r>
              <w:rPr>
                <w:rFonts w:hint="eastAsia"/>
                <w:color w:val="000000" w:themeColor="text1"/>
              </w:rPr>
              <w:t>物料被送入生物质颗粒机的喂料室，在分料器和刮板的共同作用下均匀地铺在平模上，再将物料挤压进入模孔，物料在模孔中经历成型、保型等过程。由于在生物质颗粒机内压力增大，粒子本身发生变形和塑性流动，并在摩擦作用下产生大量热量，温度约为70~90℃，导致原料中含有的木质素软化，粘合力增加，软化的木质素和生物质中固有的纤维素联合作用，使生物质逐渐成型，一定时间后以圆柱状被挤出，旋转的切刀将物料切断，形成圆柱形，经出料口落至溜槽内。整个过程为物理挤压成型，不添加任何粘连剂。</w:t>
            </w:r>
          </w:p>
          <w:p w14:paraId="2325C180">
            <w:pPr>
              <w:ind w:firstLine="480"/>
              <w:rPr>
                <w:color w:val="000000" w:themeColor="text1"/>
              </w:rPr>
            </w:pPr>
            <w:r>
              <w:rPr>
                <w:rFonts w:hint="eastAsia"/>
                <w:color w:val="000000" w:themeColor="text1"/>
              </w:rPr>
              <w:t>全封闭皮带输送机头部位于中转仓内，尾部与生物质颗粒机封闭连接，皮带输送过程无粉尘产生。</w:t>
            </w:r>
          </w:p>
          <w:p w14:paraId="386F033A">
            <w:pPr>
              <w:ind w:firstLine="482"/>
              <w:rPr>
                <w:color w:val="000000" w:themeColor="text1"/>
              </w:rPr>
            </w:pPr>
            <w:r>
              <w:rPr>
                <w:b/>
                <w:bCs/>
                <w:color w:val="000000" w:themeColor="text1"/>
              </w:rPr>
              <w:t>本工序产污节点：</w:t>
            </w:r>
            <w:r>
              <w:rPr>
                <w:rFonts w:hint="eastAsia"/>
                <w:b/>
                <w:bCs/>
                <w:color w:val="000000" w:themeColor="text1"/>
              </w:rPr>
              <w:t>铲车转运、中转仓入料过程产生的颗粒物，制粒过程产生的颗粒物；皮带输送机、生物质颗粒机运行噪声。</w:t>
            </w:r>
          </w:p>
          <w:p w14:paraId="69AABA62">
            <w:pPr>
              <w:ind w:firstLine="480"/>
              <w:rPr>
                <w:color w:val="000000" w:themeColor="text1"/>
              </w:rPr>
            </w:pPr>
            <w:r>
              <w:rPr>
                <w:rFonts w:hint="eastAsia"/>
                <w:color w:val="000000" w:themeColor="text1"/>
              </w:rPr>
              <w:t>（6）筛分</w:t>
            </w:r>
          </w:p>
          <w:p w14:paraId="164751D8">
            <w:pPr>
              <w:ind w:firstLine="480"/>
              <w:rPr>
                <w:color w:val="000000" w:themeColor="text1"/>
              </w:rPr>
            </w:pPr>
            <w:r>
              <w:rPr>
                <w:rFonts w:hint="eastAsia"/>
                <w:color w:val="000000" w:themeColor="text1"/>
              </w:rPr>
              <w:t>生物质颗粒机出料口的成品落至全封闭溜槽内，溜槽与振筛封闭连接，振筛为全封闭，筛分出粒径小于8mm的不合格品经袋装收集后人工转移至中转仓返料至生物质颗粒机重新制粒，8mm粒径的成品生物质能源颗粒通过全封闭皮带输送机输送至成品网状料仓。皮带输送机为全封闭，物料输送过程无粉尘产生。</w:t>
            </w:r>
          </w:p>
          <w:p w14:paraId="6F4E23EB">
            <w:pPr>
              <w:ind w:firstLine="482"/>
              <w:rPr>
                <w:color w:val="000000" w:themeColor="text1"/>
              </w:rPr>
            </w:pPr>
            <w:r>
              <w:rPr>
                <w:b/>
                <w:bCs/>
                <w:color w:val="000000" w:themeColor="text1"/>
              </w:rPr>
              <w:t>本工序产污节点：</w:t>
            </w:r>
            <w:r>
              <w:rPr>
                <w:rFonts w:hint="eastAsia"/>
                <w:b/>
                <w:bCs/>
                <w:color w:val="000000" w:themeColor="text1"/>
              </w:rPr>
              <w:t>筛分过程及筛下料落料过程产生的颗粒物；振筛、皮带输送机运行噪声。</w:t>
            </w:r>
          </w:p>
          <w:p w14:paraId="5894BAA0">
            <w:pPr>
              <w:ind w:firstLine="480"/>
              <w:rPr>
                <w:color w:val="000000" w:themeColor="text1"/>
              </w:rPr>
            </w:pPr>
            <w:r>
              <w:rPr>
                <w:color w:val="000000" w:themeColor="text1"/>
              </w:rPr>
              <w:t>（7）</w:t>
            </w:r>
            <w:r>
              <w:rPr>
                <w:rFonts w:hint="eastAsia" w:ascii="宋体" w:hAnsi="宋体" w:cs="宋体"/>
                <w:color w:val="000000" w:themeColor="text1"/>
              </w:rPr>
              <w:t>冷却</w:t>
            </w:r>
          </w:p>
          <w:p w14:paraId="6BCA0D52">
            <w:pPr>
              <w:ind w:firstLine="480"/>
              <w:rPr>
                <w:color w:val="000000" w:themeColor="text1"/>
              </w:rPr>
            </w:pPr>
            <w:r>
              <w:rPr>
                <w:rFonts w:hint="eastAsia"/>
                <w:color w:val="000000" w:themeColor="text1"/>
              </w:rPr>
              <w:t>制粒后的成品生物质能源颗粒输送至成品网状料仓内暂存，在成品网状料仓内经自然冷却+风扇冷却降温至30℃以下后进入包装工序。</w:t>
            </w:r>
          </w:p>
          <w:p w14:paraId="52694304">
            <w:pPr>
              <w:ind w:firstLine="482"/>
              <w:rPr>
                <w:color w:val="000000" w:themeColor="text1"/>
              </w:rPr>
            </w:pPr>
            <w:r>
              <w:rPr>
                <w:b/>
                <w:bCs/>
                <w:color w:val="000000" w:themeColor="text1"/>
              </w:rPr>
              <w:t>本工序产污节点：</w:t>
            </w:r>
            <w:r>
              <w:rPr>
                <w:rFonts w:hint="eastAsia"/>
                <w:b/>
                <w:bCs/>
                <w:color w:val="000000" w:themeColor="text1"/>
              </w:rPr>
              <w:t>成品料仓入料过程及冷却过程产生的颗粒物。</w:t>
            </w:r>
          </w:p>
          <w:p w14:paraId="3394204E">
            <w:pPr>
              <w:ind w:firstLine="480"/>
              <w:rPr>
                <w:color w:val="000000" w:themeColor="text1"/>
              </w:rPr>
            </w:pPr>
            <w:r>
              <w:rPr>
                <w:rFonts w:hint="eastAsia"/>
                <w:color w:val="000000" w:themeColor="text1"/>
              </w:rPr>
              <w:t>（8）包装</w:t>
            </w:r>
          </w:p>
          <w:p w14:paraId="1F47F8A3">
            <w:pPr>
              <w:ind w:firstLine="480"/>
              <w:rPr>
                <w:color w:val="000000" w:themeColor="text1"/>
              </w:rPr>
            </w:pPr>
            <w:r>
              <w:rPr>
                <w:rFonts w:hint="eastAsia"/>
                <w:color w:val="000000" w:themeColor="text1"/>
              </w:rPr>
              <w:t>根据客户需求，本项目成品生物质能源颗粒采用吨包袋装和25kg/袋小袋包装，25kg/袋小袋包装需使用打包机。成品网状料仓底部设计有两个独立出口，分别进行吨包袋装和小袋包装。吨包装袋出料口与全封闭皮带输送机封闭连接，物料从料仓出料口经皮带输送机</w:t>
            </w:r>
            <w:r>
              <w:rPr>
                <w:rFonts w:hint="eastAsia"/>
                <w:snapToGrid w:val="0"/>
                <w:color w:val="000000" w:themeColor="text1"/>
                <w:kern w:val="0"/>
              </w:rPr>
              <w:t>输送到吨包袋进行吨包包装，吨包袋装能力为15t/h，</w:t>
            </w:r>
            <w:r>
              <w:rPr>
                <w:rFonts w:hint="eastAsia"/>
                <w:color w:val="000000" w:themeColor="text1"/>
              </w:rPr>
              <w:t>吨包袋包装完成后采用人工封口的方式进行封口；小袋包装出料口连接打包机，打包机自带自动封口装置，封口方式均为线缝，封口后使用叉车送入成品区储存待售。皮带输送机为全封闭，物料输送过程无粉尘产生。</w:t>
            </w:r>
          </w:p>
          <w:p w14:paraId="4B8F1DDA">
            <w:pPr>
              <w:ind w:firstLine="482"/>
              <w:rPr>
                <w:b/>
                <w:bCs/>
                <w:color w:val="000000" w:themeColor="text1"/>
              </w:rPr>
            </w:pPr>
            <w:r>
              <w:rPr>
                <w:b/>
                <w:bCs/>
                <w:color w:val="000000" w:themeColor="text1"/>
              </w:rPr>
              <w:t>本工序产污节点：</w:t>
            </w:r>
            <w:r>
              <w:rPr>
                <w:rFonts w:hint="eastAsia"/>
                <w:b/>
                <w:bCs/>
                <w:color w:val="000000" w:themeColor="text1"/>
              </w:rPr>
              <w:t>成品皮带输送机落料过程（吨包袋包装过程）、打包机包装过程产生的颗粒物；打包机、皮带输送机运行噪声；包装过程产生的废包装袋。</w:t>
            </w:r>
          </w:p>
          <w:p w14:paraId="73B9BF3B">
            <w:pPr>
              <w:ind w:firstLine="480"/>
              <w:rPr>
                <w:color w:val="000000" w:themeColor="text1"/>
              </w:rPr>
            </w:pPr>
            <w:r>
              <w:rPr>
                <w:rFonts w:hint="eastAsia"/>
                <w:color w:val="000000" w:themeColor="text1"/>
              </w:rPr>
              <w:t>生物质能源颗粒生产工艺流程及排污节点图见下图。</w:t>
            </w:r>
          </w:p>
          <w:p w14:paraId="14D6921A">
            <w:pPr>
              <w:ind w:firstLine="0" w:firstLineChars="0"/>
              <w:jc w:val="center"/>
              <w:rPr>
                <w:color w:val="000000" w:themeColor="text1"/>
              </w:rPr>
            </w:pPr>
            <w:r>
              <w:rPr>
                <w:b/>
                <w:bCs/>
                <w:color w:val="000000" w:themeColor="text1"/>
                <w:sz w:val="21"/>
                <w:szCs w:val="21"/>
              </w:rPr>
              <w:pict>
                <v:shape id="_x0000_s1080" o:spid="_x0000_s1080" o:spt="75" type="#_x0000_t75" style="position:absolute;left:0pt;margin-left:0.15pt;margin-top:-627.6pt;height:646.8pt;width:403.8pt;mso-wrap-distance-left:9pt;mso-wrap-distance-right:9pt;z-index:-251649024;mso-width-relative:page;mso-height-relative:page;" o:ole="t" filled="f" o:preferrelative="t" stroked="f" coordsize="21600,21600" wrapcoords="21592 -2 0 0 0 21600 21592 21602 8 21602 21600 21600 21600 0 8 -2 21592 -2">
                  <v:path/>
                  <v:fill on="f" focussize="0,0"/>
                  <v:stroke on="f" joinstyle="miter"/>
                  <v:imagedata r:id="rId16" o:title=""/>
                  <o:lock v:ext="edit" aspectratio="f"/>
                  <w10:wrap type="tight"/>
                </v:shape>
                <o:OLEObject Type="Embed" ProgID="Visio.Drawing.11" ShapeID="_x0000_s1080" DrawAspect="Content" ObjectID="_1468075726" r:id="rId15">
                  <o:LockedField>false</o:LockedField>
                </o:OLEObject>
              </w:pict>
            </w:r>
            <w:r>
              <w:rPr>
                <w:rFonts w:hint="eastAsia"/>
                <w:b/>
                <w:bCs/>
                <w:color w:val="000000" w:themeColor="text1"/>
                <w:sz w:val="21"/>
                <w:szCs w:val="21"/>
              </w:rPr>
              <w:t>图4   生物质能源颗粒生产工艺流程及排污节点图</w:t>
            </w:r>
          </w:p>
          <w:p w14:paraId="16A57D6A">
            <w:pPr>
              <w:ind w:firstLine="480"/>
              <w:rPr>
                <w:color w:val="000000" w:themeColor="text1"/>
              </w:rPr>
            </w:pPr>
          </w:p>
          <w:p w14:paraId="7E1E8968">
            <w:pPr>
              <w:ind w:firstLine="480"/>
              <w:rPr>
                <w:color w:val="000000" w:themeColor="text1"/>
              </w:rPr>
            </w:pPr>
            <w:r>
              <w:rPr>
                <w:color w:val="000000" w:themeColor="text1"/>
              </w:rPr>
              <w:t>2、环保工程</w:t>
            </w:r>
          </w:p>
          <w:p w14:paraId="2E050E65">
            <w:pPr>
              <w:ind w:firstLine="480"/>
              <w:rPr>
                <w:color w:val="000000" w:themeColor="text1"/>
              </w:rPr>
            </w:pPr>
            <w:r>
              <w:rPr>
                <w:rFonts w:hint="eastAsia"/>
                <w:color w:val="000000" w:themeColor="text1"/>
              </w:rPr>
              <w:t>1）有组织废气</w:t>
            </w:r>
          </w:p>
          <w:p w14:paraId="11F2C596">
            <w:pPr>
              <w:ind w:firstLine="480"/>
              <w:rPr>
                <w:color w:val="000000" w:themeColor="text1"/>
              </w:rPr>
            </w:pPr>
            <w:r>
              <w:rPr>
                <w:rFonts w:hint="eastAsia"/>
                <w:color w:val="000000" w:themeColor="text1"/>
              </w:rPr>
              <w:t>①烘干废气</w:t>
            </w:r>
          </w:p>
          <w:p w14:paraId="475186EC">
            <w:pPr>
              <w:ind w:firstLine="480"/>
              <w:rPr>
                <w:color w:val="000000" w:themeColor="text1"/>
              </w:rPr>
            </w:pPr>
            <w:r>
              <w:rPr>
                <w:rFonts w:hint="eastAsia"/>
                <w:color w:val="000000" w:themeColor="text1"/>
              </w:rPr>
              <w:t>烘干废气包括热风炉燃料燃烧废气和物料烘干工艺废气。</w:t>
            </w:r>
          </w:p>
          <w:p w14:paraId="382F71AE">
            <w:pPr>
              <w:ind w:firstLine="480"/>
              <w:rPr>
                <w:color w:val="000000" w:themeColor="text1"/>
              </w:rPr>
            </w:pPr>
            <w:r>
              <w:rPr>
                <w:rFonts w:hint="eastAsia"/>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p>
          <w:p w14:paraId="31ABC9FC">
            <w:pPr>
              <w:ind w:firstLine="482"/>
              <w:rPr>
                <w:b/>
                <w:bCs/>
                <w:color w:val="000000" w:themeColor="text1"/>
              </w:rPr>
            </w:pPr>
            <w:r>
              <w:rPr>
                <w:rFonts w:hint="eastAsia"/>
                <w:b/>
                <w:bCs/>
                <w:color w:val="000000" w:themeColor="text1"/>
              </w:rPr>
              <w:t>本工序产污节点：除尘器风机运行噪声；除尘器除尘灰、废布袋。</w:t>
            </w:r>
          </w:p>
          <w:p w14:paraId="7D671794">
            <w:pPr>
              <w:ind w:firstLine="480"/>
              <w:rPr>
                <w:color w:val="000000" w:themeColor="text1"/>
              </w:rPr>
            </w:pPr>
            <w:r>
              <w:rPr>
                <w:rFonts w:hint="eastAsia"/>
                <w:color w:val="000000" w:themeColor="text1"/>
              </w:rPr>
              <w:t>烘干废气处理工艺流程及排污节点图见下图。</w:t>
            </w:r>
          </w:p>
          <w:p w14:paraId="53908D7E">
            <w:pPr>
              <w:ind w:firstLine="0" w:firstLineChars="0"/>
              <w:jc w:val="center"/>
              <w:rPr>
                <w:color w:val="000000" w:themeColor="text1"/>
              </w:rPr>
            </w:pPr>
            <w:r>
              <w:rPr>
                <w:color w:val="000000" w:themeColor="text1"/>
              </w:rPr>
              <w:pict>
                <v:shape id="_x0000_s1078" o:spid="_x0000_s1078" o:spt="75" type="#_x0000_t75" style="position:absolute;left:0pt;margin-left:4pt;margin-top:15.85pt;height:88.1pt;width:404pt;mso-wrap-distance-left:9pt;mso-wrap-distance-right:9pt;z-index:-251648000;mso-width-relative:page;mso-height-relative:page;" o:ole="t" filled="f" o:preferrelative="t" stroked="f" coordsize="21600,21600" wrapcoords="21592 -2 0 0 0 21600 21592 21602 8 21602 21600 21600 21600 0 8 -2 21592 -2">
                  <v:path/>
                  <v:fill on="f" focussize="0,0"/>
                  <v:stroke on="f" joinstyle="miter"/>
                  <v:imagedata r:id="rId18" o:title=""/>
                  <o:lock v:ext="edit" aspectratio="f"/>
                  <w10:wrap type="tight"/>
                </v:shape>
                <o:OLEObject Type="Embed" ProgID="Visio.Drawing.11" ShapeID="_x0000_s1078" DrawAspect="Content" ObjectID="_1468075727" r:id="rId17">
                  <o:LockedField>false</o:LockedField>
                </o:OLEObject>
              </w:pict>
            </w:r>
            <w:r>
              <w:rPr>
                <w:rStyle w:val="53"/>
                <w:color w:val="000000" w:themeColor="text1"/>
              </w:rPr>
              <w:t>图</w:t>
            </w:r>
            <w:r>
              <w:rPr>
                <w:rStyle w:val="53"/>
                <w:rFonts w:hint="eastAsia"/>
                <w:color w:val="000000" w:themeColor="text1"/>
              </w:rPr>
              <w:t>5</w:t>
            </w:r>
            <w:r>
              <w:rPr>
                <w:rStyle w:val="53"/>
                <w:color w:val="000000" w:themeColor="text1"/>
              </w:rPr>
              <w:t xml:space="preserve">  </w:t>
            </w:r>
            <w:r>
              <w:rPr>
                <w:rFonts w:hint="eastAsia"/>
                <w:b/>
                <w:bCs/>
                <w:color w:val="000000" w:themeColor="text1"/>
                <w:sz w:val="21"/>
                <w:szCs w:val="21"/>
              </w:rPr>
              <w:t>烘干废气</w:t>
            </w:r>
            <w:r>
              <w:rPr>
                <w:rStyle w:val="53"/>
                <w:color w:val="000000" w:themeColor="text1"/>
              </w:rPr>
              <w:t>处理工艺流程及排污节点图</w:t>
            </w:r>
          </w:p>
          <w:p w14:paraId="356B51A5">
            <w:pPr>
              <w:ind w:firstLine="480"/>
              <w:rPr>
                <w:color w:val="000000" w:themeColor="text1"/>
              </w:rPr>
            </w:pPr>
            <w:r>
              <w:rPr>
                <w:rFonts w:hint="eastAsia"/>
                <w:color w:val="000000" w:themeColor="text1"/>
              </w:rPr>
              <w:t>②中转仓落料及入料、制粒、筛分及筛下料落料、成品网状料仓入料及冷却、成品皮带输送机落料、打包机包装废气</w:t>
            </w:r>
          </w:p>
          <w:p w14:paraId="67800647">
            <w:pPr>
              <w:ind w:firstLine="480"/>
              <w:rPr>
                <w:color w:val="000000" w:themeColor="text1"/>
              </w:rPr>
            </w:pPr>
            <w:r>
              <w:rPr>
                <w:rFonts w:hint="eastAsia"/>
                <w:color w:val="000000" w:themeColor="text1"/>
              </w:rPr>
              <w:t>中转仓封闭设置，其入料口设软帘，顶部设置集气管收集中转仓内落料及入料废气；生物质颗粒机设备密闭，4台生物质颗粒机分别自带1台旋风除尘器预处理制粒过程产生的颗粒物；振筛设备密闭，设置集气管收集筛分过程废气；振筛出料口上方设置集气罩收集筛下料落料过程废气；成品网状料仓入料口上方设置集气罩收集料仓入料及冷却过程废气；成品皮带输送机落料点上方设置集气罩收集成品皮带输送机落料过程（吨包袋包装过程）废气；打包机侧方设置集气罩收集小袋包装过程废气。中转仓落料及入料废气、筛分及筛下料落料废气、成品网状料仓入料及冷却废气、成品皮带输送机落料废气、打包机包装废气同预处理后的制粒废气共用1台布袋除尘器处理后由1根15m高排气筒（DA002）排放。</w:t>
            </w:r>
          </w:p>
          <w:p w14:paraId="1A644AE1">
            <w:pPr>
              <w:ind w:firstLine="482"/>
              <w:rPr>
                <w:b/>
                <w:bCs/>
                <w:color w:val="000000" w:themeColor="text1"/>
              </w:rPr>
            </w:pPr>
            <w:r>
              <w:rPr>
                <w:rFonts w:hint="eastAsia"/>
                <w:b/>
                <w:bCs/>
                <w:color w:val="000000" w:themeColor="text1"/>
              </w:rPr>
              <w:t>本工序产污节点：除尘器风机运行噪声；除尘器除尘灰、废布袋。</w:t>
            </w:r>
          </w:p>
          <w:p w14:paraId="5679C4A9">
            <w:pPr>
              <w:ind w:firstLine="480"/>
              <w:rPr>
                <w:color w:val="000000" w:themeColor="text1"/>
              </w:rPr>
            </w:pPr>
            <w:r>
              <w:rPr>
                <w:rFonts w:hint="eastAsia"/>
                <w:color w:val="000000" w:themeColor="text1"/>
              </w:rPr>
              <w:t>中转仓落料及入料、制粒、筛分及筛下料落料、成品网状料仓入料及冷却、成品皮带输送机落料、打包机包装废气处理工艺流程及排污节点图见下图。</w:t>
            </w:r>
          </w:p>
          <w:p w14:paraId="7D36E0A6">
            <w:pPr>
              <w:ind w:firstLine="482"/>
              <w:rPr>
                <w:b/>
                <w:bCs/>
                <w:color w:val="000000" w:themeColor="text1"/>
              </w:rPr>
            </w:pPr>
            <w:r>
              <w:rPr>
                <w:b/>
                <w:bCs/>
                <w:color w:val="000000" w:themeColor="text1"/>
              </w:rPr>
              <w:pict>
                <v:shape id="_x0000_s1081" o:spid="_x0000_s1081" o:spt="75" type="#_x0000_t75" style="position:absolute;left:0pt;margin-left:10.5pt;margin-top:10.75pt;height:341.25pt;width:372.75pt;mso-wrap-distance-left:9pt;mso-wrap-distance-right:9pt;z-index:-251646976;mso-width-relative:page;mso-height-relative:page;" o:ole="t" filled="f" o:preferrelative="t" stroked="f" coordsize="21600,21600" wrapcoords="21592 -2 0 0 0 21600 21592 21602 8 21602 21600 21600 21600 0 8 -2 21592 -2">
                  <v:path/>
                  <v:fill on="f" focussize="0,0"/>
                  <v:stroke on="f" joinstyle="miter"/>
                  <v:imagedata r:id="rId20" o:title=""/>
                  <o:lock v:ext="edit" aspectratio="f"/>
                  <w10:wrap type="tight"/>
                </v:shape>
                <o:OLEObject Type="Embed" ProgID="Visio.Drawing.11" ShapeID="_x0000_s1081" DrawAspect="Content" ObjectID="_1468075728" r:id="rId19">
                  <o:LockedField>false</o:LockedField>
                </o:OLEObject>
              </w:pict>
            </w:r>
          </w:p>
          <w:p w14:paraId="3B52DDBC">
            <w:pPr>
              <w:ind w:firstLine="482"/>
              <w:rPr>
                <w:b/>
                <w:bCs/>
                <w:color w:val="000000" w:themeColor="text1"/>
              </w:rPr>
            </w:pPr>
          </w:p>
          <w:p w14:paraId="679C169E">
            <w:pPr>
              <w:ind w:firstLine="482"/>
              <w:rPr>
                <w:b/>
                <w:bCs/>
                <w:color w:val="000000" w:themeColor="text1"/>
              </w:rPr>
            </w:pPr>
          </w:p>
          <w:p w14:paraId="74B9AE31">
            <w:pPr>
              <w:ind w:firstLine="482"/>
              <w:rPr>
                <w:b/>
                <w:bCs/>
                <w:color w:val="000000" w:themeColor="text1"/>
              </w:rPr>
            </w:pPr>
          </w:p>
          <w:p w14:paraId="5A55F7D6">
            <w:pPr>
              <w:ind w:firstLine="482"/>
              <w:rPr>
                <w:b/>
                <w:bCs/>
                <w:color w:val="000000" w:themeColor="text1"/>
              </w:rPr>
            </w:pPr>
          </w:p>
          <w:p w14:paraId="7870DA0F">
            <w:pPr>
              <w:ind w:firstLine="482"/>
              <w:rPr>
                <w:b/>
                <w:bCs/>
                <w:color w:val="000000" w:themeColor="text1"/>
              </w:rPr>
            </w:pPr>
          </w:p>
          <w:p w14:paraId="672462A2">
            <w:pPr>
              <w:ind w:firstLine="482"/>
              <w:rPr>
                <w:b/>
                <w:bCs/>
                <w:color w:val="000000" w:themeColor="text1"/>
              </w:rPr>
            </w:pPr>
          </w:p>
          <w:p w14:paraId="70692AD6">
            <w:pPr>
              <w:ind w:firstLine="482"/>
              <w:rPr>
                <w:b/>
                <w:bCs/>
                <w:color w:val="000000" w:themeColor="text1"/>
              </w:rPr>
            </w:pPr>
          </w:p>
          <w:p w14:paraId="186BCE7A">
            <w:pPr>
              <w:ind w:firstLine="422"/>
              <w:rPr>
                <w:rStyle w:val="53"/>
                <w:color w:val="000000" w:themeColor="text1"/>
              </w:rPr>
            </w:pPr>
          </w:p>
          <w:p w14:paraId="0E4DC5C5">
            <w:pPr>
              <w:ind w:firstLine="0" w:firstLineChars="0"/>
              <w:jc w:val="center"/>
              <w:rPr>
                <w:rStyle w:val="53"/>
                <w:color w:val="000000" w:themeColor="text1"/>
              </w:rPr>
            </w:pPr>
          </w:p>
          <w:p w14:paraId="25C1180D">
            <w:pPr>
              <w:ind w:firstLine="0" w:firstLineChars="0"/>
              <w:jc w:val="center"/>
              <w:rPr>
                <w:rStyle w:val="53"/>
                <w:color w:val="000000" w:themeColor="text1"/>
              </w:rPr>
            </w:pPr>
          </w:p>
          <w:p w14:paraId="674C755D">
            <w:pPr>
              <w:ind w:firstLine="0" w:firstLineChars="0"/>
              <w:jc w:val="center"/>
              <w:rPr>
                <w:rStyle w:val="53"/>
                <w:color w:val="000000" w:themeColor="text1"/>
              </w:rPr>
            </w:pPr>
          </w:p>
          <w:p w14:paraId="77E6C54B">
            <w:pPr>
              <w:ind w:firstLine="0" w:firstLineChars="0"/>
              <w:jc w:val="center"/>
              <w:rPr>
                <w:rStyle w:val="53"/>
                <w:color w:val="000000" w:themeColor="text1"/>
              </w:rPr>
            </w:pPr>
          </w:p>
          <w:p w14:paraId="57C9E3DA">
            <w:pPr>
              <w:ind w:firstLine="0" w:firstLineChars="0"/>
              <w:jc w:val="center"/>
              <w:rPr>
                <w:rStyle w:val="53"/>
                <w:color w:val="000000" w:themeColor="text1"/>
              </w:rPr>
            </w:pPr>
          </w:p>
          <w:p w14:paraId="7101BA81">
            <w:pPr>
              <w:ind w:firstLine="0" w:firstLineChars="0"/>
              <w:jc w:val="center"/>
              <w:rPr>
                <w:rStyle w:val="53"/>
                <w:color w:val="000000" w:themeColor="text1"/>
              </w:rPr>
            </w:pPr>
          </w:p>
          <w:p w14:paraId="73B870A7">
            <w:pPr>
              <w:ind w:firstLine="0" w:firstLineChars="0"/>
              <w:jc w:val="center"/>
              <w:rPr>
                <w:color w:val="000000" w:themeColor="text1"/>
              </w:rPr>
            </w:pPr>
            <w:r>
              <w:rPr>
                <w:rStyle w:val="53"/>
                <w:color w:val="000000" w:themeColor="text1"/>
              </w:rPr>
              <w:t>图</w:t>
            </w:r>
            <w:r>
              <w:rPr>
                <w:rStyle w:val="53"/>
                <w:rFonts w:hint="eastAsia"/>
                <w:color w:val="000000" w:themeColor="text1"/>
              </w:rPr>
              <w:t>6</w:t>
            </w:r>
            <w:r>
              <w:rPr>
                <w:rStyle w:val="53"/>
                <w:color w:val="000000" w:themeColor="text1"/>
              </w:rPr>
              <w:t xml:space="preserve">  </w:t>
            </w:r>
            <w:r>
              <w:rPr>
                <w:rFonts w:hint="eastAsia"/>
                <w:b/>
                <w:color w:val="000000" w:themeColor="text1"/>
                <w:sz w:val="21"/>
                <w:szCs w:val="21"/>
              </w:rPr>
              <w:t>中转仓落料及入料、制粒、筛分及筛下料落料、成品网状料仓入料及冷却、</w:t>
            </w:r>
            <w:r>
              <w:rPr>
                <w:rFonts w:hint="eastAsia"/>
                <w:b/>
                <w:bCs/>
                <w:color w:val="000000" w:themeColor="text1"/>
                <w:sz w:val="21"/>
                <w:szCs w:val="21"/>
              </w:rPr>
              <w:t>成品皮带输送机落料、打包机</w:t>
            </w:r>
            <w:r>
              <w:rPr>
                <w:rFonts w:hint="eastAsia"/>
                <w:b/>
                <w:color w:val="000000" w:themeColor="text1"/>
                <w:sz w:val="21"/>
                <w:szCs w:val="21"/>
              </w:rPr>
              <w:t>包装废气</w:t>
            </w:r>
            <w:r>
              <w:rPr>
                <w:rStyle w:val="53"/>
                <w:color w:val="000000" w:themeColor="text1"/>
              </w:rPr>
              <w:t>处理工艺流程及排污节点图</w:t>
            </w:r>
          </w:p>
          <w:p w14:paraId="4F45E14E">
            <w:pPr>
              <w:ind w:firstLine="480"/>
              <w:rPr>
                <w:color w:val="000000" w:themeColor="text1"/>
              </w:rPr>
            </w:pPr>
            <w:r>
              <w:rPr>
                <w:rFonts w:hint="eastAsia"/>
                <w:color w:val="000000" w:themeColor="text1"/>
              </w:rPr>
              <w:t>2）无组织废气</w:t>
            </w:r>
          </w:p>
          <w:p w14:paraId="2AB548B7">
            <w:pPr>
              <w:ind w:firstLine="480"/>
              <w:rPr>
                <w:rStyle w:val="53"/>
                <w:b w:val="0"/>
                <w:color w:val="000000" w:themeColor="text1"/>
                <w:sz w:val="24"/>
                <w:szCs w:val="24"/>
              </w:rPr>
            </w:pPr>
            <w:r>
              <w:rPr>
                <w:rStyle w:val="53"/>
                <w:rFonts w:hint="eastAsia"/>
                <w:b w:val="0"/>
                <w:color w:val="000000" w:themeColor="text1"/>
                <w:sz w:val="24"/>
                <w:szCs w:val="24"/>
              </w:rPr>
              <w:t>①原料装卸、堆存、铲车转运、上料斗上料过程产生的颗粒物</w:t>
            </w:r>
          </w:p>
          <w:p w14:paraId="330C0D9D">
            <w:pPr>
              <w:ind w:firstLine="480"/>
              <w:rPr>
                <w:rStyle w:val="53"/>
                <w:b w:val="0"/>
                <w:color w:val="000000" w:themeColor="text1"/>
                <w:sz w:val="24"/>
                <w:szCs w:val="24"/>
              </w:rPr>
            </w:pPr>
            <w:r>
              <w:rPr>
                <w:rFonts w:hint="eastAsia"/>
                <w:color w:val="000000" w:themeColor="text1"/>
              </w:rPr>
              <w:t>本项目原料锯末含水率（15%、30%）较高，且在封闭厂房内的原料区内储存，铲车转运的物料为含水率15%、30%的锯末，上料斗上料的物料为含水率30%的锯末，物料含水率较高，装卸、堆存、</w:t>
            </w:r>
            <w:r>
              <w:rPr>
                <w:rStyle w:val="53"/>
                <w:rFonts w:hint="eastAsia"/>
                <w:b w:val="0"/>
                <w:color w:val="000000" w:themeColor="text1"/>
                <w:sz w:val="24"/>
                <w:szCs w:val="24"/>
              </w:rPr>
              <w:t>铲车转运、上料斗上料</w:t>
            </w:r>
            <w:r>
              <w:rPr>
                <w:rFonts w:hint="eastAsia"/>
                <w:color w:val="000000" w:themeColor="text1"/>
              </w:rPr>
              <w:t>过程产尘量较小，在厂房内无组织排放。</w:t>
            </w:r>
          </w:p>
          <w:p w14:paraId="5B121D72">
            <w:pPr>
              <w:ind w:firstLine="480"/>
              <w:rPr>
                <w:color w:val="000000" w:themeColor="text1"/>
              </w:rPr>
            </w:pPr>
            <w:r>
              <w:rPr>
                <w:rStyle w:val="53"/>
                <w:rFonts w:hint="eastAsia"/>
                <w:b w:val="0"/>
                <w:color w:val="000000" w:themeColor="text1"/>
                <w:sz w:val="24"/>
                <w:szCs w:val="24"/>
              </w:rPr>
              <w:t>②</w:t>
            </w:r>
            <w:r>
              <w:rPr>
                <w:rFonts w:hint="eastAsia"/>
                <w:color w:val="000000" w:themeColor="text1"/>
              </w:rPr>
              <w:t>中转仓落料及入料、制粒、筛分及筛下料落料、成品网状料仓入料及冷却、成品皮带输送机落料、打包机包装过程未被捕集颗粒物</w:t>
            </w:r>
          </w:p>
          <w:p w14:paraId="7B6D8B01">
            <w:pPr>
              <w:ind w:firstLine="480"/>
              <w:rPr>
                <w:color w:val="000000" w:themeColor="text1"/>
              </w:rPr>
            </w:pPr>
            <w:r>
              <w:rPr>
                <w:rFonts w:hint="eastAsia"/>
                <w:color w:val="000000" w:themeColor="text1"/>
              </w:rPr>
              <w:t>中转仓落料及入料、制粒、筛分及筛下料落料、成品网状料仓入料及冷却、成品皮带输送机落料、打包机包装过程未被捕集的颗粒物在厂房内无组织排放。</w:t>
            </w:r>
          </w:p>
          <w:p w14:paraId="3C089CF7">
            <w:pPr>
              <w:ind w:firstLine="480"/>
              <w:rPr>
                <w:color w:val="000000" w:themeColor="text1"/>
              </w:rPr>
            </w:pPr>
            <w:r>
              <w:rPr>
                <w:color w:val="000000" w:themeColor="text1"/>
              </w:rPr>
              <w:t>参照《排放源统计调查产排污核算方法和系数手册》</w:t>
            </w:r>
            <w:r>
              <w:rPr>
                <w:rFonts w:hint="eastAsia"/>
                <w:color w:val="000000" w:themeColor="text1"/>
              </w:rPr>
              <w:t>附表2固体物料堆存颗粒物产排污核算系数手册中围挡控制措施粉尘控制效率60%及</w:t>
            </w:r>
            <w:r>
              <w:rPr>
                <w:color w:val="000000" w:themeColor="text1"/>
              </w:rPr>
              <w:t>《扬尘源颗粒物排放清单编制指南》中孔隙度﹤50%</w:t>
            </w:r>
            <w:r>
              <w:rPr>
                <w:rFonts w:hint="eastAsia"/>
                <w:color w:val="000000" w:themeColor="text1"/>
              </w:rPr>
              <w:t>厂房</w:t>
            </w:r>
            <w:r>
              <w:rPr>
                <w:color w:val="000000" w:themeColor="text1"/>
              </w:rPr>
              <w:t>抑尘效率60%</w:t>
            </w:r>
            <w:r>
              <w:rPr>
                <w:rFonts w:hint="eastAsia"/>
                <w:color w:val="000000" w:themeColor="text1"/>
              </w:rPr>
              <w:t>，厂房</w:t>
            </w:r>
            <w:r>
              <w:rPr>
                <w:color w:val="000000" w:themeColor="text1"/>
              </w:rPr>
              <w:t>抑尘效率</w:t>
            </w:r>
            <w:r>
              <w:rPr>
                <w:rFonts w:hint="eastAsia"/>
                <w:color w:val="000000" w:themeColor="text1"/>
              </w:rPr>
              <w:t>取</w:t>
            </w:r>
            <w:r>
              <w:rPr>
                <w:color w:val="000000" w:themeColor="text1"/>
              </w:rPr>
              <w:t>60%</w:t>
            </w:r>
            <w:r>
              <w:rPr>
                <w:rFonts w:hint="eastAsia"/>
                <w:color w:val="000000" w:themeColor="text1"/>
              </w:rPr>
              <w:t>，厂房内无组织排放颗粒物经厂房截留，产生沉降粉尘。</w:t>
            </w:r>
          </w:p>
          <w:p w14:paraId="107596FF">
            <w:pPr>
              <w:ind w:firstLine="482"/>
              <w:rPr>
                <w:b/>
                <w:bCs/>
                <w:color w:val="000000" w:themeColor="text1"/>
              </w:rPr>
            </w:pPr>
            <w:r>
              <w:rPr>
                <w:b/>
                <w:bCs/>
                <w:color w:val="000000" w:themeColor="text1"/>
              </w:rPr>
              <w:t>本工序产污节点：</w:t>
            </w:r>
            <w:r>
              <w:rPr>
                <w:rFonts w:hint="eastAsia"/>
                <w:b/>
                <w:bCs/>
                <w:color w:val="000000" w:themeColor="text1"/>
              </w:rPr>
              <w:t>厂房截留颗粒物（沉降粉尘）。</w:t>
            </w:r>
          </w:p>
          <w:p w14:paraId="541DC69A">
            <w:pPr>
              <w:ind w:firstLine="480"/>
              <w:rPr>
                <w:color w:val="000000" w:themeColor="text1"/>
              </w:rPr>
            </w:pPr>
            <w:r>
              <w:rPr>
                <w:rFonts w:hint="eastAsia"/>
                <w:color w:val="000000" w:themeColor="text1"/>
              </w:rPr>
              <w:t>3、设备维护和保养</w:t>
            </w:r>
          </w:p>
          <w:p w14:paraId="05C1EF46">
            <w:pPr>
              <w:ind w:firstLine="480"/>
              <w:rPr>
                <w:color w:val="000000" w:themeColor="text1"/>
              </w:rPr>
            </w:pPr>
            <w:r>
              <w:rPr>
                <w:rFonts w:hint="eastAsia"/>
                <w:color w:val="000000" w:themeColor="text1"/>
              </w:rPr>
              <w:t>本项目</w:t>
            </w:r>
            <w:r>
              <w:rPr>
                <w:rFonts w:hint="eastAsia"/>
                <w:snapToGrid w:val="0"/>
                <w:color w:val="000000" w:themeColor="text1"/>
                <w:kern w:val="0"/>
              </w:rPr>
              <w:t>生物质颗粒机液压系统</w:t>
            </w:r>
            <w:r>
              <w:rPr>
                <w:rFonts w:hint="eastAsia"/>
                <w:color w:val="000000" w:themeColor="text1"/>
              </w:rPr>
              <w:t>在维护与保养过程中使用液压油；</w:t>
            </w:r>
            <w:r>
              <w:rPr>
                <w:rFonts w:hint="eastAsia"/>
                <w:snapToGrid w:val="0"/>
                <w:color w:val="000000" w:themeColor="text1"/>
                <w:kern w:val="0"/>
              </w:rPr>
              <w:t>生物质颗粒机减速机、皮带输送机减速机</w:t>
            </w:r>
            <w:r>
              <w:rPr>
                <w:rFonts w:hint="eastAsia"/>
                <w:color w:val="000000" w:themeColor="text1"/>
              </w:rPr>
              <w:t>在维护与保养过程中使用机油；其他机械设备在维护与保养过程中使用润滑油。</w:t>
            </w:r>
          </w:p>
          <w:p w14:paraId="70D14B3A">
            <w:pPr>
              <w:ind w:firstLine="482"/>
              <w:rPr>
                <w:b/>
                <w:bCs/>
                <w:color w:val="000000" w:themeColor="text1"/>
              </w:rPr>
            </w:pPr>
            <w:r>
              <w:rPr>
                <w:b/>
                <w:bCs/>
                <w:color w:val="000000" w:themeColor="text1"/>
              </w:rPr>
              <w:t>本工序产污节点：</w:t>
            </w:r>
            <w:r>
              <w:rPr>
                <w:rFonts w:hint="eastAsia"/>
                <w:b/>
                <w:bCs/>
                <w:color w:val="000000" w:themeColor="text1"/>
              </w:rPr>
              <w:t>废液压油、废机油、</w:t>
            </w:r>
            <w:r>
              <w:rPr>
                <w:b/>
                <w:bCs/>
                <w:color w:val="000000" w:themeColor="text1"/>
              </w:rPr>
              <w:t>废润滑油、废油桶</w:t>
            </w:r>
            <w:r>
              <w:rPr>
                <w:rFonts w:hint="eastAsia"/>
                <w:b/>
                <w:bCs/>
                <w:color w:val="000000" w:themeColor="text1"/>
              </w:rPr>
              <w:t>。</w:t>
            </w:r>
          </w:p>
          <w:p w14:paraId="755F9DED">
            <w:pPr>
              <w:ind w:firstLine="480"/>
              <w:rPr>
                <w:color w:val="000000" w:themeColor="text1"/>
              </w:rPr>
            </w:pPr>
            <w:r>
              <w:rPr>
                <w:rFonts w:hint="eastAsia"/>
                <w:color w:val="000000" w:themeColor="text1"/>
              </w:rPr>
              <w:t>4、职工生活</w:t>
            </w:r>
          </w:p>
          <w:p w14:paraId="33518C50">
            <w:pPr>
              <w:ind w:firstLine="480"/>
              <w:rPr>
                <w:color w:val="000000" w:themeColor="text1"/>
              </w:rPr>
            </w:pPr>
            <w:r>
              <w:rPr>
                <w:rFonts w:hint="eastAsia"/>
                <w:color w:val="000000" w:themeColor="text1"/>
              </w:rPr>
              <w:t>本项目职工生活会产生一定量的生活污水、生活垃圾。</w:t>
            </w:r>
          </w:p>
          <w:p w14:paraId="684D0A58">
            <w:pPr>
              <w:ind w:firstLine="482"/>
              <w:rPr>
                <w:b/>
                <w:bCs/>
                <w:color w:val="000000" w:themeColor="text1"/>
              </w:rPr>
            </w:pPr>
            <w:r>
              <w:rPr>
                <w:b/>
                <w:bCs/>
                <w:color w:val="000000" w:themeColor="text1"/>
              </w:rPr>
              <w:t>主要污染工序：</w:t>
            </w:r>
          </w:p>
          <w:p w14:paraId="3D61CB83">
            <w:pPr>
              <w:ind w:firstLine="480"/>
              <w:rPr>
                <w:color w:val="000000" w:themeColor="text1"/>
              </w:rPr>
            </w:pPr>
            <w:r>
              <w:rPr>
                <w:color w:val="000000" w:themeColor="text1"/>
              </w:rPr>
              <w:t>（1）废气：本项目废气污染源主要为</w:t>
            </w:r>
            <w:r>
              <w:rPr>
                <w:rFonts w:hint="eastAsia"/>
                <w:color w:val="000000" w:themeColor="text1"/>
              </w:rPr>
              <w:t>烘干废气（</w:t>
            </w:r>
            <w:r>
              <w:rPr>
                <w:color w:val="000000" w:themeColor="text1"/>
              </w:rPr>
              <w:t>包括热风炉燃料燃烧废气</w:t>
            </w:r>
            <w:r>
              <w:rPr>
                <w:rFonts w:hint="eastAsia"/>
                <w:color w:val="000000" w:themeColor="text1"/>
              </w:rPr>
              <w:t>和</w:t>
            </w:r>
            <w:r>
              <w:rPr>
                <w:color w:val="000000" w:themeColor="text1"/>
              </w:rPr>
              <w:t>物料烘干工艺废气</w:t>
            </w:r>
            <w:r>
              <w:rPr>
                <w:rFonts w:hint="eastAsia"/>
                <w:color w:val="000000" w:themeColor="text1"/>
              </w:rPr>
              <w:t>）、中转仓落料及入料废气、制粒废气、筛分及筛下料落料废气、成品网状料仓入料及冷却废气、成品皮带输送机落料废气、打包机包装废气，</w:t>
            </w:r>
            <w:r>
              <w:rPr>
                <w:rStyle w:val="53"/>
                <w:rFonts w:hint="eastAsia"/>
                <w:b w:val="0"/>
                <w:color w:val="000000" w:themeColor="text1"/>
                <w:sz w:val="24"/>
                <w:szCs w:val="24"/>
              </w:rPr>
              <w:t>原料装卸、堆存、铲车转运、上料斗上料过程废气</w:t>
            </w:r>
            <w:r>
              <w:rPr>
                <w:color w:val="000000" w:themeColor="text1"/>
              </w:rPr>
              <w:t>。</w:t>
            </w:r>
          </w:p>
          <w:p w14:paraId="3ED0C03A">
            <w:pPr>
              <w:ind w:firstLine="480"/>
              <w:rPr>
                <w:color w:val="000000" w:themeColor="text1"/>
              </w:rPr>
            </w:pPr>
            <w:r>
              <w:rPr>
                <w:color w:val="000000" w:themeColor="text1"/>
              </w:rPr>
              <w:t>（2）废水：本项目废水污染源主要为</w:t>
            </w:r>
            <w:r>
              <w:rPr>
                <w:rFonts w:hint="eastAsia"/>
                <w:color w:val="000000" w:themeColor="text1"/>
              </w:rPr>
              <w:t>热风炉冷却过程排污水、生活污水</w:t>
            </w:r>
            <w:r>
              <w:rPr>
                <w:color w:val="000000" w:themeColor="text1"/>
              </w:rPr>
              <w:t>。</w:t>
            </w:r>
          </w:p>
          <w:p w14:paraId="344C74CD">
            <w:pPr>
              <w:ind w:firstLine="480"/>
              <w:rPr>
                <w:color w:val="000000" w:themeColor="text1"/>
              </w:rPr>
            </w:pPr>
            <w:r>
              <w:rPr>
                <w:color w:val="000000" w:themeColor="text1"/>
              </w:rPr>
              <w:t>（3）噪声：本项目噪声污染源主要为</w:t>
            </w:r>
            <w:r>
              <w:rPr>
                <w:rFonts w:hint="eastAsia"/>
                <w:color w:val="000000" w:themeColor="text1"/>
              </w:rPr>
              <w:t>绞龙、滚筒筛、皮带输送机、烘干机、斗提机、砂石分离器、生物质颗粒机、振筛、打包机、空压机等生产</w:t>
            </w:r>
            <w:r>
              <w:rPr>
                <w:color w:val="000000" w:themeColor="text1"/>
              </w:rPr>
              <w:t>设备</w:t>
            </w:r>
            <w:r>
              <w:rPr>
                <w:rFonts w:hint="eastAsia"/>
                <w:color w:val="000000" w:themeColor="text1"/>
              </w:rPr>
              <w:t>及环保设备风机</w:t>
            </w:r>
            <w:r>
              <w:rPr>
                <w:color w:val="000000" w:themeColor="text1"/>
              </w:rPr>
              <w:t>运行过程产生的噪声。</w:t>
            </w:r>
          </w:p>
          <w:p w14:paraId="5E5127AD">
            <w:pPr>
              <w:ind w:firstLine="480"/>
              <w:rPr>
                <w:color w:val="000000" w:themeColor="text1"/>
              </w:rPr>
            </w:pPr>
            <w:r>
              <w:rPr>
                <w:color w:val="000000" w:themeColor="text1"/>
              </w:rPr>
              <w:t>（4）固体废物：本项目固体废物主要为</w:t>
            </w:r>
            <w:r>
              <w:rPr>
                <w:rFonts w:hint="eastAsia"/>
                <w:color w:val="000000" w:themeColor="text1"/>
              </w:rPr>
              <w:t>滚筒筛筛分</w:t>
            </w:r>
            <w:r>
              <w:rPr>
                <w:color w:val="000000" w:themeColor="text1"/>
              </w:rPr>
              <w:t>过程产生</w:t>
            </w:r>
            <w:r>
              <w:rPr>
                <w:rFonts w:hint="eastAsia"/>
                <w:color w:val="000000" w:themeColor="text1"/>
              </w:rPr>
              <w:t>的大块木废边角料，热风炉炉排下方排出的灰渣，砂石分离器分离出的石子等硬质杂质，振筛筛分过程产生的不合格品，包装过程产生的废包装袋，除尘器除尘灰及废布袋，厂房截留颗粒物（沉降粉尘），</w:t>
            </w:r>
            <w:r>
              <w:rPr>
                <w:color w:val="000000" w:themeColor="text1"/>
              </w:rPr>
              <w:t>设备维护</w:t>
            </w:r>
            <w:r>
              <w:rPr>
                <w:rFonts w:hint="eastAsia"/>
                <w:color w:val="000000" w:themeColor="text1"/>
              </w:rPr>
              <w:t>和</w:t>
            </w:r>
            <w:r>
              <w:rPr>
                <w:color w:val="000000" w:themeColor="text1"/>
              </w:rPr>
              <w:t>保养产生的</w:t>
            </w:r>
            <w:r>
              <w:rPr>
                <w:rFonts w:hint="eastAsia"/>
                <w:color w:val="000000" w:themeColor="text1"/>
              </w:rPr>
              <w:t>废液压油、废机油、</w:t>
            </w:r>
            <w:r>
              <w:rPr>
                <w:color w:val="000000" w:themeColor="text1"/>
              </w:rPr>
              <w:t>废润滑油、废油桶</w:t>
            </w:r>
            <w:r>
              <w:rPr>
                <w:rFonts w:hint="eastAsia"/>
                <w:color w:val="000000" w:themeColor="text1"/>
              </w:rPr>
              <w:t>，职工日常生活产生的生活垃圾</w:t>
            </w:r>
            <w:r>
              <w:rPr>
                <w:color w:val="000000" w:themeColor="text1"/>
              </w:rPr>
              <w:t>。</w:t>
            </w:r>
          </w:p>
          <w:p w14:paraId="55D60B67">
            <w:pPr>
              <w:ind w:firstLine="480"/>
              <w:rPr>
                <w:color w:val="000000" w:themeColor="text1"/>
              </w:rPr>
            </w:pPr>
            <w:r>
              <w:rPr>
                <w:color w:val="000000" w:themeColor="text1"/>
              </w:rPr>
              <w:t>本项目产排污节点见下表。</w:t>
            </w:r>
          </w:p>
          <w:p w14:paraId="6C40C6EE">
            <w:pPr>
              <w:autoSpaceDE w:val="0"/>
              <w:autoSpaceDN w:val="0"/>
              <w:adjustRightInd w:val="0"/>
              <w:snapToGrid w:val="0"/>
              <w:ind w:firstLine="0" w:firstLineChars="0"/>
              <w:jc w:val="center"/>
              <w:rPr>
                <w:b/>
                <w:color w:val="000000" w:themeColor="text1"/>
                <w:kern w:val="0"/>
                <w:sz w:val="21"/>
                <w:szCs w:val="21"/>
              </w:rPr>
            </w:pPr>
            <w:r>
              <w:rPr>
                <w:b/>
                <w:color w:val="000000" w:themeColor="text1"/>
                <w:kern w:val="0"/>
                <w:sz w:val="21"/>
                <w:szCs w:val="21"/>
              </w:rPr>
              <w:t>表</w:t>
            </w:r>
            <w:r>
              <w:rPr>
                <w:rFonts w:hint="eastAsia"/>
                <w:b/>
                <w:color w:val="000000" w:themeColor="text1"/>
                <w:kern w:val="0"/>
                <w:sz w:val="21"/>
                <w:szCs w:val="21"/>
              </w:rPr>
              <w:t>18</w:t>
            </w:r>
            <w:r>
              <w:rPr>
                <w:b/>
                <w:color w:val="000000" w:themeColor="text1"/>
                <w:kern w:val="0"/>
                <w:sz w:val="21"/>
                <w:szCs w:val="21"/>
              </w:rPr>
              <w:t xml:space="preserve">  本项目产排污节点一览表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2"/>
              <w:gridCol w:w="2041"/>
              <w:gridCol w:w="1365"/>
              <w:gridCol w:w="839"/>
              <w:gridCol w:w="2400"/>
              <w:gridCol w:w="752"/>
            </w:tblGrid>
            <w:tr w14:paraId="78CDB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tcBorders>
                    <w:tl2br w:val="nil"/>
                    <w:tr2bl w:val="nil"/>
                  </w:tcBorders>
                  <w:vAlign w:val="center"/>
                </w:tcPr>
                <w:p w14:paraId="61959F0F">
                  <w:pPr>
                    <w:pStyle w:val="66"/>
                    <w:spacing w:line="240" w:lineRule="auto"/>
                    <w:ind w:left="0" w:right="0" w:firstLine="0" w:firstLineChars="0"/>
                    <w:rPr>
                      <w:b/>
                      <w:bCs/>
                      <w:color w:val="000000" w:themeColor="text1"/>
                      <w:sz w:val="21"/>
                    </w:rPr>
                  </w:pPr>
                  <w:r>
                    <w:rPr>
                      <w:b/>
                      <w:bCs/>
                      <w:color w:val="000000" w:themeColor="text1"/>
                      <w:sz w:val="21"/>
                    </w:rPr>
                    <w:t>污染物类型</w:t>
                  </w:r>
                </w:p>
              </w:tc>
              <w:tc>
                <w:tcPr>
                  <w:tcW w:w="1267" w:type="pct"/>
                  <w:tcBorders>
                    <w:tl2br w:val="nil"/>
                    <w:tr2bl w:val="nil"/>
                  </w:tcBorders>
                  <w:vAlign w:val="center"/>
                </w:tcPr>
                <w:p w14:paraId="270535C8">
                  <w:pPr>
                    <w:pStyle w:val="66"/>
                    <w:spacing w:line="240" w:lineRule="auto"/>
                    <w:ind w:left="0" w:right="0" w:firstLine="0" w:firstLineChars="0"/>
                    <w:rPr>
                      <w:b/>
                      <w:bCs/>
                      <w:color w:val="000000" w:themeColor="text1"/>
                      <w:sz w:val="21"/>
                    </w:rPr>
                  </w:pPr>
                  <w:r>
                    <w:rPr>
                      <w:b/>
                      <w:bCs/>
                      <w:color w:val="000000" w:themeColor="text1"/>
                      <w:sz w:val="21"/>
                    </w:rPr>
                    <w:t>排污节点</w:t>
                  </w:r>
                </w:p>
              </w:tc>
              <w:tc>
                <w:tcPr>
                  <w:tcW w:w="847" w:type="pct"/>
                  <w:tcBorders>
                    <w:tl2br w:val="nil"/>
                    <w:tr2bl w:val="nil"/>
                  </w:tcBorders>
                  <w:vAlign w:val="center"/>
                </w:tcPr>
                <w:p w14:paraId="5F5A08B3">
                  <w:pPr>
                    <w:pStyle w:val="66"/>
                    <w:spacing w:line="240" w:lineRule="auto"/>
                    <w:ind w:left="0" w:right="0" w:firstLine="0" w:firstLineChars="0"/>
                    <w:rPr>
                      <w:b/>
                      <w:bCs/>
                      <w:color w:val="000000" w:themeColor="text1"/>
                      <w:sz w:val="21"/>
                    </w:rPr>
                  </w:pPr>
                  <w:r>
                    <w:rPr>
                      <w:b/>
                      <w:bCs/>
                      <w:color w:val="000000" w:themeColor="text1"/>
                      <w:sz w:val="21"/>
                    </w:rPr>
                    <w:t>主要污染物</w:t>
                  </w:r>
                </w:p>
              </w:tc>
              <w:tc>
                <w:tcPr>
                  <w:tcW w:w="521" w:type="pct"/>
                  <w:tcBorders>
                    <w:tl2br w:val="nil"/>
                    <w:tr2bl w:val="nil"/>
                  </w:tcBorders>
                  <w:vAlign w:val="center"/>
                </w:tcPr>
                <w:p w14:paraId="63A770EC">
                  <w:pPr>
                    <w:pStyle w:val="66"/>
                    <w:spacing w:line="240" w:lineRule="auto"/>
                    <w:ind w:left="0" w:right="0" w:firstLine="0" w:firstLineChars="0"/>
                    <w:rPr>
                      <w:b/>
                      <w:bCs/>
                      <w:color w:val="000000" w:themeColor="text1"/>
                      <w:sz w:val="21"/>
                    </w:rPr>
                  </w:pPr>
                  <w:r>
                    <w:rPr>
                      <w:b/>
                      <w:bCs/>
                      <w:color w:val="000000" w:themeColor="text1"/>
                      <w:sz w:val="21"/>
                    </w:rPr>
                    <w:t>排放特征</w:t>
                  </w:r>
                </w:p>
              </w:tc>
              <w:tc>
                <w:tcPr>
                  <w:tcW w:w="1957" w:type="pct"/>
                  <w:gridSpan w:val="2"/>
                  <w:tcBorders>
                    <w:tl2br w:val="nil"/>
                    <w:tr2bl w:val="nil"/>
                  </w:tcBorders>
                  <w:vAlign w:val="center"/>
                </w:tcPr>
                <w:p w14:paraId="261A9C04">
                  <w:pPr>
                    <w:pStyle w:val="66"/>
                    <w:spacing w:line="240" w:lineRule="auto"/>
                    <w:ind w:left="0" w:right="0" w:firstLine="0" w:firstLineChars="0"/>
                    <w:rPr>
                      <w:b/>
                      <w:bCs/>
                      <w:color w:val="000000" w:themeColor="text1"/>
                      <w:sz w:val="21"/>
                    </w:rPr>
                  </w:pPr>
                  <w:r>
                    <w:rPr>
                      <w:b/>
                      <w:bCs/>
                      <w:color w:val="000000" w:themeColor="text1"/>
                      <w:sz w:val="21"/>
                    </w:rPr>
                    <w:t>治理措施</w:t>
                  </w:r>
                </w:p>
              </w:tc>
            </w:tr>
            <w:tr w14:paraId="39DA2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restart"/>
                  <w:tcBorders>
                    <w:tl2br w:val="nil"/>
                    <w:tr2bl w:val="nil"/>
                  </w:tcBorders>
                  <w:vAlign w:val="center"/>
                </w:tcPr>
                <w:p w14:paraId="60985D4E">
                  <w:pPr>
                    <w:pStyle w:val="66"/>
                    <w:spacing w:line="240" w:lineRule="auto"/>
                    <w:ind w:left="0" w:right="0" w:firstLine="0" w:firstLineChars="0"/>
                    <w:rPr>
                      <w:color w:val="000000" w:themeColor="text1"/>
                      <w:sz w:val="21"/>
                    </w:rPr>
                  </w:pPr>
                  <w:r>
                    <w:rPr>
                      <w:color w:val="000000" w:themeColor="text1"/>
                      <w:sz w:val="21"/>
                    </w:rPr>
                    <w:t>废气</w:t>
                  </w:r>
                </w:p>
              </w:tc>
              <w:tc>
                <w:tcPr>
                  <w:tcW w:w="1267" w:type="pct"/>
                  <w:tcBorders>
                    <w:tl2br w:val="nil"/>
                    <w:tr2bl w:val="nil"/>
                  </w:tcBorders>
                  <w:vAlign w:val="center"/>
                </w:tcPr>
                <w:p w14:paraId="18E6C04B">
                  <w:pPr>
                    <w:pStyle w:val="66"/>
                    <w:spacing w:line="240" w:lineRule="auto"/>
                    <w:ind w:left="0" w:right="0" w:firstLine="0" w:firstLineChars="0"/>
                    <w:rPr>
                      <w:color w:val="000000" w:themeColor="text1"/>
                      <w:sz w:val="21"/>
                    </w:rPr>
                  </w:pPr>
                  <w:r>
                    <w:rPr>
                      <w:rFonts w:hint="eastAsia"/>
                      <w:color w:val="000000" w:themeColor="text1"/>
                      <w:sz w:val="21"/>
                    </w:rPr>
                    <w:t>原料装卸、堆存、</w:t>
                  </w:r>
                  <w:r>
                    <w:rPr>
                      <w:rStyle w:val="53"/>
                      <w:rFonts w:hint="eastAsia"/>
                      <w:b w:val="0"/>
                      <w:color w:val="000000" w:themeColor="text1"/>
                    </w:rPr>
                    <w:t>铲车转运、上料斗上料过程废气</w:t>
                  </w:r>
                </w:p>
              </w:tc>
              <w:tc>
                <w:tcPr>
                  <w:tcW w:w="847" w:type="pct"/>
                  <w:tcBorders>
                    <w:tl2br w:val="nil"/>
                    <w:tr2bl w:val="nil"/>
                  </w:tcBorders>
                  <w:vAlign w:val="center"/>
                </w:tcPr>
                <w:p w14:paraId="5FB528A6">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tcBorders>
                    <w:tl2br w:val="nil"/>
                    <w:tr2bl w:val="nil"/>
                  </w:tcBorders>
                  <w:vAlign w:val="center"/>
                </w:tcPr>
                <w:p w14:paraId="68E30F2A">
                  <w:pPr>
                    <w:pStyle w:val="63"/>
                    <w:spacing w:line="240" w:lineRule="auto"/>
                    <w:ind w:firstLine="0" w:firstLineChars="0"/>
                    <w:jc w:val="center"/>
                    <w:rPr>
                      <w:color w:val="000000" w:themeColor="text1"/>
                      <w:sz w:val="21"/>
                      <w:szCs w:val="21"/>
                    </w:rPr>
                  </w:pPr>
                  <w:r>
                    <w:rPr>
                      <w:rFonts w:hint="eastAsia"/>
                      <w:color w:val="000000" w:themeColor="text1"/>
                      <w:sz w:val="21"/>
                      <w:szCs w:val="21"/>
                    </w:rPr>
                    <w:t>无</w:t>
                  </w:r>
                  <w:r>
                    <w:rPr>
                      <w:color w:val="000000" w:themeColor="text1"/>
                      <w:sz w:val="21"/>
                      <w:szCs w:val="21"/>
                    </w:rPr>
                    <w:t>组织排放</w:t>
                  </w:r>
                </w:p>
              </w:tc>
              <w:tc>
                <w:tcPr>
                  <w:tcW w:w="1957" w:type="pct"/>
                  <w:gridSpan w:val="2"/>
                  <w:tcBorders>
                    <w:tl2br w:val="nil"/>
                    <w:tr2bl w:val="nil"/>
                  </w:tcBorders>
                  <w:vAlign w:val="center"/>
                </w:tcPr>
                <w:p w14:paraId="1FF79FCF">
                  <w:pPr>
                    <w:pStyle w:val="66"/>
                    <w:spacing w:line="240" w:lineRule="auto"/>
                    <w:ind w:left="0" w:right="0" w:firstLine="0" w:firstLineChars="0"/>
                    <w:rPr>
                      <w:color w:val="000000" w:themeColor="text1"/>
                      <w:sz w:val="21"/>
                    </w:rPr>
                  </w:pPr>
                  <w:r>
                    <w:rPr>
                      <w:rFonts w:hint="eastAsia"/>
                      <w:color w:val="000000" w:themeColor="text1"/>
                      <w:sz w:val="21"/>
                    </w:rPr>
                    <w:t>产生量较小，在厂房内无组织排放</w:t>
                  </w:r>
                </w:p>
              </w:tc>
            </w:tr>
            <w:tr w14:paraId="363A8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1A13D925">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1A4C7D38">
                  <w:pPr>
                    <w:pStyle w:val="66"/>
                    <w:spacing w:line="240" w:lineRule="auto"/>
                    <w:ind w:left="0" w:right="0" w:firstLine="0" w:firstLineChars="0"/>
                    <w:rPr>
                      <w:color w:val="000000" w:themeColor="text1"/>
                      <w:sz w:val="21"/>
                    </w:rPr>
                  </w:pPr>
                  <w:r>
                    <w:rPr>
                      <w:rFonts w:hint="eastAsia"/>
                      <w:color w:val="000000" w:themeColor="text1"/>
                      <w:sz w:val="21"/>
                    </w:rPr>
                    <w:t>烘干废气（</w:t>
                  </w:r>
                  <w:r>
                    <w:rPr>
                      <w:color w:val="000000" w:themeColor="text1"/>
                      <w:sz w:val="21"/>
                    </w:rPr>
                    <w:t>包括热风炉燃料燃烧废气</w:t>
                  </w:r>
                  <w:r>
                    <w:rPr>
                      <w:rFonts w:hint="eastAsia"/>
                      <w:color w:val="000000" w:themeColor="text1"/>
                      <w:sz w:val="21"/>
                    </w:rPr>
                    <w:t>和</w:t>
                  </w:r>
                  <w:r>
                    <w:rPr>
                      <w:color w:val="000000" w:themeColor="text1"/>
                      <w:sz w:val="21"/>
                    </w:rPr>
                    <w:t>物料烘干工艺废气</w:t>
                  </w:r>
                  <w:r>
                    <w:rPr>
                      <w:rFonts w:hint="eastAsia"/>
                      <w:color w:val="000000" w:themeColor="text1"/>
                      <w:sz w:val="21"/>
                    </w:rPr>
                    <w:t>）</w:t>
                  </w:r>
                </w:p>
              </w:tc>
              <w:tc>
                <w:tcPr>
                  <w:tcW w:w="847" w:type="pct"/>
                  <w:tcBorders>
                    <w:tl2br w:val="nil"/>
                    <w:tr2bl w:val="nil"/>
                  </w:tcBorders>
                  <w:vAlign w:val="center"/>
                </w:tcPr>
                <w:p w14:paraId="1BC0FF4C">
                  <w:pPr>
                    <w:pStyle w:val="66"/>
                    <w:spacing w:line="240" w:lineRule="auto"/>
                    <w:ind w:left="0" w:right="0" w:firstLine="0" w:firstLineChars="0"/>
                    <w:rPr>
                      <w:color w:val="000000" w:themeColor="text1"/>
                      <w:sz w:val="21"/>
                    </w:rPr>
                  </w:pPr>
                  <w:r>
                    <w:rPr>
                      <w:rFonts w:hint="eastAsia"/>
                      <w:color w:val="000000" w:themeColor="text1"/>
                      <w:sz w:val="21"/>
                    </w:rPr>
                    <w:t>颗粒物、SO</w:t>
                  </w:r>
                  <w:r>
                    <w:rPr>
                      <w:rFonts w:hint="eastAsia"/>
                      <w:color w:val="000000" w:themeColor="text1"/>
                      <w:sz w:val="21"/>
                      <w:vertAlign w:val="subscript"/>
                    </w:rPr>
                    <w:t>2</w:t>
                  </w:r>
                  <w:r>
                    <w:rPr>
                      <w:rFonts w:hint="eastAsia"/>
                      <w:color w:val="000000" w:themeColor="text1"/>
                      <w:sz w:val="21"/>
                    </w:rPr>
                    <w:t>、NO</w:t>
                  </w:r>
                  <w:r>
                    <w:rPr>
                      <w:rFonts w:hint="eastAsia"/>
                      <w:color w:val="000000" w:themeColor="text1"/>
                      <w:sz w:val="21"/>
                      <w:vertAlign w:val="subscript"/>
                    </w:rPr>
                    <w:t>X</w:t>
                  </w:r>
                  <w:r>
                    <w:rPr>
                      <w:rFonts w:hint="eastAsia"/>
                      <w:color w:val="000000" w:themeColor="text1"/>
                      <w:sz w:val="21"/>
                    </w:rPr>
                    <w:t>、汞、烟气黑度</w:t>
                  </w:r>
                </w:p>
              </w:tc>
              <w:tc>
                <w:tcPr>
                  <w:tcW w:w="521" w:type="pct"/>
                  <w:tcBorders>
                    <w:tl2br w:val="nil"/>
                    <w:tr2bl w:val="nil"/>
                  </w:tcBorders>
                  <w:vAlign w:val="center"/>
                </w:tcPr>
                <w:p w14:paraId="19F55030">
                  <w:pPr>
                    <w:pStyle w:val="63"/>
                    <w:spacing w:line="240" w:lineRule="auto"/>
                    <w:ind w:firstLine="0" w:firstLineChars="0"/>
                    <w:jc w:val="center"/>
                    <w:rPr>
                      <w:color w:val="000000" w:themeColor="text1"/>
                      <w:sz w:val="21"/>
                      <w:szCs w:val="21"/>
                    </w:rPr>
                  </w:pPr>
                  <w:r>
                    <w:rPr>
                      <w:rFonts w:hint="eastAsia"/>
                      <w:color w:val="000000" w:themeColor="text1"/>
                      <w:sz w:val="21"/>
                      <w:szCs w:val="21"/>
                    </w:rPr>
                    <w:t>有组织排放</w:t>
                  </w:r>
                </w:p>
              </w:tc>
              <w:tc>
                <w:tcPr>
                  <w:tcW w:w="1957" w:type="pct"/>
                  <w:gridSpan w:val="2"/>
                  <w:tcBorders>
                    <w:tl2br w:val="nil"/>
                    <w:tr2bl w:val="nil"/>
                  </w:tcBorders>
                  <w:vAlign w:val="center"/>
                </w:tcPr>
                <w:p w14:paraId="1D172162">
                  <w:pPr>
                    <w:pStyle w:val="66"/>
                    <w:spacing w:line="240" w:lineRule="auto"/>
                    <w:ind w:left="0" w:right="0" w:firstLine="0" w:firstLineChars="0"/>
                    <w:rPr>
                      <w:color w:val="000000" w:themeColor="text1"/>
                      <w:sz w:val="21"/>
                    </w:rPr>
                  </w:pPr>
                  <w:r>
                    <w:rPr>
                      <w:rFonts w:hint="eastAsia"/>
                      <w:color w:val="000000" w:themeColor="text1"/>
                      <w:sz w:val="21"/>
                    </w:rPr>
                    <w:t>烘干机设备密闭，烘干方式为热风直接与物料接触烘干，</w:t>
                  </w:r>
                  <w:r>
                    <w:rPr>
                      <w:color w:val="000000" w:themeColor="text1"/>
                      <w:sz w:val="21"/>
                    </w:rPr>
                    <w:t>热风炉燃料燃烧废气</w:t>
                  </w:r>
                  <w:r>
                    <w:rPr>
                      <w:rFonts w:hint="eastAsia"/>
                      <w:color w:val="000000" w:themeColor="text1"/>
                      <w:sz w:val="21"/>
                    </w:rPr>
                    <w:t>和</w:t>
                  </w:r>
                  <w:r>
                    <w:rPr>
                      <w:color w:val="000000" w:themeColor="text1"/>
                      <w:sz w:val="21"/>
                    </w:rPr>
                    <w:t>物料烘干工艺废气</w:t>
                  </w:r>
                  <w:r>
                    <w:rPr>
                      <w:rFonts w:hint="eastAsia"/>
                      <w:color w:val="000000" w:themeColor="text1"/>
                      <w:sz w:val="21"/>
                    </w:rPr>
                    <w:t>经烘干机废气出口设置的集气管道收集后，通过“沙克龙除尘器+布袋除尘器”处理后由1根15m高排气筒（DA001）排放</w:t>
                  </w:r>
                </w:p>
              </w:tc>
            </w:tr>
            <w:tr w14:paraId="46714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507E5FB6">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951B7B7">
                  <w:pPr>
                    <w:pStyle w:val="66"/>
                    <w:spacing w:line="240" w:lineRule="auto"/>
                    <w:ind w:left="0" w:right="0" w:firstLine="0" w:firstLineChars="0"/>
                    <w:rPr>
                      <w:color w:val="000000" w:themeColor="text1"/>
                      <w:sz w:val="21"/>
                    </w:rPr>
                  </w:pPr>
                  <w:r>
                    <w:rPr>
                      <w:rFonts w:hint="eastAsia"/>
                      <w:color w:val="000000" w:themeColor="text1"/>
                      <w:sz w:val="21"/>
                    </w:rPr>
                    <w:t>中转仓落料及入料废气</w:t>
                  </w:r>
                </w:p>
              </w:tc>
              <w:tc>
                <w:tcPr>
                  <w:tcW w:w="847" w:type="pct"/>
                  <w:tcBorders>
                    <w:tl2br w:val="nil"/>
                    <w:tr2bl w:val="nil"/>
                  </w:tcBorders>
                  <w:vAlign w:val="center"/>
                </w:tcPr>
                <w:p w14:paraId="6F9E8039">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restart"/>
                  <w:tcBorders>
                    <w:tl2br w:val="nil"/>
                    <w:tr2bl w:val="nil"/>
                  </w:tcBorders>
                  <w:vAlign w:val="center"/>
                </w:tcPr>
                <w:p w14:paraId="7E0511E8">
                  <w:pPr>
                    <w:pStyle w:val="63"/>
                    <w:spacing w:line="240" w:lineRule="auto"/>
                    <w:ind w:firstLine="0" w:firstLineChars="0"/>
                    <w:jc w:val="center"/>
                    <w:rPr>
                      <w:color w:val="000000" w:themeColor="text1"/>
                      <w:sz w:val="21"/>
                      <w:szCs w:val="21"/>
                    </w:rPr>
                  </w:pPr>
                  <w:r>
                    <w:rPr>
                      <w:rFonts w:hint="eastAsia"/>
                      <w:color w:val="000000" w:themeColor="text1"/>
                      <w:sz w:val="21"/>
                      <w:szCs w:val="21"/>
                    </w:rPr>
                    <w:t>有组织排放</w:t>
                  </w:r>
                </w:p>
              </w:tc>
              <w:tc>
                <w:tcPr>
                  <w:tcW w:w="1490" w:type="pct"/>
                  <w:tcBorders>
                    <w:tl2br w:val="nil"/>
                    <w:tr2bl w:val="nil"/>
                  </w:tcBorders>
                  <w:vAlign w:val="center"/>
                </w:tcPr>
                <w:p w14:paraId="741BAF2C">
                  <w:pPr>
                    <w:pStyle w:val="66"/>
                    <w:spacing w:line="240" w:lineRule="auto"/>
                    <w:ind w:left="0" w:right="0" w:firstLine="0" w:firstLineChars="0"/>
                    <w:rPr>
                      <w:color w:val="000000" w:themeColor="text1"/>
                      <w:sz w:val="21"/>
                    </w:rPr>
                  </w:pPr>
                  <w:r>
                    <w:rPr>
                      <w:rFonts w:hint="eastAsia"/>
                      <w:color w:val="000000" w:themeColor="text1"/>
                      <w:sz w:val="21"/>
                    </w:rPr>
                    <w:t>中转仓封闭设置，其入料口设软帘，顶部设置集气管</w:t>
                  </w:r>
                </w:p>
              </w:tc>
              <w:tc>
                <w:tcPr>
                  <w:tcW w:w="466" w:type="pct"/>
                  <w:vMerge w:val="restart"/>
                  <w:tcBorders>
                    <w:tl2br w:val="nil"/>
                    <w:tr2bl w:val="nil"/>
                  </w:tcBorders>
                  <w:vAlign w:val="center"/>
                </w:tcPr>
                <w:p w14:paraId="4EF56BDC">
                  <w:pPr>
                    <w:pStyle w:val="66"/>
                    <w:spacing w:line="240" w:lineRule="auto"/>
                    <w:ind w:left="0" w:right="0" w:firstLine="0" w:firstLineChars="0"/>
                    <w:rPr>
                      <w:color w:val="000000" w:themeColor="text1"/>
                      <w:sz w:val="21"/>
                    </w:rPr>
                  </w:pPr>
                  <w:r>
                    <w:rPr>
                      <w:rFonts w:hint="eastAsia"/>
                      <w:color w:val="000000" w:themeColor="text1"/>
                      <w:sz w:val="21"/>
                    </w:rPr>
                    <w:t>共用1台布袋除尘器处理后由1根15m高排气筒（DA002）排放</w:t>
                  </w:r>
                </w:p>
              </w:tc>
            </w:tr>
            <w:tr w14:paraId="4FCDA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520992D4">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065A34E1">
                  <w:pPr>
                    <w:pStyle w:val="66"/>
                    <w:spacing w:line="240" w:lineRule="auto"/>
                    <w:ind w:left="0" w:right="0" w:firstLine="0" w:firstLineChars="0"/>
                    <w:rPr>
                      <w:color w:val="000000" w:themeColor="text1"/>
                      <w:sz w:val="21"/>
                    </w:rPr>
                  </w:pPr>
                  <w:r>
                    <w:rPr>
                      <w:rFonts w:hint="eastAsia"/>
                      <w:color w:val="000000" w:themeColor="text1"/>
                      <w:sz w:val="21"/>
                    </w:rPr>
                    <w:t>制粒废气</w:t>
                  </w:r>
                </w:p>
              </w:tc>
              <w:tc>
                <w:tcPr>
                  <w:tcW w:w="847" w:type="pct"/>
                  <w:tcBorders>
                    <w:tl2br w:val="nil"/>
                    <w:tr2bl w:val="nil"/>
                  </w:tcBorders>
                  <w:vAlign w:val="center"/>
                </w:tcPr>
                <w:p w14:paraId="034790A7">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4D1A5883">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2FADA454">
                  <w:pPr>
                    <w:pStyle w:val="66"/>
                    <w:spacing w:line="240" w:lineRule="auto"/>
                    <w:ind w:left="0" w:right="0" w:firstLine="0" w:firstLineChars="0"/>
                    <w:rPr>
                      <w:color w:val="000000" w:themeColor="text1"/>
                      <w:sz w:val="21"/>
                    </w:rPr>
                  </w:pPr>
                  <w:r>
                    <w:rPr>
                      <w:rFonts w:hint="eastAsia"/>
                      <w:color w:val="000000" w:themeColor="text1"/>
                      <w:sz w:val="21"/>
                    </w:rPr>
                    <w:t>4台生物质颗粒机设备密闭+4台旋风除尘器预处理</w:t>
                  </w:r>
                </w:p>
              </w:tc>
              <w:tc>
                <w:tcPr>
                  <w:tcW w:w="466" w:type="pct"/>
                  <w:vMerge w:val="continue"/>
                  <w:tcBorders>
                    <w:tl2br w:val="nil"/>
                    <w:tr2bl w:val="nil"/>
                  </w:tcBorders>
                  <w:vAlign w:val="center"/>
                </w:tcPr>
                <w:p w14:paraId="1EC0E88C">
                  <w:pPr>
                    <w:pStyle w:val="66"/>
                    <w:spacing w:line="240" w:lineRule="auto"/>
                    <w:ind w:left="0" w:right="0" w:firstLine="0" w:firstLineChars="0"/>
                    <w:rPr>
                      <w:color w:val="000000" w:themeColor="text1"/>
                      <w:sz w:val="21"/>
                    </w:rPr>
                  </w:pPr>
                </w:p>
              </w:tc>
            </w:tr>
            <w:tr w14:paraId="50AB8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05" w:type="pct"/>
                  <w:vMerge w:val="continue"/>
                  <w:tcBorders>
                    <w:tl2br w:val="nil"/>
                    <w:tr2bl w:val="nil"/>
                  </w:tcBorders>
                  <w:vAlign w:val="center"/>
                </w:tcPr>
                <w:p w14:paraId="6842A300">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6647EB91">
                  <w:pPr>
                    <w:pStyle w:val="66"/>
                    <w:spacing w:line="240" w:lineRule="auto"/>
                    <w:ind w:left="0" w:right="0" w:firstLine="0" w:firstLineChars="0"/>
                    <w:rPr>
                      <w:color w:val="000000" w:themeColor="text1"/>
                      <w:sz w:val="21"/>
                    </w:rPr>
                  </w:pPr>
                  <w:r>
                    <w:rPr>
                      <w:rFonts w:hint="eastAsia"/>
                      <w:color w:val="000000" w:themeColor="text1"/>
                      <w:sz w:val="21"/>
                    </w:rPr>
                    <w:t>筛分废气</w:t>
                  </w:r>
                </w:p>
              </w:tc>
              <w:tc>
                <w:tcPr>
                  <w:tcW w:w="847" w:type="pct"/>
                  <w:tcBorders>
                    <w:tl2br w:val="nil"/>
                    <w:tr2bl w:val="nil"/>
                  </w:tcBorders>
                  <w:vAlign w:val="center"/>
                </w:tcPr>
                <w:p w14:paraId="6DA4585F">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17191A96">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58B6A6FC">
                  <w:pPr>
                    <w:pStyle w:val="66"/>
                    <w:spacing w:line="240" w:lineRule="auto"/>
                    <w:ind w:left="0" w:right="0" w:firstLine="0" w:firstLineChars="0"/>
                    <w:rPr>
                      <w:color w:val="000000" w:themeColor="text1"/>
                      <w:sz w:val="21"/>
                    </w:rPr>
                  </w:pPr>
                  <w:r>
                    <w:rPr>
                      <w:rFonts w:hint="eastAsia"/>
                      <w:color w:val="000000" w:themeColor="text1"/>
                      <w:sz w:val="21"/>
                    </w:rPr>
                    <w:t>振筛设备密闭，设置集气管</w:t>
                  </w:r>
                </w:p>
              </w:tc>
              <w:tc>
                <w:tcPr>
                  <w:tcW w:w="466" w:type="pct"/>
                  <w:vMerge w:val="continue"/>
                  <w:tcBorders>
                    <w:tl2br w:val="nil"/>
                    <w:tr2bl w:val="nil"/>
                  </w:tcBorders>
                  <w:vAlign w:val="center"/>
                </w:tcPr>
                <w:p w14:paraId="02B5FA10">
                  <w:pPr>
                    <w:pStyle w:val="66"/>
                    <w:spacing w:line="240" w:lineRule="auto"/>
                    <w:ind w:left="0" w:right="0" w:firstLine="0" w:firstLineChars="0"/>
                    <w:rPr>
                      <w:color w:val="000000" w:themeColor="text1"/>
                      <w:sz w:val="21"/>
                    </w:rPr>
                  </w:pPr>
                </w:p>
              </w:tc>
            </w:tr>
            <w:tr w14:paraId="21C4E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05" w:type="pct"/>
                  <w:vMerge w:val="continue"/>
                  <w:tcBorders>
                    <w:tl2br w:val="nil"/>
                    <w:tr2bl w:val="nil"/>
                  </w:tcBorders>
                  <w:vAlign w:val="center"/>
                </w:tcPr>
                <w:p w14:paraId="1C06378D">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34E03DC0">
                  <w:pPr>
                    <w:pStyle w:val="66"/>
                    <w:spacing w:line="240" w:lineRule="auto"/>
                    <w:ind w:left="0" w:right="0" w:firstLine="0" w:firstLineChars="0"/>
                    <w:rPr>
                      <w:color w:val="000000" w:themeColor="text1"/>
                      <w:sz w:val="21"/>
                    </w:rPr>
                  </w:pPr>
                  <w:r>
                    <w:rPr>
                      <w:rFonts w:hint="eastAsia"/>
                      <w:color w:val="000000" w:themeColor="text1"/>
                      <w:sz w:val="21"/>
                    </w:rPr>
                    <w:t>筛下料落料废气</w:t>
                  </w:r>
                </w:p>
              </w:tc>
              <w:tc>
                <w:tcPr>
                  <w:tcW w:w="847" w:type="pct"/>
                  <w:tcBorders>
                    <w:tl2br w:val="nil"/>
                    <w:tr2bl w:val="nil"/>
                  </w:tcBorders>
                  <w:vAlign w:val="center"/>
                </w:tcPr>
                <w:p w14:paraId="32A125B2">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576BF230">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31238B49">
                  <w:pPr>
                    <w:pStyle w:val="66"/>
                    <w:spacing w:line="240" w:lineRule="auto"/>
                    <w:ind w:left="0" w:right="0" w:firstLine="0" w:firstLineChars="0"/>
                    <w:rPr>
                      <w:color w:val="000000" w:themeColor="text1"/>
                      <w:sz w:val="21"/>
                    </w:rPr>
                  </w:pPr>
                  <w:r>
                    <w:rPr>
                      <w:rFonts w:hint="eastAsia"/>
                      <w:color w:val="000000" w:themeColor="text1"/>
                      <w:sz w:val="21"/>
                    </w:rPr>
                    <w:t>振筛出料口上方设置集气罩</w:t>
                  </w:r>
                </w:p>
              </w:tc>
              <w:tc>
                <w:tcPr>
                  <w:tcW w:w="466" w:type="pct"/>
                  <w:vMerge w:val="continue"/>
                  <w:tcBorders>
                    <w:tl2br w:val="nil"/>
                    <w:tr2bl w:val="nil"/>
                  </w:tcBorders>
                  <w:vAlign w:val="center"/>
                </w:tcPr>
                <w:p w14:paraId="466F49F5">
                  <w:pPr>
                    <w:pStyle w:val="66"/>
                    <w:spacing w:line="240" w:lineRule="auto"/>
                    <w:ind w:left="0" w:right="0" w:firstLine="0" w:firstLineChars="0"/>
                    <w:rPr>
                      <w:color w:val="000000" w:themeColor="text1"/>
                      <w:sz w:val="21"/>
                    </w:rPr>
                  </w:pPr>
                </w:p>
              </w:tc>
            </w:tr>
            <w:tr w14:paraId="2DD93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7A9F0CAB">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02D7556E">
                  <w:pPr>
                    <w:pStyle w:val="66"/>
                    <w:spacing w:line="240" w:lineRule="auto"/>
                    <w:ind w:left="0" w:right="0" w:firstLine="0" w:firstLineChars="0"/>
                    <w:rPr>
                      <w:color w:val="000000" w:themeColor="text1"/>
                      <w:sz w:val="21"/>
                    </w:rPr>
                  </w:pPr>
                  <w:r>
                    <w:rPr>
                      <w:rFonts w:hint="eastAsia"/>
                      <w:color w:val="000000" w:themeColor="text1"/>
                      <w:sz w:val="21"/>
                    </w:rPr>
                    <w:t>成品网状料仓入料及冷却废气</w:t>
                  </w:r>
                </w:p>
              </w:tc>
              <w:tc>
                <w:tcPr>
                  <w:tcW w:w="847" w:type="pct"/>
                  <w:tcBorders>
                    <w:tl2br w:val="nil"/>
                    <w:tr2bl w:val="nil"/>
                  </w:tcBorders>
                  <w:vAlign w:val="center"/>
                </w:tcPr>
                <w:p w14:paraId="4FA0036C">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55C88A27">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16AD29A9">
                  <w:pPr>
                    <w:pStyle w:val="66"/>
                    <w:spacing w:line="240" w:lineRule="auto"/>
                    <w:ind w:left="0" w:right="0" w:firstLine="0" w:firstLineChars="0"/>
                    <w:rPr>
                      <w:color w:val="000000" w:themeColor="text1"/>
                      <w:sz w:val="21"/>
                    </w:rPr>
                  </w:pPr>
                  <w:r>
                    <w:rPr>
                      <w:rFonts w:hint="eastAsia"/>
                      <w:color w:val="000000" w:themeColor="text1"/>
                      <w:sz w:val="21"/>
                    </w:rPr>
                    <w:t>成品网状料仓入料口上方设置集气罩</w:t>
                  </w:r>
                </w:p>
              </w:tc>
              <w:tc>
                <w:tcPr>
                  <w:tcW w:w="466" w:type="pct"/>
                  <w:vMerge w:val="continue"/>
                  <w:tcBorders>
                    <w:tl2br w:val="nil"/>
                    <w:tr2bl w:val="nil"/>
                  </w:tcBorders>
                  <w:vAlign w:val="center"/>
                </w:tcPr>
                <w:p w14:paraId="5CAC10D9">
                  <w:pPr>
                    <w:pStyle w:val="66"/>
                    <w:spacing w:line="240" w:lineRule="auto"/>
                    <w:ind w:left="0" w:right="0" w:firstLine="0" w:firstLineChars="0"/>
                    <w:rPr>
                      <w:color w:val="000000" w:themeColor="text1"/>
                      <w:sz w:val="21"/>
                    </w:rPr>
                  </w:pPr>
                </w:p>
              </w:tc>
            </w:tr>
            <w:tr w14:paraId="7AD27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5DC03DA0">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E20D02A">
                  <w:pPr>
                    <w:pStyle w:val="66"/>
                    <w:spacing w:line="240" w:lineRule="auto"/>
                    <w:ind w:left="0" w:right="0" w:firstLine="0" w:firstLineChars="0"/>
                    <w:rPr>
                      <w:color w:val="000000" w:themeColor="text1"/>
                      <w:sz w:val="21"/>
                    </w:rPr>
                  </w:pPr>
                  <w:r>
                    <w:rPr>
                      <w:rFonts w:hint="eastAsia"/>
                      <w:color w:val="000000" w:themeColor="text1"/>
                      <w:sz w:val="21"/>
                    </w:rPr>
                    <w:t>成品皮带输送机落料废气</w:t>
                  </w:r>
                </w:p>
              </w:tc>
              <w:tc>
                <w:tcPr>
                  <w:tcW w:w="847" w:type="pct"/>
                  <w:tcBorders>
                    <w:tl2br w:val="nil"/>
                    <w:tr2bl w:val="nil"/>
                  </w:tcBorders>
                  <w:vAlign w:val="center"/>
                </w:tcPr>
                <w:p w14:paraId="67D2A8BD">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3499FC40">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31AB3E19">
                  <w:pPr>
                    <w:pStyle w:val="66"/>
                    <w:spacing w:line="240" w:lineRule="auto"/>
                    <w:ind w:left="0" w:right="0" w:firstLine="0" w:firstLineChars="0"/>
                    <w:rPr>
                      <w:color w:val="000000" w:themeColor="text1"/>
                      <w:sz w:val="21"/>
                    </w:rPr>
                  </w:pPr>
                  <w:r>
                    <w:rPr>
                      <w:rFonts w:hint="eastAsia"/>
                      <w:color w:val="000000" w:themeColor="text1"/>
                      <w:sz w:val="21"/>
                    </w:rPr>
                    <w:t>成品皮带输送机落料点上方设置集气罩</w:t>
                  </w:r>
                </w:p>
              </w:tc>
              <w:tc>
                <w:tcPr>
                  <w:tcW w:w="466" w:type="pct"/>
                  <w:vMerge w:val="continue"/>
                  <w:tcBorders>
                    <w:tl2br w:val="nil"/>
                    <w:tr2bl w:val="nil"/>
                  </w:tcBorders>
                  <w:vAlign w:val="center"/>
                </w:tcPr>
                <w:p w14:paraId="0FFBDF74">
                  <w:pPr>
                    <w:pStyle w:val="66"/>
                    <w:spacing w:line="240" w:lineRule="auto"/>
                    <w:ind w:left="0" w:right="0" w:firstLine="0" w:firstLineChars="0"/>
                    <w:rPr>
                      <w:color w:val="000000" w:themeColor="text1"/>
                      <w:sz w:val="21"/>
                    </w:rPr>
                  </w:pPr>
                </w:p>
              </w:tc>
            </w:tr>
            <w:tr w14:paraId="706B8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2FCDAA05">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09A07D24">
                  <w:pPr>
                    <w:pStyle w:val="66"/>
                    <w:spacing w:line="240" w:lineRule="auto"/>
                    <w:ind w:left="0" w:right="0" w:firstLine="0" w:firstLineChars="0"/>
                    <w:rPr>
                      <w:color w:val="000000" w:themeColor="text1"/>
                      <w:sz w:val="21"/>
                    </w:rPr>
                  </w:pPr>
                  <w:r>
                    <w:rPr>
                      <w:rFonts w:hint="eastAsia"/>
                      <w:color w:val="000000" w:themeColor="text1"/>
                      <w:sz w:val="21"/>
                    </w:rPr>
                    <w:t>打包机包装废气</w:t>
                  </w:r>
                </w:p>
              </w:tc>
              <w:tc>
                <w:tcPr>
                  <w:tcW w:w="847" w:type="pct"/>
                  <w:tcBorders>
                    <w:tl2br w:val="nil"/>
                    <w:tr2bl w:val="nil"/>
                  </w:tcBorders>
                  <w:vAlign w:val="center"/>
                </w:tcPr>
                <w:p w14:paraId="68D624A6">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521" w:type="pct"/>
                  <w:vMerge w:val="continue"/>
                  <w:tcBorders>
                    <w:tl2br w:val="nil"/>
                    <w:tr2bl w:val="nil"/>
                  </w:tcBorders>
                  <w:vAlign w:val="center"/>
                </w:tcPr>
                <w:p w14:paraId="306972D4">
                  <w:pPr>
                    <w:pStyle w:val="63"/>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0F01890E">
                  <w:pPr>
                    <w:pStyle w:val="66"/>
                    <w:spacing w:line="240" w:lineRule="auto"/>
                    <w:ind w:left="0" w:right="0" w:firstLine="0" w:firstLineChars="0"/>
                    <w:rPr>
                      <w:color w:val="000000" w:themeColor="text1"/>
                      <w:sz w:val="21"/>
                    </w:rPr>
                  </w:pPr>
                  <w:r>
                    <w:rPr>
                      <w:rFonts w:hint="eastAsia"/>
                      <w:color w:val="000000" w:themeColor="text1"/>
                      <w:sz w:val="21"/>
                    </w:rPr>
                    <w:t>打包机侧方设置集气罩</w:t>
                  </w:r>
                </w:p>
              </w:tc>
              <w:tc>
                <w:tcPr>
                  <w:tcW w:w="466" w:type="pct"/>
                  <w:vMerge w:val="continue"/>
                  <w:tcBorders>
                    <w:tl2br w:val="nil"/>
                    <w:tr2bl w:val="nil"/>
                  </w:tcBorders>
                  <w:vAlign w:val="center"/>
                </w:tcPr>
                <w:p w14:paraId="3FC4A604">
                  <w:pPr>
                    <w:pStyle w:val="66"/>
                    <w:spacing w:line="240" w:lineRule="auto"/>
                    <w:ind w:left="0" w:right="0" w:firstLine="0" w:firstLineChars="0"/>
                    <w:rPr>
                      <w:color w:val="000000" w:themeColor="text1"/>
                      <w:sz w:val="21"/>
                    </w:rPr>
                  </w:pPr>
                </w:p>
              </w:tc>
            </w:tr>
            <w:tr w14:paraId="7433A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405" w:type="pct"/>
                  <w:vMerge w:val="restart"/>
                  <w:tcBorders>
                    <w:tl2br w:val="nil"/>
                    <w:tr2bl w:val="nil"/>
                  </w:tcBorders>
                  <w:vAlign w:val="center"/>
                </w:tcPr>
                <w:p w14:paraId="70906FB4">
                  <w:pPr>
                    <w:pStyle w:val="66"/>
                    <w:spacing w:line="240" w:lineRule="auto"/>
                    <w:ind w:left="0" w:right="0" w:firstLine="0" w:firstLineChars="0"/>
                    <w:rPr>
                      <w:color w:val="000000" w:themeColor="text1"/>
                      <w:sz w:val="21"/>
                    </w:rPr>
                  </w:pPr>
                  <w:r>
                    <w:rPr>
                      <w:rFonts w:hint="eastAsia"/>
                      <w:color w:val="000000" w:themeColor="text1"/>
                      <w:sz w:val="21"/>
                    </w:rPr>
                    <w:t>废水</w:t>
                  </w:r>
                </w:p>
              </w:tc>
              <w:tc>
                <w:tcPr>
                  <w:tcW w:w="1267" w:type="pct"/>
                  <w:tcBorders>
                    <w:tl2br w:val="nil"/>
                    <w:tr2bl w:val="nil"/>
                  </w:tcBorders>
                  <w:shd w:val="clear" w:color="auto" w:fill="auto"/>
                  <w:vAlign w:val="center"/>
                </w:tcPr>
                <w:p w14:paraId="3B3594A7">
                  <w:pPr>
                    <w:pStyle w:val="66"/>
                    <w:spacing w:line="240" w:lineRule="auto"/>
                    <w:ind w:left="0" w:right="0" w:firstLine="0" w:firstLineChars="0"/>
                    <w:rPr>
                      <w:color w:val="000000" w:themeColor="text1"/>
                      <w:sz w:val="21"/>
                    </w:rPr>
                  </w:pPr>
                  <w:r>
                    <w:rPr>
                      <w:rFonts w:hint="eastAsia"/>
                      <w:color w:val="000000" w:themeColor="text1"/>
                      <w:sz w:val="21"/>
                    </w:rPr>
                    <w:t>热风炉冷却过程排污水</w:t>
                  </w:r>
                </w:p>
              </w:tc>
              <w:tc>
                <w:tcPr>
                  <w:tcW w:w="847" w:type="pct"/>
                  <w:tcBorders>
                    <w:tl2br w:val="nil"/>
                    <w:tr2bl w:val="nil"/>
                  </w:tcBorders>
                  <w:shd w:val="clear" w:color="auto" w:fill="auto"/>
                  <w:vAlign w:val="center"/>
                </w:tcPr>
                <w:p w14:paraId="193F9E21">
                  <w:pPr>
                    <w:pStyle w:val="66"/>
                    <w:spacing w:line="240" w:lineRule="auto"/>
                    <w:ind w:left="0" w:right="0" w:firstLine="0" w:firstLineChars="0"/>
                    <w:rPr>
                      <w:color w:val="000000" w:themeColor="text1"/>
                      <w:sz w:val="21"/>
                    </w:rPr>
                  </w:pPr>
                  <w:r>
                    <w:rPr>
                      <w:rFonts w:hint="eastAsia"/>
                      <w:color w:val="000000" w:themeColor="text1"/>
                      <w:sz w:val="21"/>
                    </w:rPr>
                    <w:t>COD、SS</w:t>
                  </w:r>
                </w:p>
              </w:tc>
              <w:tc>
                <w:tcPr>
                  <w:tcW w:w="521" w:type="pct"/>
                  <w:tcBorders>
                    <w:tl2br w:val="nil"/>
                    <w:tr2bl w:val="nil"/>
                  </w:tcBorders>
                  <w:shd w:val="clear" w:color="auto" w:fill="auto"/>
                  <w:vAlign w:val="center"/>
                </w:tcPr>
                <w:p w14:paraId="7F59E41C">
                  <w:pPr>
                    <w:pStyle w:val="63"/>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shd w:val="clear" w:color="auto" w:fill="auto"/>
                  <w:vAlign w:val="center"/>
                </w:tcPr>
                <w:p w14:paraId="5BAD690B">
                  <w:pPr>
                    <w:pStyle w:val="66"/>
                    <w:spacing w:line="240" w:lineRule="auto"/>
                    <w:ind w:left="0" w:right="0" w:firstLine="0" w:firstLineChars="0"/>
                    <w:rPr>
                      <w:color w:val="000000" w:themeColor="text1"/>
                      <w:sz w:val="21"/>
                    </w:rPr>
                  </w:pPr>
                  <w:r>
                    <w:rPr>
                      <w:rFonts w:hint="eastAsia"/>
                      <w:color w:val="000000" w:themeColor="text1"/>
                      <w:sz w:val="21"/>
                    </w:rPr>
                    <w:t>热风炉冷却过程排污水</w:t>
                  </w:r>
                  <w:r>
                    <w:rPr>
                      <w:color w:val="000000" w:themeColor="text1"/>
                      <w:sz w:val="21"/>
                    </w:rPr>
                    <w:t>回用于</w:t>
                  </w:r>
                  <w:r>
                    <w:rPr>
                      <w:rFonts w:hint="eastAsia" w:ascii="宋体" w:hAnsi="宋体" w:cs="宋体"/>
                      <w:color w:val="000000" w:themeColor="text1"/>
                      <w:sz w:val="21"/>
                    </w:rPr>
                    <w:t>冲厕用水再利用，</w:t>
                  </w:r>
                  <w:r>
                    <w:rPr>
                      <w:rFonts w:hint="eastAsia"/>
                      <w:color w:val="000000" w:themeColor="text1"/>
                      <w:sz w:val="21"/>
                    </w:rPr>
                    <w:t>不外排</w:t>
                  </w:r>
                </w:p>
              </w:tc>
            </w:tr>
            <w:tr w14:paraId="5E72D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5CD3884D">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3B48B06B">
                  <w:pPr>
                    <w:pStyle w:val="66"/>
                    <w:spacing w:line="240" w:lineRule="auto"/>
                    <w:ind w:left="0" w:right="0" w:firstLine="0" w:firstLineChars="0"/>
                    <w:rPr>
                      <w:color w:val="000000" w:themeColor="text1"/>
                      <w:sz w:val="21"/>
                    </w:rPr>
                  </w:pPr>
                  <w:r>
                    <w:rPr>
                      <w:rFonts w:hint="eastAsia"/>
                      <w:color w:val="000000" w:themeColor="text1"/>
                      <w:sz w:val="21"/>
                    </w:rPr>
                    <w:t>生活污水</w:t>
                  </w:r>
                </w:p>
              </w:tc>
              <w:tc>
                <w:tcPr>
                  <w:tcW w:w="847" w:type="pct"/>
                  <w:tcBorders>
                    <w:tl2br w:val="nil"/>
                    <w:tr2bl w:val="nil"/>
                  </w:tcBorders>
                  <w:vAlign w:val="center"/>
                </w:tcPr>
                <w:p w14:paraId="26907C4C">
                  <w:pPr>
                    <w:pStyle w:val="66"/>
                    <w:spacing w:line="240" w:lineRule="auto"/>
                    <w:ind w:left="0" w:right="0" w:firstLine="0" w:firstLineChars="0"/>
                    <w:rPr>
                      <w:color w:val="000000" w:themeColor="text1"/>
                      <w:sz w:val="21"/>
                    </w:rPr>
                  </w:pPr>
                  <w:r>
                    <w:rPr>
                      <w:color w:val="000000" w:themeColor="text1"/>
                      <w:sz w:val="21"/>
                    </w:rPr>
                    <w:t>pH、COD、BOD</w:t>
                  </w:r>
                  <w:r>
                    <w:rPr>
                      <w:color w:val="000000" w:themeColor="text1"/>
                      <w:sz w:val="21"/>
                      <w:vertAlign w:val="subscript"/>
                    </w:rPr>
                    <w:t>5</w:t>
                  </w:r>
                  <w:r>
                    <w:rPr>
                      <w:color w:val="000000" w:themeColor="text1"/>
                      <w:sz w:val="21"/>
                    </w:rPr>
                    <w:t>、SS、NH</w:t>
                  </w:r>
                  <w:r>
                    <w:rPr>
                      <w:color w:val="000000" w:themeColor="text1"/>
                      <w:sz w:val="21"/>
                      <w:vertAlign w:val="subscript"/>
                    </w:rPr>
                    <w:t>3</w:t>
                  </w:r>
                  <w:r>
                    <w:rPr>
                      <w:color w:val="000000" w:themeColor="text1"/>
                      <w:sz w:val="21"/>
                    </w:rPr>
                    <w:t>-N</w:t>
                  </w:r>
                  <w:r>
                    <w:rPr>
                      <w:rFonts w:hint="eastAsia"/>
                      <w:color w:val="000000" w:themeColor="text1"/>
                      <w:sz w:val="21"/>
                    </w:rPr>
                    <w:t>、TN、TP</w:t>
                  </w:r>
                </w:p>
              </w:tc>
              <w:tc>
                <w:tcPr>
                  <w:tcW w:w="521" w:type="pct"/>
                  <w:tcBorders>
                    <w:tl2br w:val="nil"/>
                    <w:tr2bl w:val="nil"/>
                  </w:tcBorders>
                  <w:vAlign w:val="center"/>
                </w:tcPr>
                <w:p w14:paraId="5FBEC47D">
                  <w:pPr>
                    <w:pStyle w:val="63"/>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602DE4D5">
                  <w:pPr>
                    <w:pStyle w:val="66"/>
                    <w:spacing w:line="240" w:lineRule="auto"/>
                    <w:ind w:left="0" w:right="0" w:firstLine="0" w:firstLineChars="0"/>
                    <w:rPr>
                      <w:color w:val="000000" w:themeColor="text1"/>
                      <w:sz w:val="21"/>
                    </w:rPr>
                  </w:pPr>
                  <w:r>
                    <w:rPr>
                      <w:rFonts w:hint="eastAsia"/>
                      <w:color w:val="000000" w:themeColor="text1"/>
                      <w:sz w:val="21"/>
                    </w:rPr>
                    <w:t>排入市政污水管网，最终进入曹妃甸工业区装备制造区污水处理站处理</w:t>
                  </w:r>
                </w:p>
              </w:tc>
            </w:tr>
            <w:tr w14:paraId="3D503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58" w:hRule="atLeast"/>
                <w:jc w:val="center"/>
              </w:trPr>
              <w:tc>
                <w:tcPr>
                  <w:tcW w:w="405" w:type="pct"/>
                  <w:vMerge w:val="restart"/>
                  <w:tcBorders>
                    <w:tl2br w:val="nil"/>
                    <w:tr2bl w:val="nil"/>
                  </w:tcBorders>
                  <w:vAlign w:val="center"/>
                </w:tcPr>
                <w:p w14:paraId="42292709">
                  <w:pPr>
                    <w:pStyle w:val="66"/>
                    <w:spacing w:line="240" w:lineRule="auto"/>
                    <w:ind w:left="0" w:right="0" w:firstLine="0" w:firstLineChars="0"/>
                    <w:rPr>
                      <w:color w:val="000000" w:themeColor="text1"/>
                      <w:sz w:val="21"/>
                    </w:rPr>
                  </w:pPr>
                  <w:r>
                    <w:rPr>
                      <w:color w:val="000000" w:themeColor="text1"/>
                      <w:sz w:val="21"/>
                    </w:rPr>
                    <w:t>噪声</w:t>
                  </w:r>
                </w:p>
              </w:tc>
              <w:tc>
                <w:tcPr>
                  <w:tcW w:w="1267" w:type="pct"/>
                  <w:tcBorders>
                    <w:tl2br w:val="nil"/>
                    <w:tr2bl w:val="nil"/>
                  </w:tcBorders>
                  <w:vAlign w:val="center"/>
                </w:tcPr>
                <w:p w14:paraId="244A3A91">
                  <w:pPr>
                    <w:pStyle w:val="66"/>
                    <w:spacing w:line="240" w:lineRule="auto"/>
                    <w:ind w:left="0" w:right="0" w:firstLine="0" w:firstLineChars="0"/>
                    <w:rPr>
                      <w:color w:val="000000" w:themeColor="text1"/>
                      <w:sz w:val="21"/>
                    </w:rPr>
                  </w:pPr>
                  <w:r>
                    <w:rPr>
                      <w:color w:val="000000" w:themeColor="text1"/>
                      <w:sz w:val="21"/>
                    </w:rPr>
                    <w:t>绞龙、滚筒筛、皮带输送机、烘干机、斗提机、砂石分离器、生物质颗粒机、振筛、打包机</w:t>
                  </w:r>
                  <w:r>
                    <w:rPr>
                      <w:rFonts w:hint="eastAsia"/>
                      <w:color w:val="000000" w:themeColor="text1"/>
                      <w:sz w:val="21"/>
                    </w:rPr>
                    <w:t>、空压机</w:t>
                  </w:r>
                  <w:r>
                    <w:rPr>
                      <w:color w:val="000000" w:themeColor="text1"/>
                      <w:sz w:val="21"/>
                    </w:rPr>
                    <w:t>等生产设备及环保设备风机</w:t>
                  </w:r>
                </w:p>
              </w:tc>
              <w:tc>
                <w:tcPr>
                  <w:tcW w:w="847" w:type="pct"/>
                  <w:tcBorders>
                    <w:tl2br w:val="nil"/>
                    <w:tr2bl w:val="nil"/>
                  </w:tcBorders>
                  <w:vAlign w:val="center"/>
                </w:tcPr>
                <w:p w14:paraId="37A8E331">
                  <w:pPr>
                    <w:tabs>
                      <w:tab w:val="left" w:pos="2604"/>
                    </w:tabs>
                    <w:spacing w:line="240" w:lineRule="auto"/>
                    <w:ind w:firstLine="0" w:firstLineChars="0"/>
                    <w:jc w:val="center"/>
                    <w:rPr>
                      <w:color w:val="000000" w:themeColor="text1"/>
                      <w:sz w:val="21"/>
                      <w:szCs w:val="21"/>
                    </w:rPr>
                  </w:pPr>
                  <w:r>
                    <w:rPr>
                      <w:color w:val="000000" w:themeColor="text1"/>
                      <w:sz w:val="21"/>
                      <w:szCs w:val="21"/>
                    </w:rPr>
                    <w:t>噪声</w:t>
                  </w:r>
                </w:p>
              </w:tc>
              <w:tc>
                <w:tcPr>
                  <w:tcW w:w="521" w:type="pct"/>
                  <w:tcBorders>
                    <w:tl2br w:val="nil"/>
                    <w:tr2bl w:val="nil"/>
                  </w:tcBorders>
                  <w:vAlign w:val="center"/>
                </w:tcPr>
                <w:p w14:paraId="01E4AAE8">
                  <w:pPr>
                    <w:pStyle w:val="63"/>
                    <w:spacing w:line="240" w:lineRule="auto"/>
                    <w:ind w:firstLine="0" w:firstLineChars="0"/>
                    <w:jc w:val="center"/>
                    <w:rPr>
                      <w:color w:val="000000" w:themeColor="text1"/>
                      <w:sz w:val="21"/>
                      <w:szCs w:val="21"/>
                    </w:rPr>
                  </w:pPr>
                  <w:r>
                    <w:rPr>
                      <w:color w:val="000000" w:themeColor="text1"/>
                      <w:sz w:val="21"/>
                      <w:szCs w:val="21"/>
                    </w:rPr>
                    <w:t>频发</w:t>
                  </w:r>
                </w:p>
              </w:tc>
              <w:tc>
                <w:tcPr>
                  <w:tcW w:w="1957" w:type="pct"/>
                  <w:gridSpan w:val="2"/>
                  <w:tcBorders>
                    <w:tl2br w:val="nil"/>
                    <w:tr2bl w:val="nil"/>
                  </w:tcBorders>
                  <w:vAlign w:val="center"/>
                </w:tcPr>
                <w:p w14:paraId="35887452">
                  <w:pPr>
                    <w:pStyle w:val="66"/>
                    <w:adjustRightInd w:val="0"/>
                    <w:snapToGrid w:val="0"/>
                    <w:spacing w:line="240" w:lineRule="auto"/>
                    <w:ind w:left="0" w:right="0" w:firstLine="0" w:firstLineChars="0"/>
                    <w:rPr>
                      <w:color w:val="000000" w:themeColor="text1"/>
                      <w:sz w:val="21"/>
                    </w:rPr>
                  </w:pPr>
                  <w:r>
                    <w:rPr>
                      <w:color w:val="000000" w:themeColor="text1"/>
                      <w:sz w:val="21"/>
                    </w:rPr>
                    <w:t>选用低噪声设备、设置基础减振、封闭</w:t>
                  </w:r>
                  <w:r>
                    <w:rPr>
                      <w:rFonts w:hint="eastAsia"/>
                      <w:color w:val="000000" w:themeColor="text1"/>
                      <w:sz w:val="21"/>
                    </w:rPr>
                    <w:t>厂房</w:t>
                  </w:r>
                  <w:r>
                    <w:rPr>
                      <w:color w:val="000000" w:themeColor="text1"/>
                      <w:sz w:val="21"/>
                    </w:rPr>
                    <w:t>隔声</w:t>
                  </w:r>
                  <w:r>
                    <w:rPr>
                      <w:rFonts w:hint="eastAsia"/>
                      <w:color w:val="000000" w:themeColor="text1"/>
                      <w:sz w:val="21"/>
                    </w:rPr>
                    <w:t>、风机设置隔声罩</w:t>
                  </w:r>
                </w:p>
              </w:tc>
            </w:tr>
            <w:tr w14:paraId="565CB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restart"/>
                  <w:tcBorders>
                    <w:tl2br w:val="nil"/>
                    <w:tr2bl w:val="nil"/>
                  </w:tcBorders>
                  <w:vAlign w:val="center"/>
                </w:tcPr>
                <w:p w14:paraId="453BC544">
                  <w:pPr>
                    <w:pStyle w:val="66"/>
                    <w:spacing w:line="240" w:lineRule="auto"/>
                    <w:ind w:left="0" w:right="0" w:firstLine="0" w:firstLineChars="0"/>
                    <w:rPr>
                      <w:color w:val="000000" w:themeColor="text1"/>
                      <w:sz w:val="21"/>
                    </w:rPr>
                  </w:pPr>
                  <w:r>
                    <w:rPr>
                      <w:rFonts w:hint="eastAsia"/>
                      <w:color w:val="000000" w:themeColor="text1"/>
                      <w:sz w:val="21"/>
                    </w:rPr>
                    <w:t>一般</w:t>
                  </w:r>
                  <w:r>
                    <w:rPr>
                      <w:color w:val="000000" w:themeColor="text1"/>
                      <w:sz w:val="21"/>
                    </w:rPr>
                    <w:t>固体废物</w:t>
                  </w:r>
                </w:p>
              </w:tc>
              <w:tc>
                <w:tcPr>
                  <w:tcW w:w="1267" w:type="pct"/>
                  <w:tcBorders>
                    <w:tl2br w:val="nil"/>
                    <w:tr2bl w:val="nil"/>
                  </w:tcBorders>
                  <w:vAlign w:val="center"/>
                </w:tcPr>
                <w:p w14:paraId="43AC51A2">
                  <w:pPr>
                    <w:pStyle w:val="66"/>
                    <w:spacing w:line="240" w:lineRule="auto"/>
                    <w:ind w:left="0" w:right="0" w:firstLine="0" w:firstLineChars="0"/>
                    <w:rPr>
                      <w:color w:val="000000" w:themeColor="text1"/>
                      <w:sz w:val="21"/>
                    </w:rPr>
                  </w:pPr>
                  <w:r>
                    <w:rPr>
                      <w:rFonts w:hint="eastAsia"/>
                      <w:color w:val="000000" w:themeColor="text1"/>
                      <w:sz w:val="21"/>
                    </w:rPr>
                    <w:t>滚筒筛筛分</w:t>
                  </w:r>
                </w:p>
              </w:tc>
              <w:tc>
                <w:tcPr>
                  <w:tcW w:w="847" w:type="pct"/>
                  <w:tcBorders>
                    <w:tl2br w:val="nil"/>
                    <w:tr2bl w:val="nil"/>
                  </w:tcBorders>
                  <w:vAlign w:val="center"/>
                </w:tcPr>
                <w:p w14:paraId="7A5E32BB">
                  <w:pPr>
                    <w:pStyle w:val="66"/>
                    <w:spacing w:line="240" w:lineRule="auto"/>
                    <w:ind w:left="0" w:right="0" w:firstLine="0" w:firstLineChars="0"/>
                    <w:rPr>
                      <w:color w:val="000000" w:themeColor="text1"/>
                      <w:sz w:val="21"/>
                    </w:rPr>
                  </w:pPr>
                  <w:r>
                    <w:rPr>
                      <w:rFonts w:hint="eastAsia"/>
                      <w:color w:val="000000" w:themeColor="text1"/>
                      <w:sz w:val="21"/>
                    </w:rPr>
                    <w:t>大块木废边角料</w:t>
                  </w:r>
                </w:p>
              </w:tc>
              <w:tc>
                <w:tcPr>
                  <w:tcW w:w="521" w:type="pct"/>
                  <w:tcBorders>
                    <w:tl2br w:val="nil"/>
                    <w:tr2bl w:val="nil"/>
                  </w:tcBorders>
                  <w:vAlign w:val="center"/>
                </w:tcPr>
                <w:p w14:paraId="640F4C66">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432AB872">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暂存于一般固废储存区，定期外售给下游收购商进行加工处理</w:t>
                  </w:r>
                </w:p>
              </w:tc>
            </w:tr>
            <w:tr w14:paraId="2DE99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4DE9D13F">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12C33AE4">
                  <w:pPr>
                    <w:pStyle w:val="66"/>
                    <w:spacing w:line="240" w:lineRule="auto"/>
                    <w:ind w:left="0" w:right="0" w:firstLine="0" w:firstLineChars="0"/>
                    <w:rPr>
                      <w:color w:val="000000" w:themeColor="text1"/>
                      <w:sz w:val="21"/>
                    </w:rPr>
                  </w:pPr>
                  <w:r>
                    <w:rPr>
                      <w:rFonts w:hint="eastAsia"/>
                      <w:color w:val="000000" w:themeColor="text1"/>
                      <w:sz w:val="21"/>
                    </w:rPr>
                    <w:t>热风炉</w:t>
                  </w:r>
                </w:p>
              </w:tc>
              <w:tc>
                <w:tcPr>
                  <w:tcW w:w="847" w:type="pct"/>
                  <w:tcBorders>
                    <w:tl2br w:val="nil"/>
                    <w:tr2bl w:val="nil"/>
                  </w:tcBorders>
                  <w:vAlign w:val="center"/>
                </w:tcPr>
                <w:p w14:paraId="337BE203">
                  <w:pPr>
                    <w:pStyle w:val="66"/>
                    <w:spacing w:line="240" w:lineRule="auto"/>
                    <w:ind w:left="0" w:right="0" w:firstLine="0" w:firstLineChars="0"/>
                    <w:rPr>
                      <w:color w:val="000000" w:themeColor="text1"/>
                      <w:sz w:val="21"/>
                    </w:rPr>
                  </w:pPr>
                  <w:r>
                    <w:rPr>
                      <w:rFonts w:hint="eastAsia"/>
                      <w:color w:val="000000" w:themeColor="text1"/>
                      <w:sz w:val="21"/>
                    </w:rPr>
                    <w:t>灰渣</w:t>
                  </w:r>
                </w:p>
              </w:tc>
              <w:tc>
                <w:tcPr>
                  <w:tcW w:w="521" w:type="pct"/>
                  <w:tcBorders>
                    <w:tl2br w:val="nil"/>
                    <w:tr2bl w:val="nil"/>
                  </w:tcBorders>
                  <w:vAlign w:val="center"/>
                </w:tcPr>
                <w:p w14:paraId="0FD2C5AF">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0EC99992">
                  <w:pPr>
                    <w:pStyle w:val="66"/>
                    <w:spacing w:line="240" w:lineRule="auto"/>
                    <w:ind w:left="0" w:right="0" w:firstLine="0" w:firstLineChars="0"/>
                    <w:rPr>
                      <w:color w:val="000000" w:themeColor="text1"/>
                      <w:sz w:val="21"/>
                    </w:rPr>
                  </w:pPr>
                  <w:r>
                    <w:rPr>
                      <w:color w:val="000000" w:themeColor="text1"/>
                      <w:sz w:val="21"/>
                    </w:rPr>
                    <w:t>热风炉燃尽后的灰渣通过炉排缝隙自然下落至底部灰斗，定期打开灰斗门人工清理，</w:t>
                  </w:r>
                  <w:r>
                    <w:rPr>
                      <w:rFonts w:hint="eastAsia"/>
                      <w:color w:val="000000" w:themeColor="text1"/>
                      <w:sz w:val="21"/>
                    </w:rPr>
                    <w:t>集中收集后</w:t>
                  </w:r>
                  <w:r>
                    <w:rPr>
                      <w:color w:val="000000" w:themeColor="text1"/>
                      <w:sz w:val="21"/>
                    </w:rPr>
                    <w:t>暂存</w:t>
                  </w:r>
                  <w:r>
                    <w:rPr>
                      <w:rFonts w:hint="eastAsia"/>
                      <w:color w:val="000000" w:themeColor="text1"/>
                      <w:sz w:val="21"/>
                    </w:rPr>
                    <w:t>于一般固废储存区，外售用作农田肥料</w:t>
                  </w:r>
                </w:p>
              </w:tc>
            </w:tr>
            <w:tr w14:paraId="1E4CA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380F7B6E">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7FCF5BE4">
                  <w:pPr>
                    <w:pStyle w:val="66"/>
                    <w:spacing w:line="240" w:lineRule="auto"/>
                    <w:ind w:left="0" w:right="0" w:firstLine="0" w:firstLineChars="0"/>
                    <w:rPr>
                      <w:color w:val="000000" w:themeColor="text1"/>
                      <w:sz w:val="21"/>
                    </w:rPr>
                  </w:pPr>
                  <w:r>
                    <w:rPr>
                      <w:rFonts w:hint="eastAsia"/>
                      <w:color w:val="000000" w:themeColor="text1"/>
                      <w:sz w:val="21"/>
                    </w:rPr>
                    <w:t>砂石分离器</w:t>
                  </w:r>
                </w:p>
              </w:tc>
              <w:tc>
                <w:tcPr>
                  <w:tcW w:w="847" w:type="pct"/>
                  <w:tcBorders>
                    <w:tl2br w:val="nil"/>
                    <w:tr2bl w:val="nil"/>
                  </w:tcBorders>
                  <w:vAlign w:val="center"/>
                </w:tcPr>
                <w:p w14:paraId="3EA8890F">
                  <w:pPr>
                    <w:pStyle w:val="66"/>
                    <w:spacing w:line="240" w:lineRule="auto"/>
                    <w:ind w:left="0" w:right="0" w:firstLine="0" w:firstLineChars="0"/>
                    <w:rPr>
                      <w:color w:val="000000" w:themeColor="text1"/>
                      <w:sz w:val="21"/>
                    </w:rPr>
                  </w:pPr>
                  <w:r>
                    <w:rPr>
                      <w:rFonts w:hint="eastAsia"/>
                      <w:color w:val="000000" w:themeColor="text1"/>
                      <w:sz w:val="21"/>
                    </w:rPr>
                    <w:t>石子等硬质杂质</w:t>
                  </w:r>
                </w:p>
              </w:tc>
              <w:tc>
                <w:tcPr>
                  <w:tcW w:w="521" w:type="pct"/>
                  <w:tcBorders>
                    <w:tl2br w:val="nil"/>
                    <w:tr2bl w:val="nil"/>
                  </w:tcBorders>
                  <w:vAlign w:val="center"/>
                </w:tcPr>
                <w:p w14:paraId="59CAA4F5">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2101F196">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暂存于一般固废储存区，定期外售物资回收公司回收利用</w:t>
                  </w:r>
                </w:p>
              </w:tc>
            </w:tr>
            <w:tr w14:paraId="5D1F4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41881DA6">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2221EBA5">
                  <w:pPr>
                    <w:pStyle w:val="66"/>
                    <w:spacing w:line="240" w:lineRule="auto"/>
                    <w:ind w:left="0" w:right="0" w:firstLine="0" w:firstLineChars="0"/>
                    <w:rPr>
                      <w:color w:val="000000" w:themeColor="text1"/>
                      <w:sz w:val="21"/>
                    </w:rPr>
                  </w:pPr>
                  <w:r>
                    <w:rPr>
                      <w:rFonts w:hint="eastAsia"/>
                      <w:color w:val="000000" w:themeColor="text1"/>
                      <w:sz w:val="21"/>
                    </w:rPr>
                    <w:t>振筛筛分</w:t>
                  </w:r>
                </w:p>
              </w:tc>
              <w:tc>
                <w:tcPr>
                  <w:tcW w:w="847" w:type="pct"/>
                  <w:tcBorders>
                    <w:tl2br w:val="nil"/>
                    <w:tr2bl w:val="nil"/>
                  </w:tcBorders>
                  <w:vAlign w:val="center"/>
                </w:tcPr>
                <w:p w14:paraId="16871B10">
                  <w:pPr>
                    <w:pStyle w:val="66"/>
                    <w:spacing w:line="240" w:lineRule="auto"/>
                    <w:ind w:left="0" w:right="0" w:firstLine="0" w:firstLineChars="0"/>
                    <w:rPr>
                      <w:color w:val="000000" w:themeColor="text1"/>
                      <w:sz w:val="21"/>
                    </w:rPr>
                  </w:pPr>
                  <w:r>
                    <w:rPr>
                      <w:rFonts w:hint="eastAsia"/>
                      <w:color w:val="000000" w:themeColor="text1"/>
                      <w:sz w:val="21"/>
                    </w:rPr>
                    <w:t>不合格品</w:t>
                  </w:r>
                </w:p>
              </w:tc>
              <w:tc>
                <w:tcPr>
                  <w:tcW w:w="521" w:type="pct"/>
                  <w:tcBorders>
                    <w:tl2br w:val="nil"/>
                    <w:tr2bl w:val="nil"/>
                  </w:tcBorders>
                  <w:vAlign w:val="center"/>
                </w:tcPr>
                <w:p w14:paraId="26BE5ABF">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387B3301">
                  <w:pPr>
                    <w:pStyle w:val="66"/>
                    <w:spacing w:line="240" w:lineRule="auto"/>
                    <w:ind w:left="0" w:right="0" w:firstLine="0" w:firstLineChars="0"/>
                    <w:rPr>
                      <w:color w:val="000000" w:themeColor="text1"/>
                      <w:sz w:val="21"/>
                    </w:rPr>
                  </w:pPr>
                  <w:r>
                    <w:rPr>
                      <w:rFonts w:hint="eastAsia"/>
                      <w:color w:val="000000" w:themeColor="text1"/>
                      <w:sz w:val="21"/>
                    </w:rPr>
                    <w:t>筛分出粒径小于8mm的不合格品经袋装收集后人工转移至中转仓返料至生物质颗粒机重新制粒</w:t>
                  </w:r>
                </w:p>
              </w:tc>
            </w:tr>
            <w:tr w14:paraId="3672A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5F9B067F">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43AE162F">
                  <w:pPr>
                    <w:pStyle w:val="66"/>
                    <w:spacing w:line="240" w:lineRule="auto"/>
                    <w:ind w:left="0" w:right="0" w:firstLine="0" w:firstLineChars="0"/>
                    <w:rPr>
                      <w:color w:val="000000" w:themeColor="text1"/>
                      <w:sz w:val="21"/>
                    </w:rPr>
                  </w:pPr>
                  <w:r>
                    <w:rPr>
                      <w:rFonts w:hint="eastAsia"/>
                      <w:color w:val="000000" w:themeColor="text1"/>
                      <w:sz w:val="21"/>
                    </w:rPr>
                    <w:t>包装</w:t>
                  </w:r>
                </w:p>
              </w:tc>
              <w:tc>
                <w:tcPr>
                  <w:tcW w:w="847" w:type="pct"/>
                  <w:tcBorders>
                    <w:tl2br w:val="nil"/>
                    <w:tr2bl w:val="nil"/>
                  </w:tcBorders>
                  <w:vAlign w:val="center"/>
                </w:tcPr>
                <w:p w14:paraId="4E07BBB1">
                  <w:pPr>
                    <w:pStyle w:val="66"/>
                    <w:spacing w:line="240" w:lineRule="auto"/>
                    <w:ind w:left="0" w:right="0" w:firstLine="0" w:firstLineChars="0"/>
                    <w:rPr>
                      <w:color w:val="000000" w:themeColor="text1"/>
                      <w:sz w:val="21"/>
                    </w:rPr>
                  </w:pPr>
                  <w:r>
                    <w:rPr>
                      <w:rFonts w:hint="eastAsia"/>
                      <w:color w:val="000000" w:themeColor="text1"/>
                      <w:sz w:val="21"/>
                    </w:rPr>
                    <w:t>废包装袋</w:t>
                  </w:r>
                </w:p>
              </w:tc>
              <w:tc>
                <w:tcPr>
                  <w:tcW w:w="521" w:type="pct"/>
                  <w:tcBorders>
                    <w:tl2br w:val="nil"/>
                    <w:tr2bl w:val="nil"/>
                  </w:tcBorders>
                  <w:vAlign w:val="center"/>
                </w:tcPr>
                <w:p w14:paraId="2EABC2F6">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4A8B7BE2">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暂存于一般固废储存区，定期外售废品回收站</w:t>
                  </w:r>
                </w:p>
              </w:tc>
            </w:tr>
            <w:tr w14:paraId="09A02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40677AD9">
                  <w:pPr>
                    <w:pStyle w:val="66"/>
                    <w:spacing w:line="240" w:lineRule="auto"/>
                    <w:ind w:left="0" w:right="0" w:firstLine="0" w:firstLineChars="0"/>
                    <w:rPr>
                      <w:color w:val="000000" w:themeColor="text1"/>
                      <w:sz w:val="21"/>
                    </w:rPr>
                  </w:pPr>
                </w:p>
              </w:tc>
              <w:tc>
                <w:tcPr>
                  <w:tcW w:w="1267" w:type="pct"/>
                  <w:vMerge w:val="restart"/>
                  <w:tcBorders>
                    <w:tl2br w:val="nil"/>
                    <w:tr2bl w:val="nil"/>
                  </w:tcBorders>
                  <w:vAlign w:val="center"/>
                </w:tcPr>
                <w:p w14:paraId="6F975505">
                  <w:pPr>
                    <w:pStyle w:val="66"/>
                    <w:spacing w:line="240" w:lineRule="auto"/>
                    <w:ind w:left="0" w:right="0" w:firstLine="0" w:firstLineChars="0"/>
                    <w:rPr>
                      <w:color w:val="000000" w:themeColor="text1"/>
                      <w:sz w:val="21"/>
                    </w:rPr>
                  </w:pPr>
                  <w:r>
                    <w:rPr>
                      <w:rFonts w:hint="eastAsia"/>
                      <w:color w:val="000000" w:themeColor="text1"/>
                      <w:sz w:val="21"/>
                    </w:rPr>
                    <w:t>除尘器</w:t>
                  </w:r>
                </w:p>
              </w:tc>
              <w:tc>
                <w:tcPr>
                  <w:tcW w:w="847" w:type="pct"/>
                  <w:tcBorders>
                    <w:tl2br w:val="nil"/>
                    <w:tr2bl w:val="nil"/>
                  </w:tcBorders>
                  <w:shd w:val="clear" w:color="auto" w:fill="auto"/>
                  <w:vAlign w:val="center"/>
                </w:tcPr>
                <w:p w14:paraId="23D9E44B">
                  <w:pPr>
                    <w:pStyle w:val="66"/>
                    <w:spacing w:line="240" w:lineRule="auto"/>
                    <w:ind w:left="0" w:right="0" w:firstLine="0" w:firstLineChars="0"/>
                    <w:rPr>
                      <w:color w:val="000000" w:themeColor="text1"/>
                      <w:sz w:val="21"/>
                    </w:rPr>
                  </w:pPr>
                  <w:r>
                    <w:rPr>
                      <w:rFonts w:hint="eastAsia"/>
                      <w:color w:val="000000" w:themeColor="text1"/>
                      <w:sz w:val="21"/>
                    </w:rPr>
                    <w:t>除尘灰</w:t>
                  </w:r>
                </w:p>
              </w:tc>
              <w:tc>
                <w:tcPr>
                  <w:tcW w:w="521" w:type="pct"/>
                  <w:tcBorders>
                    <w:tl2br w:val="nil"/>
                    <w:tr2bl w:val="nil"/>
                  </w:tcBorders>
                  <w:vAlign w:val="center"/>
                </w:tcPr>
                <w:p w14:paraId="01F7503F">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715B583C">
                  <w:pPr>
                    <w:pStyle w:val="66"/>
                    <w:spacing w:line="240" w:lineRule="auto"/>
                    <w:ind w:left="0" w:right="0" w:firstLine="0" w:firstLineChars="0"/>
                    <w:rPr>
                      <w:color w:val="000000" w:themeColor="text1"/>
                      <w:sz w:val="21"/>
                    </w:rPr>
                  </w:pPr>
                  <w:r>
                    <w:rPr>
                      <w:rFonts w:hint="eastAsia"/>
                      <w:color w:val="000000" w:themeColor="text1"/>
                      <w:sz w:val="21"/>
                    </w:rPr>
                    <w:t>布袋除尘器的灰斗下方</w:t>
                  </w:r>
                  <w:r>
                    <w:rPr>
                      <w:color w:val="000000" w:themeColor="text1"/>
                      <w:sz w:val="21"/>
                    </w:rPr>
                    <w:t>设置有带塑料内衬的密封袋，</w:t>
                  </w:r>
                  <w:r>
                    <w:rPr>
                      <w:rFonts w:hint="eastAsia"/>
                      <w:color w:val="000000" w:themeColor="text1"/>
                      <w:sz w:val="21"/>
                    </w:rPr>
                    <w:t>袋装收集后暂存于一般固废储存区，定期外售物资回收公司回收利用</w:t>
                  </w:r>
                </w:p>
              </w:tc>
            </w:tr>
            <w:tr w14:paraId="6256A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02F34AEE">
                  <w:pPr>
                    <w:pStyle w:val="66"/>
                    <w:spacing w:line="240" w:lineRule="auto"/>
                    <w:ind w:left="0" w:right="0" w:firstLine="0" w:firstLineChars="0"/>
                    <w:rPr>
                      <w:color w:val="000000" w:themeColor="text1"/>
                      <w:sz w:val="21"/>
                    </w:rPr>
                  </w:pPr>
                </w:p>
              </w:tc>
              <w:tc>
                <w:tcPr>
                  <w:tcW w:w="1267" w:type="pct"/>
                  <w:vMerge w:val="continue"/>
                  <w:tcBorders>
                    <w:tl2br w:val="nil"/>
                    <w:tr2bl w:val="nil"/>
                  </w:tcBorders>
                  <w:vAlign w:val="center"/>
                </w:tcPr>
                <w:p w14:paraId="4054557F">
                  <w:pPr>
                    <w:pStyle w:val="66"/>
                    <w:spacing w:line="240" w:lineRule="auto"/>
                    <w:ind w:left="0" w:right="0" w:firstLine="0" w:firstLineChars="0"/>
                    <w:rPr>
                      <w:color w:val="000000" w:themeColor="text1"/>
                      <w:sz w:val="21"/>
                    </w:rPr>
                  </w:pPr>
                </w:p>
              </w:tc>
              <w:tc>
                <w:tcPr>
                  <w:tcW w:w="847" w:type="pct"/>
                  <w:tcBorders>
                    <w:tl2br w:val="nil"/>
                    <w:tr2bl w:val="nil"/>
                  </w:tcBorders>
                  <w:shd w:val="clear" w:color="auto" w:fill="auto"/>
                  <w:vAlign w:val="center"/>
                </w:tcPr>
                <w:p w14:paraId="65FDAD88">
                  <w:pPr>
                    <w:pStyle w:val="66"/>
                    <w:spacing w:line="240" w:lineRule="auto"/>
                    <w:ind w:left="0" w:right="0" w:firstLine="0" w:firstLineChars="0"/>
                    <w:rPr>
                      <w:color w:val="000000" w:themeColor="text1"/>
                      <w:sz w:val="21"/>
                    </w:rPr>
                  </w:pPr>
                  <w:r>
                    <w:rPr>
                      <w:rFonts w:hint="eastAsia"/>
                      <w:color w:val="000000" w:themeColor="text1"/>
                      <w:sz w:val="21"/>
                    </w:rPr>
                    <w:t>废布袋</w:t>
                  </w:r>
                </w:p>
              </w:tc>
              <w:tc>
                <w:tcPr>
                  <w:tcW w:w="521" w:type="pct"/>
                  <w:tcBorders>
                    <w:tl2br w:val="nil"/>
                    <w:tr2bl w:val="nil"/>
                  </w:tcBorders>
                  <w:vAlign w:val="center"/>
                </w:tcPr>
                <w:p w14:paraId="4F393536">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589E33BC">
                  <w:pPr>
                    <w:pStyle w:val="66"/>
                    <w:spacing w:line="240" w:lineRule="auto"/>
                    <w:ind w:left="0" w:right="0" w:firstLine="0" w:firstLineChars="0"/>
                    <w:rPr>
                      <w:color w:val="000000" w:themeColor="text1"/>
                      <w:sz w:val="21"/>
                    </w:rPr>
                  </w:pPr>
                  <w:r>
                    <w:rPr>
                      <w:rFonts w:hint="eastAsia"/>
                      <w:color w:val="000000" w:themeColor="text1"/>
                      <w:sz w:val="21"/>
                    </w:rPr>
                    <w:t>暂存于一般固废储存区，定期外售废品回收站</w:t>
                  </w:r>
                </w:p>
              </w:tc>
            </w:tr>
            <w:tr w14:paraId="7E847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7F272DD7">
                  <w:pPr>
                    <w:pStyle w:val="66"/>
                    <w:spacing w:line="240" w:lineRule="auto"/>
                    <w:ind w:left="0" w:right="0" w:firstLine="0" w:firstLineChars="0"/>
                    <w:rPr>
                      <w:color w:val="000000" w:themeColor="text1"/>
                      <w:sz w:val="21"/>
                    </w:rPr>
                  </w:pPr>
                </w:p>
              </w:tc>
              <w:tc>
                <w:tcPr>
                  <w:tcW w:w="1267" w:type="pct"/>
                  <w:tcBorders>
                    <w:tl2br w:val="nil"/>
                    <w:tr2bl w:val="nil"/>
                  </w:tcBorders>
                  <w:vAlign w:val="center"/>
                </w:tcPr>
                <w:p w14:paraId="10BF6BDC">
                  <w:pPr>
                    <w:pStyle w:val="66"/>
                    <w:spacing w:line="240" w:lineRule="auto"/>
                    <w:ind w:left="0" w:right="0" w:firstLine="0" w:firstLineChars="0"/>
                    <w:rPr>
                      <w:color w:val="000000" w:themeColor="text1"/>
                      <w:sz w:val="21"/>
                    </w:rPr>
                  </w:pPr>
                  <w:r>
                    <w:rPr>
                      <w:rFonts w:hint="eastAsia"/>
                      <w:color w:val="000000" w:themeColor="text1"/>
                      <w:sz w:val="21"/>
                    </w:rPr>
                    <w:t>厂房截留颗粒物（沉降粉尘）</w:t>
                  </w:r>
                </w:p>
              </w:tc>
              <w:tc>
                <w:tcPr>
                  <w:tcW w:w="847" w:type="pct"/>
                  <w:tcBorders>
                    <w:tl2br w:val="nil"/>
                    <w:tr2bl w:val="nil"/>
                  </w:tcBorders>
                  <w:shd w:val="clear" w:color="auto" w:fill="auto"/>
                  <w:vAlign w:val="center"/>
                </w:tcPr>
                <w:p w14:paraId="1ABC2962">
                  <w:pPr>
                    <w:pStyle w:val="66"/>
                    <w:spacing w:line="240" w:lineRule="auto"/>
                    <w:ind w:left="0" w:right="0" w:firstLine="0" w:firstLineChars="0"/>
                    <w:rPr>
                      <w:color w:val="000000" w:themeColor="text1"/>
                      <w:sz w:val="21"/>
                    </w:rPr>
                  </w:pPr>
                  <w:r>
                    <w:rPr>
                      <w:rFonts w:hint="eastAsia"/>
                      <w:color w:val="000000" w:themeColor="text1"/>
                      <w:sz w:val="21"/>
                    </w:rPr>
                    <w:t>（沉降粉尘）</w:t>
                  </w:r>
                </w:p>
              </w:tc>
              <w:tc>
                <w:tcPr>
                  <w:tcW w:w="521" w:type="pct"/>
                  <w:tcBorders>
                    <w:tl2br w:val="nil"/>
                    <w:tr2bl w:val="nil"/>
                  </w:tcBorders>
                  <w:vAlign w:val="center"/>
                </w:tcPr>
                <w:p w14:paraId="322CCEDF">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22BFBDC9">
                  <w:pPr>
                    <w:pStyle w:val="66"/>
                    <w:spacing w:line="240" w:lineRule="auto"/>
                    <w:ind w:left="0" w:right="0" w:firstLine="0" w:firstLineChars="0"/>
                    <w:rPr>
                      <w:color w:val="000000" w:themeColor="text1"/>
                      <w:sz w:val="21"/>
                    </w:rPr>
                  </w:pPr>
                  <w:r>
                    <w:rPr>
                      <w:rFonts w:hint="eastAsia"/>
                      <w:color w:val="000000" w:themeColor="text1"/>
                      <w:sz w:val="21"/>
                    </w:rPr>
                    <w:t>定期清扫厂房地面，集中袋装收集，暂存于一般固废储存区，定期外售物资回收公司回收利用</w:t>
                  </w:r>
                </w:p>
              </w:tc>
            </w:tr>
            <w:tr w14:paraId="5168C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tcBorders>
                    <w:tl2br w:val="nil"/>
                    <w:tr2bl w:val="nil"/>
                  </w:tcBorders>
                  <w:vAlign w:val="center"/>
                </w:tcPr>
                <w:p w14:paraId="768E4623">
                  <w:pPr>
                    <w:pStyle w:val="66"/>
                    <w:spacing w:line="240" w:lineRule="auto"/>
                    <w:ind w:left="0" w:right="0" w:firstLine="0" w:firstLineChars="0"/>
                    <w:rPr>
                      <w:color w:val="000000" w:themeColor="text1"/>
                      <w:sz w:val="21"/>
                    </w:rPr>
                  </w:pPr>
                  <w:r>
                    <w:rPr>
                      <w:rFonts w:hint="eastAsia"/>
                      <w:color w:val="000000" w:themeColor="text1"/>
                      <w:sz w:val="21"/>
                    </w:rPr>
                    <w:t>职工生活</w:t>
                  </w:r>
                </w:p>
              </w:tc>
              <w:tc>
                <w:tcPr>
                  <w:tcW w:w="1267" w:type="pct"/>
                  <w:tcBorders>
                    <w:tl2br w:val="nil"/>
                    <w:tr2bl w:val="nil"/>
                  </w:tcBorders>
                  <w:vAlign w:val="center"/>
                </w:tcPr>
                <w:p w14:paraId="0F1A76B7">
                  <w:pPr>
                    <w:pStyle w:val="66"/>
                    <w:spacing w:line="240" w:lineRule="auto"/>
                    <w:ind w:left="0" w:right="0" w:firstLine="0" w:firstLineChars="0"/>
                    <w:rPr>
                      <w:color w:val="000000" w:themeColor="text1"/>
                      <w:sz w:val="21"/>
                    </w:rPr>
                  </w:pPr>
                  <w:r>
                    <w:rPr>
                      <w:rFonts w:hint="eastAsia"/>
                      <w:color w:val="000000" w:themeColor="text1"/>
                      <w:sz w:val="21"/>
                    </w:rPr>
                    <w:t>职工生活</w:t>
                  </w:r>
                </w:p>
              </w:tc>
              <w:tc>
                <w:tcPr>
                  <w:tcW w:w="847" w:type="pct"/>
                  <w:tcBorders>
                    <w:tl2br w:val="nil"/>
                    <w:tr2bl w:val="nil"/>
                  </w:tcBorders>
                  <w:vAlign w:val="center"/>
                </w:tcPr>
                <w:p w14:paraId="0374DE9C">
                  <w:pPr>
                    <w:pStyle w:val="66"/>
                    <w:spacing w:line="240" w:lineRule="auto"/>
                    <w:ind w:left="0" w:right="0" w:firstLine="0" w:firstLineChars="0"/>
                    <w:rPr>
                      <w:color w:val="000000" w:themeColor="text1"/>
                      <w:sz w:val="21"/>
                    </w:rPr>
                  </w:pPr>
                  <w:r>
                    <w:rPr>
                      <w:rFonts w:hint="eastAsia"/>
                      <w:color w:val="000000" w:themeColor="text1"/>
                      <w:sz w:val="21"/>
                    </w:rPr>
                    <w:t>生活垃圾</w:t>
                  </w:r>
                </w:p>
              </w:tc>
              <w:tc>
                <w:tcPr>
                  <w:tcW w:w="521" w:type="pct"/>
                  <w:tcBorders>
                    <w:tl2br w:val="nil"/>
                    <w:tr2bl w:val="nil"/>
                  </w:tcBorders>
                  <w:vAlign w:val="center"/>
                </w:tcPr>
                <w:p w14:paraId="43E58257">
                  <w:pPr>
                    <w:spacing w:line="240" w:lineRule="auto"/>
                    <w:ind w:firstLine="0" w:firstLineChars="0"/>
                    <w:jc w:val="center"/>
                    <w:rPr>
                      <w:color w:val="000000" w:themeColor="text1"/>
                      <w:sz w:val="21"/>
                      <w:szCs w:val="21"/>
                    </w:rPr>
                  </w:pPr>
                  <w:r>
                    <w:rPr>
                      <w:rFonts w:hint="eastAsia"/>
                      <w:color w:val="000000" w:themeColor="text1"/>
                      <w:sz w:val="21"/>
                      <w:szCs w:val="21"/>
                    </w:rPr>
                    <w:t>间断</w:t>
                  </w:r>
                </w:p>
              </w:tc>
              <w:tc>
                <w:tcPr>
                  <w:tcW w:w="1957" w:type="pct"/>
                  <w:gridSpan w:val="2"/>
                  <w:tcBorders>
                    <w:tl2br w:val="nil"/>
                    <w:tr2bl w:val="nil"/>
                  </w:tcBorders>
                  <w:vAlign w:val="center"/>
                </w:tcPr>
                <w:p w14:paraId="386FE499">
                  <w:pPr>
                    <w:pStyle w:val="66"/>
                    <w:spacing w:line="240" w:lineRule="auto"/>
                    <w:ind w:left="0" w:right="0" w:firstLine="0" w:firstLineChars="0"/>
                    <w:rPr>
                      <w:color w:val="000000" w:themeColor="text1"/>
                      <w:sz w:val="21"/>
                    </w:rPr>
                  </w:pPr>
                  <w:r>
                    <w:rPr>
                      <w:rFonts w:hint="eastAsia"/>
                      <w:color w:val="000000" w:themeColor="text1"/>
                      <w:sz w:val="21"/>
                    </w:rPr>
                    <w:t>集中袋装收集，由当地环卫部门统一处理</w:t>
                  </w:r>
                </w:p>
              </w:tc>
            </w:tr>
            <w:tr w14:paraId="09D34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restart"/>
                  <w:tcBorders>
                    <w:tl2br w:val="nil"/>
                    <w:tr2bl w:val="nil"/>
                  </w:tcBorders>
                  <w:vAlign w:val="center"/>
                </w:tcPr>
                <w:p w14:paraId="4949C34D">
                  <w:pPr>
                    <w:pStyle w:val="66"/>
                    <w:spacing w:line="240" w:lineRule="auto"/>
                    <w:ind w:left="0" w:right="0" w:firstLine="0" w:firstLineChars="0"/>
                    <w:rPr>
                      <w:color w:val="000000" w:themeColor="text1"/>
                      <w:sz w:val="21"/>
                    </w:rPr>
                  </w:pPr>
                  <w:r>
                    <w:rPr>
                      <w:rFonts w:hint="eastAsia"/>
                      <w:color w:val="000000" w:themeColor="text1"/>
                      <w:sz w:val="21"/>
                    </w:rPr>
                    <w:t>危险废物</w:t>
                  </w:r>
                </w:p>
              </w:tc>
              <w:tc>
                <w:tcPr>
                  <w:tcW w:w="1267" w:type="pct"/>
                  <w:vMerge w:val="restart"/>
                  <w:tcBorders>
                    <w:tl2br w:val="nil"/>
                    <w:tr2bl w:val="nil"/>
                  </w:tcBorders>
                  <w:vAlign w:val="center"/>
                </w:tcPr>
                <w:p w14:paraId="4E4CAAA9">
                  <w:pPr>
                    <w:pStyle w:val="66"/>
                    <w:spacing w:line="240" w:lineRule="auto"/>
                    <w:ind w:left="0" w:right="0" w:firstLine="0" w:firstLineChars="0"/>
                    <w:rPr>
                      <w:color w:val="000000" w:themeColor="text1"/>
                      <w:sz w:val="21"/>
                    </w:rPr>
                  </w:pPr>
                  <w:r>
                    <w:rPr>
                      <w:color w:val="000000" w:themeColor="text1"/>
                      <w:sz w:val="21"/>
                    </w:rPr>
                    <w:t>设备维护和保养</w:t>
                  </w:r>
                </w:p>
              </w:tc>
              <w:tc>
                <w:tcPr>
                  <w:tcW w:w="847" w:type="pct"/>
                  <w:tcBorders>
                    <w:tl2br w:val="nil"/>
                    <w:tr2bl w:val="nil"/>
                  </w:tcBorders>
                  <w:vAlign w:val="center"/>
                </w:tcPr>
                <w:p w14:paraId="1B8D157D">
                  <w:pPr>
                    <w:pStyle w:val="63"/>
                    <w:spacing w:line="240" w:lineRule="auto"/>
                    <w:ind w:firstLine="0" w:firstLineChars="0"/>
                    <w:jc w:val="center"/>
                    <w:rPr>
                      <w:color w:val="000000" w:themeColor="text1"/>
                      <w:sz w:val="21"/>
                      <w:szCs w:val="21"/>
                    </w:rPr>
                  </w:pPr>
                  <w:r>
                    <w:rPr>
                      <w:rFonts w:hint="eastAsia"/>
                      <w:color w:val="000000" w:themeColor="text1"/>
                      <w:sz w:val="21"/>
                      <w:szCs w:val="21"/>
                    </w:rPr>
                    <w:t>废液压油、废机油、废润滑油</w:t>
                  </w:r>
                </w:p>
              </w:tc>
              <w:tc>
                <w:tcPr>
                  <w:tcW w:w="521" w:type="pct"/>
                  <w:tcBorders>
                    <w:tl2br w:val="nil"/>
                    <w:tr2bl w:val="nil"/>
                  </w:tcBorders>
                  <w:vAlign w:val="center"/>
                </w:tcPr>
                <w:p w14:paraId="68B2C97D">
                  <w:pPr>
                    <w:spacing w:line="240" w:lineRule="auto"/>
                    <w:ind w:firstLine="0" w:firstLineChars="0"/>
                    <w:jc w:val="center"/>
                    <w:rPr>
                      <w:color w:val="000000" w:themeColor="text1"/>
                      <w:sz w:val="21"/>
                      <w:szCs w:val="21"/>
                    </w:rPr>
                  </w:pPr>
                  <w:r>
                    <w:rPr>
                      <w:color w:val="000000" w:themeColor="text1"/>
                      <w:sz w:val="21"/>
                      <w:szCs w:val="21"/>
                    </w:rPr>
                    <w:t>间断</w:t>
                  </w:r>
                </w:p>
              </w:tc>
              <w:tc>
                <w:tcPr>
                  <w:tcW w:w="1957" w:type="pct"/>
                  <w:gridSpan w:val="2"/>
                  <w:tcBorders>
                    <w:tl2br w:val="nil"/>
                    <w:tr2bl w:val="nil"/>
                  </w:tcBorders>
                  <w:vAlign w:val="center"/>
                </w:tcPr>
                <w:p w14:paraId="38FB0FDC">
                  <w:pPr>
                    <w:pStyle w:val="66"/>
                    <w:spacing w:line="240" w:lineRule="auto"/>
                    <w:ind w:left="0" w:right="0" w:firstLine="0" w:firstLineChars="0"/>
                    <w:rPr>
                      <w:color w:val="000000" w:themeColor="text1"/>
                      <w:kern w:val="2"/>
                      <w:sz w:val="21"/>
                    </w:rPr>
                  </w:pPr>
                  <w:r>
                    <w:rPr>
                      <w:rFonts w:hint="eastAsia"/>
                      <w:color w:val="000000" w:themeColor="text1"/>
                      <w:sz w:val="21"/>
                    </w:rPr>
                    <w:t>桶装加盖收集</w:t>
                  </w:r>
                  <w:r>
                    <w:rPr>
                      <w:color w:val="000000" w:themeColor="text1"/>
                      <w:sz w:val="21"/>
                    </w:rPr>
                    <w:t>，暂存于危废暂存间，定期交由有资质单位处置</w:t>
                  </w:r>
                </w:p>
              </w:tc>
            </w:tr>
            <w:tr w14:paraId="4C735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05" w:type="pct"/>
                  <w:vMerge w:val="continue"/>
                  <w:tcBorders>
                    <w:tl2br w:val="nil"/>
                    <w:tr2bl w:val="nil"/>
                  </w:tcBorders>
                  <w:vAlign w:val="center"/>
                </w:tcPr>
                <w:p w14:paraId="39E40EEA">
                  <w:pPr>
                    <w:pStyle w:val="66"/>
                    <w:spacing w:line="240" w:lineRule="auto"/>
                    <w:ind w:left="0" w:right="0" w:firstLine="0" w:firstLineChars="0"/>
                    <w:rPr>
                      <w:color w:val="000000" w:themeColor="text1"/>
                      <w:sz w:val="21"/>
                    </w:rPr>
                  </w:pPr>
                </w:p>
              </w:tc>
              <w:tc>
                <w:tcPr>
                  <w:tcW w:w="1267" w:type="pct"/>
                  <w:vMerge w:val="continue"/>
                  <w:tcBorders>
                    <w:tl2br w:val="nil"/>
                    <w:tr2bl w:val="nil"/>
                  </w:tcBorders>
                  <w:vAlign w:val="center"/>
                </w:tcPr>
                <w:p w14:paraId="6B2FB520">
                  <w:pPr>
                    <w:pStyle w:val="66"/>
                    <w:spacing w:line="240" w:lineRule="auto"/>
                    <w:ind w:left="0" w:right="0" w:firstLine="0" w:firstLineChars="0"/>
                    <w:rPr>
                      <w:color w:val="000000" w:themeColor="text1"/>
                      <w:sz w:val="21"/>
                    </w:rPr>
                  </w:pPr>
                </w:p>
              </w:tc>
              <w:tc>
                <w:tcPr>
                  <w:tcW w:w="847" w:type="pct"/>
                  <w:tcBorders>
                    <w:tl2br w:val="nil"/>
                    <w:tr2bl w:val="nil"/>
                  </w:tcBorders>
                  <w:vAlign w:val="center"/>
                </w:tcPr>
                <w:p w14:paraId="1DEFABB7">
                  <w:pPr>
                    <w:pStyle w:val="63"/>
                    <w:spacing w:line="240" w:lineRule="auto"/>
                    <w:ind w:firstLine="0" w:firstLineChars="0"/>
                    <w:jc w:val="center"/>
                    <w:rPr>
                      <w:color w:val="000000" w:themeColor="text1"/>
                      <w:sz w:val="21"/>
                      <w:szCs w:val="21"/>
                    </w:rPr>
                  </w:pPr>
                  <w:r>
                    <w:rPr>
                      <w:rFonts w:hint="eastAsia"/>
                      <w:color w:val="000000" w:themeColor="text1"/>
                      <w:sz w:val="21"/>
                      <w:szCs w:val="21"/>
                    </w:rPr>
                    <w:t>废油桶</w:t>
                  </w:r>
                </w:p>
              </w:tc>
              <w:tc>
                <w:tcPr>
                  <w:tcW w:w="521" w:type="pct"/>
                  <w:tcBorders>
                    <w:tl2br w:val="nil"/>
                    <w:tr2bl w:val="nil"/>
                  </w:tcBorders>
                  <w:vAlign w:val="center"/>
                </w:tcPr>
                <w:p w14:paraId="45C10E59">
                  <w:pPr>
                    <w:spacing w:line="240" w:lineRule="auto"/>
                    <w:ind w:firstLine="0" w:firstLineChars="0"/>
                    <w:jc w:val="center"/>
                    <w:rPr>
                      <w:color w:val="000000" w:themeColor="text1"/>
                      <w:sz w:val="21"/>
                      <w:szCs w:val="21"/>
                    </w:rPr>
                  </w:pPr>
                  <w:r>
                    <w:rPr>
                      <w:color w:val="000000" w:themeColor="text1"/>
                      <w:sz w:val="21"/>
                      <w:szCs w:val="21"/>
                    </w:rPr>
                    <w:t>间断</w:t>
                  </w:r>
                </w:p>
              </w:tc>
              <w:tc>
                <w:tcPr>
                  <w:tcW w:w="1957" w:type="pct"/>
                  <w:gridSpan w:val="2"/>
                  <w:tcBorders>
                    <w:tl2br w:val="nil"/>
                    <w:tr2bl w:val="nil"/>
                  </w:tcBorders>
                  <w:vAlign w:val="center"/>
                </w:tcPr>
                <w:p w14:paraId="3EF13472">
                  <w:pPr>
                    <w:pStyle w:val="66"/>
                    <w:spacing w:line="240" w:lineRule="auto"/>
                    <w:ind w:left="0" w:right="0" w:firstLine="0" w:firstLineChars="0"/>
                    <w:rPr>
                      <w:color w:val="000000" w:themeColor="text1"/>
                      <w:kern w:val="2"/>
                      <w:sz w:val="21"/>
                    </w:rPr>
                  </w:pPr>
                  <w:r>
                    <w:rPr>
                      <w:rFonts w:hint="eastAsia"/>
                      <w:color w:val="000000" w:themeColor="text1"/>
                      <w:sz w:val="21"/>
                    </w:rPr>
                    <w:t>加盖，</w:t>
                  </w:r>
                  <w:r>
                    <w:rPr>
                      <w:color w:val="000000" w:themeColor="text1"/>
                      <w:sz w:val="21"/>
                    </w:rPr>
                    <w:t>暂存于危废暂存间，定期交由有资质单位处置</w:t>
                  </w:r>
                </w:p>
              </w:tc>
            </w:tr>
          </w:tbl>
          <w:p w14:paraId="36D2157E">
            <w:pPr>
              <w:widowControl/>
              <w:ind w:firstLine="0" w:firstLineChars="0"/>
              <w:jc w:val="left"/>
              <w:rPr>
                <w:color w:val="000000" w:themeColor="text1"/>
              </w:rPr>
            </w:pPr>
          </w:p>
        </w:tc>
      </w:tr>
      <w:tr w14:paraId="6C00B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4" w:hRule="atLeast"/>
          <w:jc w:val="center"/>
        </w:trPr>
        <w:tc>
          <w:tcPr>
            <w:tcW w:w="773" w:type="dxa"/>
            <w:tcBorders>
              <w:tl2br w:val="nil"/>
              <w:tr2bl w:val="nil"/>
            </w:tcBorders>
            <w:shd w:val="clear" w:color="auto" w:fill="auto"/>
            <w:vAlign w:val="center"/>
          </w:tcPr>
          <w:p w14:paraId="3FAC3F3A">
            <w:pPr>
              <w:spacing w:line="240" w:lineRule="auto"/>
              <w:ind w:firstLine="0" w:firstLineChars="0"/>
              <w:jc w:val="center"/>
              <w:rPr>
                <w:color w:val="000000" w:themeColor="text1"/>
              </w:rPr>
            </w:pPr>
            <w:r>
              <w:rPr>
                <w:bCs/>
                <w:color w:val="000000" w:themeColor="text1"/>
              </w:rPr>
              <w:t>与项目有关的原有环境污染问题</w:t>
            </w:r>
          </w:p>
        </w:tc>
        <w:tc>
          <w:tcPr>
            <w:tcW w:w="8298" w:type="dxa"/>
            <w:tcBorders>
              <w:tl2br w:val="nil"/>
              <w:tr2bl w:val="nil"/>
            </w:tcBorders>
            <w:shd w:val="clear" w:color="auto" w:fill="auto"/>
            <w:vAlign w:val="center"/>
          </w:tcPr>
          <w:p w14:paraId="15615C68">
            <w:pPr>
              <w:widowControl/>
              <w:spacing w:line="360" w:lineRule="auto"/>
              <w:ind w:firstLine="476"/>
              <w:jc w:val="left"/>
              <w:rPr>
                <w:color w:val="000000" w:themeColor="text1"/>
              </w:rPr>
            </w:pPr>
            <w:r>
              <w:rPr>
                <w:color w:val="000000" w:themeColor="text1"/>
                <w:spacing w:val="-1"/>
              </w:rPr>
              <w:t>本项目为新建项目，租赁</w:t>
            </w:r>
            <w:r>
              <w:rPr>
                <w:rFonts w:hint="eastAsia"/>
                <w:color w:val="000000" w:themeColor="text1"/>
              </w:rPr>
              <w:t>唐山曹妃甸木业股份有限公司闲置厂房及堆场</w:t>
            </w:r>
            <w:r>
              <w:rPr>
                <w:color w:val="000000" w:themeColor="text1"/>
              </w:rPr>
              <w:t>，</w:t>
            </w:r>
            <w:r>
              <w:rPr>
                <w:color w:val="000000" w:themeColor="text1"/>
                <w:spacing w:val="-2"/>
              </w:rPr>
              <w:t>根据现场</w:t>
            </w:r>
            <w:r>
              <w:rPr>
                <w:color w:val="000000" w:themeColor="text1"/>
                <w:spacing w:val="-6"/>
              </w:rPr>
              <w:t>踏勘，该</w:t>
            </w:r>
            <w:r>
              <w:rPr>
                <w:rFonts w:hint="eastAsia"/>
                <w:color w:val="000000" w:themeColor="text1"/>
                <w:spacing w:val="-6"/>
              </w:rPr>
              <w:t>厂房</w:t>
            </w:r>
            <w:r>
              <w:rPr>
                <w:color w:val="000000" w:themeColor="text1"/>
                <w:spacing w:val="-6"/>
              </w:rPr>
              <w:t>目前处于空置状态，无设备设施及物料储存，</w:t>
            </w:r>
            <w:r>
              <w:rPr>
                <w:rFonts w:hint="eastAsia"/>
                <w:color w:val="000000" w:themeColor="text1"/>
                <w:spacing w:val="-6"/>
              </w:rPr>
              <w:t>厂房及堆场</w:t>
            </w:r>
            <w:r>
              <w:rPr>
                <w:color w:val="000000" w:themeColor="text1"/>
              </w:rPr>
              <w:t>地面已硬化，无与本项目有关的原有污染情况及主要环境问题</w:t>
            </w:r>
            <w:r>
              <w:rPr>
                <w:rFonts w:hint="eastAsia"/>
                <w:color w:val="000000" w:themeColor="text1"/>
              </w:rPr>
              <w:t>。</w:t>
            </w:r>
          </w:p>
        </w:tc>
      </w:tr>
    </w:tbl>
    <w:p w14:paraId="79C2002D">
      <w:pPr>
        <w:ind w:firstLine="480"/>
        <w:rPr>
          <w:color w:val="000000" w:themeColor="text1"/>
        </w:rPr>
        <w:sectPr>
          <w:pgSz w:w="11906" w:h="16838"/>
          <w:pgMar w:top="1440" w:right="1361" w:bottom="1440" w:left="1417" w:header="851" w:footer="992" w:gutter="0"/>
          <w:cols w:space="425" w:num="1"/>
          <w:docGrid w:type="lines" w:linePitch="312" w:charSpace="0"/>
        </w:sectPr>
      </w:pPr>
    </w:p>
    <w:p w14:paraId="26A5562F">
      <w:pPr>
        <w:pStyle w:val="2"/>
        <w:rPr>
          <w:color w:val="000000" w:themeColor="text1"/>
        </w:rPr>
      </w:pPr>
      <w:bookmarkStart w:id="4" w:name="_Toc4206"/>
      <w:r>
        <w:rPr>
          <w:rFonts w:hint="eastAsia"/>
          <w:color w:val="000000" w:themeColor="text1"/>
        </w:rPr>
        <w:t>三、区域环境质量现状、环境保护目标及评价标准</w:t>
      </w:r>
      <w:bookmarkEnd w:id="4"/>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291"/>
      </w:tblGrid>
      <w:tr w14:paraId="10A31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80" w:type="dxa"/>
            <w:tcBorders>
              <w:tl2br w:val="nil"/>
              <w:tr2bl w:val="nil"/>
            </w:tcBorders>
            <w:vAlign w:val="center"/>
          </w:tcPr>
          <w:p w14:paraId="24CB3F25">
            <w:pPr>
              <w:pStyle w:val="35"/>
              <w:rPr>
                <w:color w:val="000000" w:themeColor="text1"/>
              </w:rPr>
            </w:pPr>
            <w:r>
              <w:rPr>
                <w:rFonts w:hint="eastAsia"/>
                <w:color w:val="000000" w:themeColor="text1"/>
                <w:sz w:val="24"/>
                <w:szCs w:val="24"/>
              </w:rPr>
              <w:t>区域环境质量现状</w:t>
            </w:r>
          </w:p>
        </w:tc>
        <w:tc>
          <w:tcPr>
            <w:tcW w:w="8291" w:type="dxa"/>
            <w:tcBorders>
              <w:tl2br w:val="nil"/>
              <w:tr2bl w:val="nil"/>
            </w:tcBorders>
            <w:vAlign w:val="center"/>
          </w:tcPr>
          <w:p w14:paraId="081FD7FB">
            <w:pPr>
              <w:spacing w:line="360" w:lineRule="auto"/>
              <w:ind w:firstLine="482"/>
              <w:jc w:val="left"/>
              <w:rPr>
                <w:b/>
                <w:bCs/>
                <w:color w:val="000000" w:themeColor="text1"/>
              </w:rPr>
            </w:pPr>
            <w:r>
              <w:rPr>
                <w:b/>
                <w:bCs/>
                <w:color w:val="000000" w:themeColor="text1"/>
              </w:rPr>
              <w:t>1、环境空气</w:t>
            </w:r>
          </w:p>
          <w:p w14:paraId="296D7747">
            <w:pPr>
              <w:spacing w:line="360" w:lineRule="auto"/>
              <w:ind w:firstLine="480"/>
              <w:rPr>
                <w:color w:val="000000" w:themeColor="text1"/>
              </w:rPr>
            </w:pPr>
            <w:r>
              <w:rPr>
                <w:rFonts w:hint="eastAsia"/>
                <w:color w:val="000000" w:themeColor="text1"/>
              </w:rPr>
              <w:t>（1）</w:t>
            </w:r>
            <w:r>
              <w:rPr>
                <w:color w:val="000000" w:themeColor="text1"/>
              </w:rPr>
              <w:t>项目所在区域环境质量达标情况</w:t>
            </w:r>
          </w:p>
          <w:p w14:paraId="059D2823">
            <w:pPr>
              <w:spacing w:line="360" w:lineRule="auto"/>
              <w:ind w:firstLine="480"/>
              <w:rPr>
                <w:color w:val="000000" w:themeColor="text1"/>
              </w:rPr>
            </w:pPr>
            <w:r>
              <w:rPr>
                <w:color w:val="000000" w:themeColor="text1"/>
              </w:rPr>
              <w:t>项目所在区域环境空气质量现状数据采用唐山市生态环境局公开发布的</w:t>
            </w:r>
            <w:r>
              <w:rPr>
                <w:color w:val="000000" w:themeColor="text1"/>
                <w:lang w:val="zh-CN"/>
              </w:rPr>
              <w:t>《20</w:t>
            </w:r>
            <w:r>
              <w:rPr>
                <w:rFonts w:hint="eastAsia"/>
                <w:color w:val="000000" w:themeColor="text1"/>
              </w:rPr>
              <w:t>23</w:t>
            </w:r>
            <w:r>
              <w:rPr>
                <w:color w:val="000000" w:themeColor="text1"/>
                <w:lang w:val="zh-CN"/>
              </w:rPr>
              <w:t>年唐山市</w:t>
            </w:r>
            <w:r>
              <w:rPr>
                <w:rFonts w:hint="eastAsia"/>
                <w:color w:val="000000" w:themeColor="text1"/>
              </w:rPr>
              <w:t>生态</w:t>
            </w:r>
            <w:r>
              <w:rPr>
                <w:color w:val="000000" w:themeColor="text1"/>
                <w:lang w:val="zh-CN"/>
              </w:rPr>
              <w:t>环境状况公报》中唐山市空气质量数据，</w:t>
            </w:r>
            <w:r>
              <w:rPr>
                <w:color w:val="000000" w:themeColor="text1"/>
              </w:rPr>
              <w:t>具体情况见下表。</w:t>
            </w:r>
          </w:p>
          <w:p w14:paraId="56D10EB3">
            <w:pPr>
              <w:pStyle w:val="34"/>
              <w:rPr>
                <w:color w:val="000000" w:themeColor="text1"/>
              </w:rPr>
            </w:pPr>
            <w:r>
              <w:rPr>
                <w:color w:val="000000" w:themeColor="text1"/>
              </w:rPr>
              <w:t>表</w:t>
            </w:r>
            <w:r>
              <w:rPr>
                <w:rFonts w:hint="eastAsia"/>
                <w:color w:val="000000" w:themeColor="text1"/>
              </w:rPr>
              <w:t xml:space="preserve">19  </w:t>
            </w:r>
            <w:r>
              <w:rPr>
                <w:color w:val="000000" w:themeColor="text1"/>
              </w:rPr>
              <w:t>20</w:t>
            </w:r>
            <w:r>
              <w:rPr>
                <w:rFonts w:hint="eastAsia"/>
                <w:color w:val="000000" w:themeColor="text1"/>
              </w:rPr>
              <w:t>23</w:t>
            </w:r>
            <w:r>
              <w:rPr>
                <w:color w:val="000000" w:themeColor="text1"/>
              </w:rPr>
              <w:t>年区域环境质量现状评价表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822"/>
              <w:gridCol w:w="1633"/>
              <w:gridCol w:w="1508"/>
              <w:gridCol w:w="1205"/>
              <w:gridCol w:w="1133"/>
            </w:tblGrid>
            <w:tr w14:paraId="5E306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02" w:type="dxa"/>
                  <w:tcBorders>
                    <w:tl2br w:val="nil"/>
                    <w:tr2bl w:val="nil"/>
                  </w:tcBorders>
                  <w:vAlign w:val="center"/>
                </w:tcPr>
                <w:p w14:paraId="1AA2F29F">
                  <w:pPr>
                    <w:pStyle w:val="35"/>
                    <w:ind w:left="0" w:leftChars="0" w:right="0" w:rightChars="0"/>
                    <w:rPr>
                      <w:b/>
                      <w:bCs/>
                      <w:color w:val="000000" w:themeColor="text1"/>
                    </w:rPr>
                  </w:pPr>
                  <w:r>
                    <w:rPr>
                      <w:b/>
                      <w:bCs/>
                      <w:color w:val="000000" w:themeColor="text1"/>
                    </w:rPr>
                    <w:t>污染物</w:t>
                  </w:r>
                </w:p>
              </w:tc>
              <w:tc>
                <w:tcPr>
                  <w:tcW w:w="1813" w:type="dxa"/>
                  <w:tcBorders>
                    <w:tl2br w:val="nil"/>
                    <w:tr2bl w:val="nil"/>
                  </w:tcBorders>
                  <w:vAlign w:val="center"/>
                </w:tcPr>
                <w:p w14:paraId="25A3C15A">
                  <w:pPr>
                    <w:pStyle w:val="35"/>
                    <w:ind w:left="0" w:leftChars="0" w:right="0" w:rightChars="0"/>
                    <w:rPr>
                      <w:b/>
                      <w:bCs/>
                      <w:color w:val="000000" w:themeColor="text1"/>
                    </w:rPr>
                  </w:pPr>
                  <w:r>
                    <w:rPr>
                      <w:b/>
                      <w:bCs/>
                      <w:color w:val="000000" w:themeColor="text1"/>
                    </w:rPr>
                    <w:t>年评价指标</w:t>
                  </w:r>
                </w:p>
              </w:tc>
              <w:tc>
                <w:tcPr>
                  <w:tcW w:w="1625" w:type="dxa"/>
                  <w:tcBorders>
                    <w:tl2br w:val="nil"/>
                    <w:tr2bl w:val="nil"/>
                  </w:tcBorders>
                  <w:vAlign w:val="center"/>
                </w:tcPr>
                <w:p w14:paraId="0CF1BFD2">
                  <w:pPr>
                    <w:pStyle w:val="35"/>
                    <w:ind w:left="0" w:leftChars="0" w:right="0" w:rightChars="0"/>
                    <w:rPr>
                      <w:b/>
                      <w:bCs/>
                      <w:color w:val="000000" w:themeColor="text1"/>
                    </w:rPr>
                  </w:pPr>
                  <w:r>
                    <w:rPr>
                      <w:b/>
                      <w:bCs/>
                      <w:color w:val="000000" w:themeColor="text1"/>
                    </w:rPr>
                    <w:t>现状浓度</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500" w:type="dxa"/>
                  <w:tcBorders>
                    <w:tl2br w:val="nil"/>
                    <w:tr2bl w:val="nil"/>
                  </w:tcBorders>
                  <w:vAlign w:val="center"/>
                </w:tcPr>
                <w:p w14:paraId="6297164D">
                  <w:pPr>
                    <w:pStyle w:val="35"/>
                    <w:ind w:left="0" w:leftChars="0" w:right="0" w:rightChars="0"/>
                    <w:rPr>
                      <w:b/>
                      <w:bCs/>
                      <w:color w:val="000000" w:themeColor="text1"/>
                    </w:rPr>
                  </w:pPr>
                  <w:r>
                    <w:rPr>
                      <w:b/>
                      <w:bCs/>
                      <w:color w:val="000000" w:themeColor="text1"/>
                    </w:rPr>
                    <w:t>标准值</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199" w:type="dxa"/>
                  <w:tcBorders>
                    <w:tl2br w:val="nil"/>
                    <w:tr2bl w:val="nil"/>
                  </w:tcBorders>
                  <w:vAlign w:val="center"/>
                </w:tcPr>
                <w:p w14:paraId="0EBE668D">
                  <w:pPr>
                    <w:pStyle w:val="35"/>
                    <w:ind w:left="0" w:leftChars="0" w:right="0" w:rightChars="0"/>
                    <w:rPr>
                      <w:b/>
                      <w:bCs/>
                      <w:color w:val="000000" w:themeColor="text1"/>
                    </w:rPr>
                  </w:pPr>
                  <w:r>
                    <w:rPr>
                      <w:b/>
                      <w:bCs/>
                      <w:color w:val="000000" w:themeColor="text1"/>
                    </w:rPr>
                    <w:t>占标率</w:t>
                  </w:r>
                  <w:r>
                    <w:rPr>
                      <w:rFonts w:hint="eastAsia"/>
                      <w:b/>
                      <w:bCs/>
                      <w:color w:val="000000" w:themeColor="text1"/>
                    </w:rPr>
                    <w:t>（</w:t>
                  </w:r>
                  <w:r>
                    <w:rPr>
                      <w:b/>
                      <w:bCs/>
                      <w:color w:val="000000" w:themeColor="text1"/>
                    </w:rPr>
                    <w:t>%</w:t>
                  </w:r>
                  <w:r>
                    <w:rPr>
                      <w:rFonts w:hint="eastAsia"/>
                      <w:b/>
                      <w:bCs/>
                      <w:color w:val="000000" w:themeColor="text1"/>
                    </w:rPr>
                    <w:t>）</w:t>
                  </w:r>
                </w:p>
              </w:tc>
              <w:tc>
                <w:tcPr>
                  <w:tcW w:w="1127" w:type="dxa"/>
                  <w:tcBorders>
                    <w:tl2br w:val="nil"/>
                    <w:tr2bl w:val="nil"/>
                  </w:tcBorders>
                  <w:vAlign w:val="center"/>
                </w:tcPr>
                <w:p w14:paraId="3B3F495E">
                  <w:pPr>
                    <w:pStyle w:val="35"/>
                    <w:ind w:left="0" w:leftChars="0" w:right="0" w:rightChars="0"/>
                    <w:rPr>
                      <w:b/>
                      <w:bCs/>
                      <w:color w:val="000000" w:themeColor="text1"/>
                    </w:rPr>
                  </w:pPr>
                  <w:r>
                    <w:rPr>
                      <w:b/>
                      <w:bCs/>
                      <w:color w:val="000000" w:themeColor="text1"/>
                    </w:rPr>
                    <w:t>达标情况</w:t>
                  </w:r>
                </w:p>
              </w:tc>
            </w:tr>
            <w:tr w14:paraId="418C6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1A71F824">
                  <w:pPr>
                    <w:pStyle w:val="35"/>
                    <w:ind w:left="0" w:leftChars="0" w:right="0" w:rightChars="0"/>
                    <w:rPr>
                      <w:color w:val="000000" w:themeColor="text1"/>
                    </w:rPr>
                  </w:pPr>
                  <w:r>
                    <w:rPr>
                      <w:color w:val="000000" w:themeColor="text1"/>
                    </w:rPr>
                    <w:t>SO</w:t>
                  </w:r>
                  <w:r>
                    <w:rPr>
                      <w:color w:val="000000" w:themeColor="text1"/>
                      <w:vertAlign w:val="subscript"/>
                    </w:rPr>
                    <w:t>2</w:t>
                  </w:r>
                </w:p>
              </w:tc>
              <w:tc>
                <w:tcPr>
                  <w:tcW w:w="1813" w:type="dxa"/>
                  <w:tcBorders>
                    <w:tl2br w:val="nil"/>
                    <w:tr2bl w:val="nil"/>
                  </w:tcBorders>
                  <w:vAlign w:val="center"/>
                </w:tcPr>
                <w:p w14:paraId="6B7A81AC">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6883CD66">
                  <w:pPr>
                    <w:pStyle w:val="35"/>
                    <w:ind w:left="0" w:leftChars="0" w:right="0" w:rightChars="0"/>
                    <w:rPr>
                      <w:color w:val="000000" w:themeColor="text1"/>
                    </w:rPr>
                  </w:pPr>
                  <w:r>
                    <w:rPr>
                      <w:rFonts w:hint="eastAsia"/>
                      <w:color w:val="000000" w:themeColor="text1"/>
                    </w:rPr>
                    <w:t>7</w:t>
                  </w:r>
                </w:p>
              </w:tc>
              <w:tc>
                <w:tcPr>
                  <w:tcW w:w="1500" w:type="dxa"/>
                  <w:tcBorders>
                    <w:tl2br w:val="nil"/>
                    <w:tr2bl w:val="nil"/>
                  </w:tcBorders>
                  <w:vAlign w:val="center"/>
                </w:tcPr>
                <w:p w14:paraId="2F54B442">
                  <w:pPr>
                    <w:pStyle w:val="35"/>
                    <w:ind w:left="0" w:leftChars="0" w:right="0" w:rightChars="0"/>
                    <w:rPr>
                      <w:color w:val="000000" w:themeColor="text1"/>
                    </w:rPr>
                  </w:pPr>
                  <w:r>
                    <w:rPr>
                      <w:color w:val="000000" w:themeColor="text1"/>
                    </w:rPr>
                    <w:t>60</w:t>
                  </w:r>
                </w:p>
              </w:tc>
              <w:tc>
                <w:tcPr>
                  <w:tcW w:w="1199" w:type="dxa"/>
                  <w:tcBorders>
                    <w:tl2br w:val="nil"/>
                    <w:tr2bl w:val="nil"/>
                  </w:tcBorders>
                  <w:vAlign w:val="center"/>
                </w:tcPr>
                <w:p w14:paraId="16C441DE">
                  <w:pPr>
                    <w:pStyle w:val="35"/>
                    <w:ind w:left="0" w:leftChars="0" w:right="0" w:rightChars="0"/>
                    <w:rPr>
                      <w:color w:val="000000" w:themeColor="text1"/>
                    </w:rPr>
                  </w:pPr>
                  <w:r>
                    <w:rPr>
                      <w:rFonts w:hint="eastAsia"/>
                      <w:color w:val="000000" w:themeColor="text1"/>
                    </w:rPr>
                    <w:t>11.7</w:t>
                  </w:r>
                </w:p>
              </w:tc>
              <w:tc>
                <w:tcPr>
                  <w:tcW w:w="1127" w:type="dxa"/>
                  <w:tcBorders>
                    <w:tl2br w:val="nil"/>
                    <w:tr2bl w:val="nil"/>
                  </w:tcBorders>
                  <w:vAlign w:val="center"/>
                </w:tcPr>
                <w:p w14:paraId="53192DC8">
                  <w:pPr>
                    <w:pStyle w:val="35"/>
                    <w:ind w:left="0" w:leftChars="0" w:right="0" w:rightChars="0"/>
                    <w:rPr>
                      <w:color w:val="000000" w:themeColor="text1"/>
                    </w:rPr>
                  </w:pPr>
                  <w:r>
                    <w:rPr>
                      <w:color w:val="000000" w:themeColor="text1"/>
                    </w:rPr>
                    <w:t>达标</w:t>
                  </w:r>
                </w:p>
              </w:tc>
            </w:tr>
            <w:tr w14:paraId="1C429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5044F801">
                  <w:pPr>
                    <w:pStyle w:val="35"/>
                    <w:ind w:left="0" w:leftChars="0" w:right="0" w:rightChars="0"/>
                    <w:rPr>
                      <w:color w:val="000000" w:themeColor="text1"/>
                    </w:rPr>
                  </w:pPr>
                  <w:r>
                    <w:rPr>
                      <w:color w:val="000000" w:themeColor="text1"/>
                    </w:rPr>
                    <w:t>NO</w:t>
                  </w:r>
                  <w:r>
                    <w:rPr>
                      <w:color w:val="000000" w:themeColor="text1"/>
                      <w:vertAlign w:val="subscript"/>
                    </w:rPr>
                    <w:t>2</w:t>
                  </w:r>
                </w:p>
              </w:tc>
              <w:tc>
                <w:tcPr>
                  <w:tcW w:w="1813" w:type="dxa"/>
                  <w:tcBorders>
                    <w:tl2br w:val="nil"/>
                    <w:tr2bl w:val="nil"/>
                  </w:tcBorders>
                  <w:vAlign w:val="center"/>
                </w:tcPr>
                <w:p w14:paraId="48ECF959">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57E269DF">
                  <w:pPr>
                    <w:pStyle w:val="35"/>
                    <w:ind w:left="0" w:leftChars="0" w:right="0" w:rightChars="0"/>
                    <w:rPr>
                      <w:color w:val="000000" w:themeColor="text1"/>
                    </w:rPr>
                  </w:pPr>
                  <w:r>
                    <w:rPr>
                      <w:rFonts w:hint="eastAsia"/>
                      <w:color w:val="000000" w:themeColor="text1"/>
                    </w:rPr>
                    <w:t>33</w:t>
                  </w:r>
                </w:p>
              </w:tc>
              <w:tc>
                <w:tcPr>
                  <w:tcW w:w="1500" w:type="dxa"/>
                  <w:tcBorders>
                    <w:tl2br w:val="nil"/>
                    <w:tr2bl w:val="nil"/>
                  </w:tcBorders>
                  <w:vAlign w:val="center"/>
                </w:tcPr>
                <w:p w14:paraId="7F266FF7">
                  <w:pPr>
                    <w:pStyle w:val="35"/>
                    <w:ind w:left="0" w:leftChars="0" w:right="0" w:rightChars="0"/>
                    <w:rPr>
                      <w:color w:val="000000" w:themeColor="text1"/>
                    </w:rPr>
                  </w:pPr>
                  <w:r>
                    <w:rPr>
                      <w:color w:val="000000" w:themeColor="text1"/>
                    </w:rPr>
                    <w:t>40</w:t>
                  </w:r>
                </w:p>
              </w:tc>
              <w:tc>
                <w:tcPr>
                  <w:tcW w:w="1199" w:type="dxa"/>
                  <w:tcBorders>
                    <w:tl2br w:val="nil"/>
                    <w:tr2bl w:val="nil"/>
                  </w:tcBorders>
                  <w:vAlign w:val="center"/>
                </w:tcPr>
                <w:p w14:paraId="3BFDDD8F">
                  <w:pPr>
                    <w:pStyle w:val="35"/>
                    <w:ind w:left="0" w:leftChars="0" w:right="0" w:rightChars="0"/>
                    <w:rPr>
                      <w:color w:val="000000" w:themeColor="text1"/>
                    </w:rPr>
                  </w:pPr>
                  <w:r>
                    <w:rPr>
                      <w:rFonts w:hint="eastAsia"/>
                      <w:color w:val="000000" w:themeColor="text1"/>
                    </w:rPr>
                    <w:t>82.5</w:t>
                  </w:r>
                </w:p>
              </w:tc>
              <w:tc>
                <w:tcPr>
                  <w:tcW w:w="1127" w:type="dxa"/>
                  <w:tcBorders>
                    <w:tl2br w:val="nil"/>
                    <w:tr2bl w:val="nil"/>
                  </w:tcBorders>
                  <w:vAlign w:val="center"/>
                </w:tcPr>
                <w:p w14:paraId="289BCC02">
                  <w:pPr>
                    <w:pStyle w:val="35"/>
                    <w:ind w:left="0" w:leftChars="0" w:right="0" w:rightChars="0"/>
                    <w:rPr>
                      <w:color w:val="000000" w:themeColor="text1"/>
                    </w:rPr>
                  </w:pPr>
                  <w:r>
                    <w:rPr>
                      <w:color w:val="000000" w:themeColor="text1"/>
                    </w:rPr>
                    <w:t>达标</w:t>
                  </w:r>
                </w:p>
              </w:tc>
            </w:tr>
            <w:tr w14:paraId="3852F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3CF00F2C">
                  <w:pPr>
                    <w:pStyle w:val="35"/>
                    <w:ind w:left="0" w:leftChars="0" w:right="0" w:rightChars="0"/>
                    <w:rPr>
                      <w:color w:val="000000" w:themeColor="text1"/>
                    </w:rPr>
                  </w:pPr>
                  <w:r>
                    <w:rPr>
                      <w:color w:val="000000" w:themeColor="text1"/>
                    </w:rPr>
                    <w:t>PM</w:t>
                  </w:r>
                  <w:r>
                    <w:rPr>
                      <w:color w:val="000000" w:themeColor="text1"/>
                      <w:vertAlign w:val="subscript"/>
                    </w:rPr>
                    <w:t>10</w:t>
                  </w:r>
                </w:p>
              </w:tc>
              <w:tc>
                <w:tcPr>
                  <w:tcW w:w="1813" w:type="dxa"/>
                  <w:tcBorders>
                    <w:tl2br w:val="nil"/>
                    <w:tr2bl w:val="nil"/>
                  </w:tcBorders>
                  <w:vAlign w:val="center"/>
                </w:tcPr>
                <w:p w14:paraId="3DEC730F">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786A5125">
                  <w:pPr>
                    <w:pStyle w:val="35"/>
                    <w:ind w:left="0" w:leftChars="0" w:right="0" w:rightChars="0"/>
                    <w:rPr>
                      <w:color w:val="000000" w:themeColor="text1"/>
                    </w:rPr>
                  </w:pPr>
                  <w:r>
                    <w:rPr>
                      <w:rFonts w:hint="eastAsia"/>
                      <w:color w:val="000000" w:themeColor="text1"/>
                    </w:rPr>
                    <w:t>74</w:t>
                  </w:r>
                </w:p>
              </w:tc>
              <w:tc>
                <w:tcPr>
                  <w:tcW w:w="1500" w:type="dxa"/>
                  <w:tcBorders>
                    <w:tl2br w:val="nil"/>
                    <w:tr2bl w:val="nil"/>
                  </w:tcBorders>
                  <w:vAlign w:val="center"/>
                </w:tcPr>
                <w:p w14:paraId="3280C8CB">
                  <w:pPr>
                    <w:pStyle w:val="35"/>
                    <w:ind w:left="0" w:leftChars="0" w:right="0" w:rightChars="0"/>
                    <w:rPr>
                      <w:color w:val="000000" w:themeColor="text1"/>
                    </w:rPr>
                  </w:pPr>
                  <w:r>
                    <w:rPr>
                      <w:color w:val="000000" w:themeColor="text1"/>
                    </w:rPr>
                    <w:t>70</w:t>
                  </w:r>
                </w:p>
              </w:tc>
              <w:tc>
                <w:tcPr>
                  <w:tcW w:w="1199" w:type="dxa"/>
                  <w:tcBorders>
                    <w:tl2br w:val="nil"/>
                    <w:tr2bl w:val="nil"/>
                  </w:tcBorders>
                  <w:vAlign w:val="center"/>
                </w:tcPr>
                <w:p w14:paraId="689632E8">
                  <w:pPr>
                    <w:pStyle w:val="35"/>
                    <w:ind w:left="0" w:leftChars="0" w:right="0" w:rightChars="0"/>
                    <w:rPr>
                      <w:color w:val="000000" w:themeColor="text1"/>
                    </w:rPr>
                  </w:pPr>
                  <w:r>
                    <w:rPr>
                      <w:rFonts w:hint="eastAsia"/>
                      <w:color w:val="000000" w:themeColor="text1"/>
                    </w:rPr>
                    <w:t>105.7</w:t>
                  </w:r>
                </w:p>
              </w:tc>
              <w:tc>
                <w:tcPr>
                  <w:tcW w:w="1127" w:type="dxa"/>
                  <w:tcBorders>
                    <w:tl2br w:val="nil"/>
                    <w:tr2bl w:val="nil"/>
                  </w:tcBorders>
                  <w:vAlign w:val="center"/>
                </w:tcPr>
                <w:p w14:paraId="058EA533">
                  <w:pPr>
                    <w:pStyle w:val="35"/>
                    <w:ind w:left="0" w:leftChars="0" w:right="0" w:rightChars="0"/>
                    <w:rPr>
                      <w:color w:val="000000" w:themeColor="text1"/>
                    </w:rPr>
                  </w:pPr>
                  <w:r>
                    <w:rPr>
                      <w:rFonts w:hint="eastAsia"/>
                      <w:color w:val="000000" w:themeColor="text1"/>
                    </w:rPr>
                    <w:t>超</w:t>
                  </w:r>
                  <w:r>
                    <w:rPr>
                      <w:color w:val="000000" w:themeColor="text1"/>
                    </w:rPr>
                    <w:t>标</w:t>
                  </w:r>
                </w:p>
              </w:tc>
            </w:tr>
            <w:tr w14:paraId="7A803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41325206">
                  <w:pPr>
                    <w:pStyle w:val="35"/>
                    <w:ind w:left="0" w:leftChars="0" w:right="0" w:rightChars="0"/>
                    <w:rPr>
                      <w:color w:val="000000" w:themeColor="text1"/>
                    </w:rPr>
                  </w:pPr>
                  <w:r>
                    <w:rPr>
                      <w:color w:val="000000" w:themeColor="text1"/>
                    </w:rPr>
                    <w:t>PM</w:t>
                  </w:r>
                  <w:r>
                    <w:rPr>
                      <w:color w:val="000000" w:themeColor="text1"/>
                      <w:vertAlign w:val="subscript"/>
                    </w:rPr>
                    <w:t>2.5</w:t>
                  </w:r>
                </w:p>
              </w:tc>
              <w:tc>
                <w:tcPr>
                  <w:tcW w:w="1813" w:type="dxa"/>
                  <w:tcBorders>
                    <w:tl2br w:val="nil"/>
                    <w:tr2bl w:val="nil"/>
                  </w:tcBorders>
                  <w:vAlign w:val="center"/>
                </w:tcPr>
                <w:p w14:paraId="6EB354F8">
                  <w:pPr>
                    <w:pStyle w:val="35"/>
                    <w:ind w:left="0" w:leftChars="0" w:right="0" w:rightChars="0"/>
                    <w:rPr>
                      <w:color w:val="000000" w:themeColor="text1"/>
                    </w:rPr>
                  </w:pPr>
                  <w:r>
                    <w:rPr>
                      <w:color w:val="000000" w:themeColor="text1"/>
                    </w:rPr>
                    <w:t>年平均质量浓度</w:t>
                  </w:r>
                </w:p>
              </w:tc>
              <w:tc>
                <w:tcPr>
                  <w:tcW w:w="1625" w:type="dxa"/>
                  <w:tcBorders>
                    <w:tl2br w:val="nil"/>
                    <w:tr2bl w:val="nil"/>
                  </w:tcBorders>
                  <w:vAlign w:val="center"/>
                </w:tcPr>
                <w:p w14:paraId="691D6C66">
                  <w:pPr>
                    <w:pStyle w:val="35"/>
                    <w:ind w:left="0" w:leftChars="0" w:right="0" w:rightChars="0"/>
                    <w:rPr>
                      <w:color w:val="000000" w:themeColor="text1"/>
                    </w:rPr>
                  </w:pPr>
                  <w:r>
                    <w:rPr>
                      <w:rFonts w:hint="eastAsia"/>
                      <w:color w:val="000000" w:themeColor="text1"/>
                    </w:rPr>
                    <w:t>40</w:t>
                  </w:r>
                </w:p>
              </w:tc>
              <w:tc>
                <w:tcPr>
                  <w:tcW w:w="1500" w:type="dxa"/>
                  <w:tcBorders>
                    <w:tl2br w:val="nil"/>
                    <w:tr2bl w:val="nil"/>
                  </w:tcBorders>
                  <w:vAlign w:val="center"/>
                </w:tcPr>
                <w:p w14:paraId="22A39998">
                  <w:pPr>
                    <w:pStyle w:val="35"/>
                    <w:ind w:left="0" w:leftChars="0" w:right="0" w:rightChars="0"/>
                    <w:rPr>
                      <w:color w:val="000000" w:themeColor="text1"/>
                    </w:rPr>
                  </w:pPr>
                  <w:r>
                    <w:rPr>
                      <w:color w:val="000000" w:themeColor="text1"/>
                    </w:rPr>
                    <w:t>35</w:t>
                  </w:r>
                </w:p>
              </w:tc>
              <w:tc>
                <w:tcPr>
                  <w:tcW w:w="1199" w:type="dxa"/>
                  <w:tcBorders>
                    <w:tl2br w:val="nil"/>
                    <w:tr2bl w:val="nil"/>
                  </w:tcBorders>
                  <w:vAlign w:val="center"/>
                </w:tcPr>
                <w:p w14:paraId="3B0B4E2F">
                  <w:pPr>
                    <w:pStyle w:val="35"/>
                    <w:ind w:left="0" w:leftChars="0" w:right="0" w:rightChars="0"/>
                    <w:rPr>
                      <w:color w:val="000000" w:themeColor="text1"/>
                    </w:rPr>
                  </w:pPr>
                  <w:r>
                    <w:rPr>
                      <w:rFonts w:hint="eastAsia"/>
                      <w:color w:val="000000" w:themeColor="text1"/>
                    </w:rPr>
                    <w:t>114.3</w:t>
                  </w:r>
                </w:p>
              </w:tc>
              <w:tc>
                <w:tcPr>
                  <w:tcW w:w="1127" w:type="dxa"/>
                  <w:tcBorders>
                    <w:tl2br w:val="nil"/>
                    <w:tr2bl w:val="nil"/>
                  </w:tcBorders>
                  <w:vAlign w:val="center"/>
                </w:tcPr>
                <w:p w14:paraId="103CE831">
                  <w:pPr>
                    <w:pStyle w:val="35"/>
                    <w:ind w:left="0" w:leftChars="0" w:right="0" w:rightChars="0"/>
                    <w:rPr>
                      <w:color w:val="000000" w:themeColor="text1"/>
                    </w:rPr>
                  </w:pPr>
                  <w:r>
                    <w:rPr>
                      <w:color w:val="000000" w:themeColor="text1"/>
                    </w:rPr>
                    <w:t>超标</w:t>
                  </w:r>
                </w:p>
              </w:tc>
            </w:tr>
            <w:tr w14:paraId="56BAC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7F5B5E61">
                  <w:pPr>
                    <w:pStyle w:val="35"/>
                    <w:ind w:left="0" w:leftChars="0" w:right="0" w:rightChars="0"/>
                    <w:rPr>
                      <w:color w:val="000000" w:themeColor="text1"/>
                    </w:rPr>
                  </w:pPr>
                  <w:r>
                    <w:rPr>
                      <w:color w:val="000000" w:themeColor="text1"/>
                    </w:rPr>
                    <w:t>CO</w:t>
                  </w:r>
                </w:p>
              </w:tc>
              <w:tc>
                <w:tcPr>
                  <w:tcW w:w="1813" w:type="dxa"/>
                  <w:tcBorders>
                    <w:tl2br w:val="nil"/>
                    <w:tr2bl w:val="nil"/>
                  </w:tcBorders>
                  <w:vAlign w:val="center"/>
                </w:tcPr>
                <w:p w14:paraId="13C73196">
                  <w:pPr>
                    <w:pStyle w:val="35"/>
                    <w:ind w:left="0" w:leftChars="0" w:right="0" w:rightChars="0"/>
                    <w:rPr>
                      <w:color w:val="000000" w:themeColor="text1"/>
                    </w:rPr>
                  </w:pPr>
                  <w:r>
                    <w:rPr>
                      <w:rFonts w:hint="eastAsia"/>
                      <w:color w:val="000000" w:themeColor="text1"/>
                    </w:rPr>
                    <w:t>日均值第95百分位浓度</w:t>
                  </w:r>
                </w:p>
              </w:tc>
              <w:tc>
                <w:tcPr>
                  <w:tcW w:w="1625" w:type="dxa"/>
                  <w:tcBorders>
                    <w:tl2br w:val="nil"/>
                    <w:tr2bl w:val="nil"/>
                  </w:tcBorders>
                  <w:vAlign w:val="center"/>
                </w:tcPr>
                <w:p w14:paraId="20D20EB4">
                  <w:pPr>
                    <w:pStyle w:val="35"/>
                    <w:ind w:left="0" w:leftChars="0" w:right="0" w:rightChars="0"/>
                    <w:rPr>
                      <w:color w:val="000000" w:themeColor="text1"/>
                    </w:rPr>
                  </w:pPr>
                  <w:r>
                    <w:rPr>
                      <w:rFonts w:hint="eastAsia"/>
                      <w:color w:val="000000" w:themeColor="text1"/>
                    </w:rPr>
                    <w:t>1500</w:t>
                  </w:r>
                </w:p>
              </w:tc>
              <w:tc>
                <w:tcPr>
                  <w:tcW w:w="1500" w:type="dxa"/>
                  <w:tcBorders>
                    <w:tl2br w:val="nil"/>
                    <w:tr2bl w:val="nil"/>
                  </w:tcBorders>
                  <w:vAlign w:val="center"/>
                </w:tcPr>
                <w:p w14:paraId="7BABBE44">
                  <w:pPr>
                    <w:pStyle w:val="35"/>
                    <w:ind w:left="0" w:leftChars="0" w:right="0" w:rightChars="0"/>
                    <w:rPr>
                      <w:color w:val="000000" w:themeColor="text1"/>
                    </w:rPr>
                  </w:pPr>
                  <w:r>
                    <w:rPr>
                      <w:color w:val="000000" w:themeColor="text1"/>
                    </w:rPr>
                    <w:t>4000</w:t>
                  </w:r>
                </w:p>
              </w:tc>
              <w:tc>
                <w:tcPr>
                  <w:tcW w:w="1199" w:type="dxa"/>
                  <w:tcBorders>
                    <w:tl2br w:val="nil"/>
                    <w:tr2bl w:val="nil"/>
                  </w:tcBorders>
                  <w:vAlign w:val="center"/>
                </w:tcPr>
                <w:p w14:paraId="25963C29">
                  <w:pPr>
                    <w:pStyle w:val="35"/>
                    <w:ind w:left="0" w:leftChars="0" w:right="0" w:rightChars="0"/>
                    <w:rPr>
                      <w:color w:val="000000" w:themeColor="text1"/>
                    </w:rPr>
                  </w:pPr>
                  <w:r>
                    <w:rPr>
                      <w:rFonts w:hint="eastAsia"/>
                      <w:color w:val="000000" w:themeColor="text1"/>
                    </w:rPr>
                    <w:t>37.5</w:t>
                  </w:r>
                </w:p>
              </w:tc>
              <w:tc>
                <w:tcPr>
                  <w:tcW w:w="1127" w:type="dxa"/>
                  <w:tcBorders>
                    <w:tl2br w:val="nil"/>
                    <w:tr2bl w:val="nil"/>
                  </w:tcBorders>
                  <w:vAlign w:val="center"/>
                </w:tcPr>
                <w:p w14:paraId="5D301532">
                  <w:pPr>
                    <w:pStyle w:val="35"/>
                    <w:ind w:left="0" w:leftChars="0" w:right="0" w:rightChars="0"/>
                    <w:rPr>
                      <w:color w:val="000000" w:themeColor="text1"/>
                    </w:rPr>
                  </w:pPr>
                  <w:r>
                    <w:rPr>
                      <w:color w:val="000000" w:themeColor="text1"/>
                    </w:rPr>
                    <w:t>达标</w:t>
                  </w:r>
                </w:p>
              </w:tc>
            </w:tr>
            <w:tr w14:paraId="5C735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2" w:type="dxa"/>
                  <w:tcBorders>
                    <w:tl2br w:val="nil"/>
                    <w:tr2bl w:val="nil"/>
                  </w:tcBorders>
                  <w:vAlign w:val="center"/>
                </w:tcPr>
                <w:p w14:paraId="70AEA311">
                  <w:pPr>
                    <w:pStyle w:val="35"/>
                    <w:ind w:left="0" w:leftChars="0" w:right="0" w:rightChars="0"/>
                    <w:rPr>
                      <w:color w:val="000000" w:themeColor="text1"/>
                    </w:rPr>
                  </w:pPr>
                  <w:r>
                    <w:rPr>
                      <w:color w:val="000000" w:themeColor="text1"/>
                    </w:rPr>
                    <w:t>O</w:t>
                  </w:r>
                  <w:r>
                    <w:rPr>
                      <w:color w:val="000000" w:themeColor="text1"/>
                      <w:vertAlign w:val="subscript"/>
                    </w:rPr>
                    <w:t>3</w:t>
                  </w:r>
                </w:p>
              </w:tc>
              <w:tc>
                <w:tcPr>
                  <w:tcW w:w="1813" w:type="dxa"/>
                  <w:tcBorders>
                    <w:tl2br w:val="nil"/>
                    <w:tr2bl w:val="nil"/>
                  </w:tcBorders>
                  <w:vAlign w:val="center"/>
                </w:tcPr>
                <w:p w14:paraId="71F9363C">
                  <w:pPr>
                    <w:pStyle w:val="35"/>
                    <w:ind w:left="0" w:leftChars="0" w:right="0" w:rightChars="0"/>
                    <w:rPr>
                      <w:color w:val="000000" w:themeColor="text1"/>
                    </w:rPr>
                  </w:pPr>
                  <w:r>
                    <w:rPr>
                      <w:rFonts w:hint="eastAsia"/>
                      <w:color w:val="000000" w:themeColor="text1"/>
                    </w:rPr>
                    <w:t>日最大8h平均第90百分位浓度</w:t>
                  </w:r>
                </w:p>
              </w:tc>
              <w:tc>
                <w:tcPr>
                  <w:tcW w:w="1625" w:type="dxa"/>
                  <w:tcBorders>
                    <w:tl2br w:val="nil"/>
                    <w:tr2bl w:val="nil"/>
                  </w:tcBorders>
                  <w:vAlign w:val="center"/>
                </w:tcPr>
                <w:p w14:paraId="4052A951">
                  <w:pPr>
                    <w:pStyle w:val="35"/>
                    <w:ind w:left="0" w:leftChars="0" w:right="0" w:rightChars="0"/>
                    <w:rPr>
                      <w:color w:val="000000" w:themeColor="text1"/>
                    </w:rPr>
                  </w:pPr>
                  <w:r>
                    <w:rPr>
                      <w:rFonts w:hint="eastAsia"/>
                      <w:color w:val="000000" w:themeColor="text1"/>
                    </w:rPr>
                    <w:t>181</w:t>
                  </w:r>
                </w:p>
              </w:tc>
              <w:tc>
                <w:tcPr>
                  <w:tcW w:w="1500" w:type="dxa"/>
                  <w:tcBorders>
                    <w:tl2br w:val="nil"/>
                    <w:tr2bl w:val="nil"/>
                  </w:tcBorders>
                  <w:vAlign w:val="center"/>
                </w:tcPr>
                <w:p w14:paraId="403F09DC">
                  <w:pPr>
                    <w:pStyle w:val="35"/>
                    <w:ind w:left="0" w:leftChars="0" w:right="0" w:rightChars="0"/>
                    <w:rPr>
                      <w:color w:val="000000" w:themeColor="text1"/>
                    </w:rPr>
                  </w:pPr>
                  <w:r>
                    <w:rPr>
                      <w:color w:val="000000" w:themeColor="text1"/>
                    </w:rPr>
                    <w:t>160</w:t>
                  </w:r>
                </w:p>
              </w:tc>
              <w:tc>
                <w:tcPr>
                  <w:tcW w:w="1199" w:type="dxa"/>
                  <w:tcBorders>
                    <w:tl2br w:val="nil"/>
                    <w:tr2bl w:val="nil"/>
                  </w:tcBorders>
                  <w:vAlign w:val="center"/>
                </w:tcPr>
                <w:p w14:paraId="36BFCDE3">
                  <w:pPr>
                    <w:pStyle w:val="35"/>
                    <w:ind w:left="0" w:leftChars="0" w:right="0" w:rightChars="0"/>
                    <w:rPr>
                      <w:color w:val="000000" w:themeColor="text1"/>
                    </w:rPr>
                  </w:pPr>
                  <w:r>
                    <w:rPr>
                      <w:rFonts w:hint="eastAsia"/>
                      <w:color w:val="000000" w:themeColor="text1"/>
                    </w:rPr>
                    <w:t>113.1</w:t>
                  </w:r>
                </w:p>
              </w:tc>
              <w:tc>
                <w:tcPr>
                  <w:tcW w:w="1127" w:type="dxa"/>
                  <w:tcBorders>
                    <w:tl2br w:val="nil"/>
                    <w:tr2bl w:val="nil"/>
                  </w:tcBorders>
                  <w:vAlign w:val="center"/>
                </w:tcPr>
                <w:p w14:paraId="7011A3E9">
                  <w:pPr>
                    <w:pStyle w:val="35"/>
                    <w:ind w:left="0" w:leftChars="0" w:right="0" w:rightChars="0"/>
                    <w:rPr>
                      <w:color w:val="000000" w:themeColor="text1"/>
                    </w:rPr>
                  </w:pPr>
                  <w:r>
                    <w:rPr>
                      <w:color w:val="000000" w:themeColor="text1"/>
                    </w:rPr>
                    <w:t>超标</w:t>
                  </w:r>
                </w:p>
              </w:tc>
            </w:tr>
          </w:tbl>
          <w:p w14:paraId="64535365">
            <w:pPr>
              <w:adjustRightInd w:val="0"/>
              <w:snapToGrid w:val="0"/>
              <w:spacing w:line="360" w:lineRule="auto"/>
              <w:ind w:firstLine="480"/>
              <w:rPr>
                <w:color w:val="000000" w:themeColor="text1"/>
                <w:szCs w:val="21"/>
              </w:rPr>
            </w:pPr>
            <w:r>
              <w:rPr>
                <w:color w:val="000000" w:themeColor="text1"/>
                <w:szCs w:val="21"/>
              </w:rPr>
              <w:t>由上表可知，SO</w:t>
            </w:r>
            <w:r>
              <w:rPr>
                <w:color w:val="000000" w:themeColor="text1"/>
                <w:szCs w:val="21"/>
                <w:vertAlign w:val="subscript"/>
              </w:rPr>
              <w:t>2</w:t>
            </w:r>
            <w:r>
              <w:rPr>
                <w:rFonts w:hint="eastAsia"/>
                <w:color w:val="000000" w:themeColor="text1"/>
                <w:szCs w:val="21"/>
              </w:rPr>
              <w:t>、</w:t>
            </w:r>
            <w:r>
              <w:rPr>
                <w:color w:val="000000" w:themeColor="text1"/>
              </w:rPr>
              <w:t>NO</w:t>
            </w:r>
            <w:r>
              <w:rPr>
                <w:color w:val="000000" w:themeColor="text1"/>
                <w:vertAlign w:val="subscript"/>
              </w:rPr>
              <w:t>2</w:t>
            </w:r>
            <w:r>
              <w:rPr>
                <w:color w:val="000000" w:themeColor="text1"/>
                <w:szCs w:val="21"/>
              </w:rPr>
              <w:t>年平均质量浓度</w:t>
            </w:r>
            <w:r>
              <w:rPr>
                <w:rFonts w:hint="eastAsia"/>
                <w:color w:val="000000" w:themeColor="text1"/>
                <w:szCs w:val="21"/>
              </w:rPr>
              <w:t>及</w:t>
            </w:r>
            <w:r>
              <w:rPr>
                <w:color w:val="000000" w:themeColor="text1"/>
                <w:szCs w:val="21"/>
              </w:rPr>
              <w:t>CO</w:t>
            </w:r>
            <w:r>
              <w:rPr>
                <w:rFonts w:hint="eastAsia"/>
                <w:color w:val="000000" w:themeColor="text1"/>
                <w:szCs w:val="21"/>
              </w:rPr>
              <w:t>日均值第95百分位浓度</w:t>
            </w:r>
            <w:r>
              <w:rPr>
                <w:color w:val="000000" w:themeColor="text1"/>
                <w:szCs w:val="21"/>
              </w:rPr>
              <w:t>达标</w:t>
            </w:r>
            <w:r>
              <w:rPr>
                <w:rFonts w:hint="eastAsia"/>
                <w:color w:val="000000" w:themeColor="text1"/>
                <w:szCs w:val="21"/>
              </w:rPr>
              <w:t>，</w:t>
            </w:r>
            <w:r>
              <w:rPr>
                <w:color w:val="000000" w:themeColor="text1"/>
                <w:szCs w:val="21"/>
              </w:rPr>
              <w:t>PM</w:t>
            </w:r>
            <w:r>
              <w:rPr>
                <w:color w:val="000000" w:themeColor="text1"/>
                <w:szCs w:val="21"/>
                <w:vertAlign w:val="subscript"/>
              </w:rPr>
              <w:t>10</w:t>
            </w:r>
            <w:r>
              <w:rPr>
                <w:rFonts w:hint="eastAsia"/>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年平均质量浓度</w:t>
            </w:r>
            <w:r>
              <w:rPr>
                <w:rFonts w:hint="eastAsia"/>
                <w:color w:val="000000" w:themeColor="text1"/>
                <w:szCs w:val="21"/>
              </w:rPr>
              <w:t>及</w:t>
            </w:r>
            <w:r>
              <w:rPr>
                <w:color w:val="000000" w:themeColor="text1"/>
                <w:szCs w:val="21"/>
              </w:rPr>
              <w:t>O</w:t>
            </w:r>
            <w:r>
              <w:rPr>
                <w:color w:val="000000" w:themeColor="text1"/>
                <w:szCs w:val="21"/>
                <w:vertAlign w:val="subscript"/>
              </w:rPr>
              <w:t>3</w:t>
            </w:r>
            <w:r>
              <w:rPr>
                <w:color w:val="000000" w:themeColor="text1"/>
                <w:szCs w:val="21"/>
              </w:rPr>
              <w:t>日最大8h平均第90百分位浓度不达标，故项目所在区域环境空气质量不达标，属于不达标区。</w:t>
            </w:r>
          </w:p>
          <w:p w14:paraId="09B0E3C9">
            <w:pPr>
              <w:adjustRightInd w:val="0"/>
              <w:snapToGrid w:val="0"/>
              <w:spacing w:line="360" w:lineRule="auto"/>
              <w:ind w:firstLine="480"/>
              <w:rPr>
                <w:color w:val="000000" w:themeColor="text1"/>
              </w:rPr>
            </w:pPr>
            <w:r>
              <w:rPr>
                <w:color w:val="000000" w:themeColor="text1"/>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hint="eastAsia"/>
                <w:color w:val="000000" w:themeColor="text1"/>
              </w:rPr>
              <w:t>根据国务院关于印发《空气质量持续改善行动计划》的通知（国发[2023]24号）可知，按照“坚持稳中求进工作总基调，协同推进降碳、减污、扩绿、增长，以改善空气质量为核心，以减少重污染天气和解决人民群众身边的突出大气环境问题为重点，以降低细颗粒物（PM</w:t>
            </w:r>
            <w:r>
              <w:rPr>
                <w:rFonts w:hint="eastAsia"/>
                <w:color w:val="000000" w:themeColor="text1"/>
                <w:vertAlign w:val="subscript"/>
              </w:rPr>
              <w:t>2.5</w:t>
            </w:r>
            <w:r>
              <w:rPr>
                <w:rFonts w:hint="eastAsia"/>
                <w:color w:val="000000" w:themeColor="text1"/>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推动大气环境质量持续有效改善，项目所在区域空气质量将会逐步得到改善</w:t>
            </w:r>
            <w:r>
              <w:rPr>
                <w:color w:val="000000" w:themeColor="text1"/>
              </w:rPr>
              <w:t>。</w:t>
            </w:r>
          </w:p>
          <w:p w14:paraId="6A36C1F7">
            <w:pPr>
              <w:adjustRightInd w:val="0"/>
              <w:snapToGrid w:val="0"/>
              <w:spacing w:line="360" w:lineRule="auto"/>
              <w:ind w:firstLine="480"/>
              <w:rPr>
                <w:color w:val="000000" w:themeColor="text1"/>
              </w:rPr>
            </w:pPr>
            <w:r>
              <w:rPr>
                <w:rFonts w:hint="eastAsia"/>
                <w:color w:val="000000" w:themeColor="text1"/>
              </w:rPr>
              <w:t>（2）</w:t>
            </w:r>
            <w:r>
              <w:rPr>
                <w:color w:val="000000" w:themeColor="text1"/>
              </w:rPr>
              <w:t>项目所在区域污染物环境质量现状</w:t>
            </w:r>
          </w:p>
          <w:p w14:paraId="2BCA66A1">
            <w:pPr>
              <w:adjustRightInd w:val="0"/>
              <w:snapToGrid w:val="0"/>
              <w:spacing w:line="360" w:lineRule="auto"/>
              <w:ind w:firstLine="480"/>
              <w:rPr>
                <w:color w:val="000000" w:themeColor="text1"/>
              </w:rPr>
            </w:pPr>
            <w:r>
              <w:rPr>
                <w:rFonts w:hint="eastAsia"/>
                <w:color w:val="000000" w:themeColor="text1"/>
              </w:rPr>
              <w:t>①</w:t>
            </w:r>
            <w:r>
              <w:rPr>
                <w:color w:val="000000" w:themeColor="text1"/>
              </w:rPr>
              <w:t>基本污染物环境质量现状评价</w:t>
            </w:r>
          </w:p>
          <w:p w14:paraId="52B92777">
            <w:pPr>
              <w:adjustRightInd w:val="0"/>
              <w:snapToGrid w:val="0"/>
              <w:spacing w:line="360" w:lineRule="auto"/>
              <w:ind w:firstLine="480"/>
              <w:rPr>
                <w:color w:val="000000" w:themeColor="text1"/>
              </w:rPr>
            </w:pPr>
            <w:r>
              <w:rPr>
                <w:rFonts w:hint="eastAsia"/>
                <w:color w:val="000000" w:themeColor="text1"/>
                <w:szCs w:val="21"/>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引用</w:t>
            </w:r>
            <w:r>
              <w:rPr>
                <w:color w:val="000000" w:themeColor="text1"/>
              </w:rPr>
              <w:t>《</w:t>
            </w:r>
            <w:r>
              <w:rPr>
                <w:rFonts w:hint="eastAsia"/>
                <w:color w:val="000000" w:themeColor="text1"/>
              </w:rPr>
              <w:t>2023年唐山市生态环境状况公报</w:t>
            </w:r>
            <w:r>
              <w:rPr>
                <w:color w:val="000000" w:themeColor="text1"/>
              </w:rPr>
              <w:t>》</w:t>
            </w:r>
            <w:r>
              <w:rPr>
                <w:rFonts w:hint="eastAsia"/>
                <w:color w:val="000000" w:themeColor="text1"/>
              </w:rPr>
              <w:t>中曹妃甸区环境空气质量数据，环境空气质量数据见下表。</w:t>
            </w:r>
          </w:p>
          <w:p w14:paraId="04401A7F">
            <w:pPr>
              <w:adjustRightInd w:val="0"/>
              <w:snapToGrid w:val="0"/>
              <w:spacing w:line="360" w:lineRule="auto"/>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20</w:t>
            </w:r>
            <w:r>
              <w:rPr>
                <w:b/>
                <w:bCs/>
                <w:color w:val="000000" w:themeColor="text1"/>
                <w:sz w:val="21"/>
                <w:szCs w:val="21"/>
              </w:rPr>
              <w:t xml:space="preserve">  202</w:t>
            </w:r>
            <w:r>
              <w:rPr>
                <w:rFonts w:hint="eastAsia"/>
                <w:b/>
                <w:bCs/>
                <w:color w:val="000000" w:themeColor="text1"/>
                <w:sz w:val="21"/>
                <w:szCs w:val="21"/>
              </w:rPr>
              <w:t>3</w:t>
            </w:r>
            <w:r>
              <w:rPr>
                <w:b/>
                <w:bCs/>
                <w:color w:val="000000" w:themeColor="text1"/>
                <w:sz w:val="21"/>
                <w:szCs w:val="21"/>
              </w:rPr>
              <w:t>年</w:t>
            </w:r>
            <w:r>
              <w:rPr>
                <w:rFonts w:hint="eastAsia"/>
                <w:b/>
                <w:bCs/>
                <w:color w:val="000000" w:themeColor="text1"/>
                <w:sz w:val="21"/>
                <w:szCs w:val="21"/>
              </w:rPr>
              <w:t>曹妃甸区</w:t>
            </w:r>
            <w:r>
              <w:rPr>
                <w:b/>
                <w:bCs/>
                <w:color w:val="000000" w:themeColor="text1"/>
                <w:sz w:val="21"/>
                <w:szCs w:val="21"/>
              </w:rPr>
              <w:t>环境空气质量浓度值情况</w:t>
            </w:r>
            <w:r>
              <w:rPr>
                <w:rFonts w:hint="eastAsia"/>
                <w:b/>
                <w:bCs/>
                <w:color w:val="000000" w:themeColor="text1"/>
                <w:sz w:val="21"/>
                <w:szCs w:val="21"/>
              </w:rPr>
              <w:t>一览</w:t>
            </w:r>
            <w:r>
              <w:rPr>
                <w:b/>
                <w:bCs/>
                <w:color w:val="000000" w:themeColor="text1"/>
                <w:sz w:val="21"/>
                <w:szCs w:val="21"/>
              </w:rPr>
              <w:t>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6"/>
              <w:gridCol w:w="1552"/>
              <w:gridCol w:w="1815"/>
              <w:gridCol w:w="1605"/>
              <w:gridCol w:w="1320"/>
              <w:gridCol w:w="1009"/>
            </w:tblGrid>
            <w:tr w14:paraId="11E9B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06" w:type="dxa"/>
                  <w:tcBorders>
                    <w:tl2br w:val="nil"/>
                    <w:tr2bl w:val="nil"/>
                  </w:tcBorders>
                  <w:vAlign w:val="center"/>
                </w:tcPr>
                <w:p w14:paraId="08A7424C">
                  <w:pPr>
                    <w:pStyle w:val="35"/>
                    <w:rPr>
                      <w:b/>
                      <w:bCs/>
                      <w:color w:val="000000" w:themeColor="text1"/>
                    </w:rPr>
                  </w:pPr>
                  <w:r>
                    <w:rPr>
                      <w:b/>
                      <w:bCs/>
                      <w:color w:val="000000" w:themeColor="text1"/>
                    </w:rPr>
                    <w:t>污染物</w:t>
                  </w:r>
                </w:p>
              </w:tc>
              <w:tc>
                <w:tcPr>
                  <w:tcW w:w="1552" w:type="dxa"/>
                  <w:tcBorders>
                    <w:tl2br w:val="nil"/>
                    <w:tr2bl w:val="nil"/>
                  </w:tcBorders>
                  <w:vAlign w:val="center"/>
                </w:tcPr>
                <w:p w14:paraId="6D040014">
                  <w:pPr>
                    <w:pStyle w:val="35"/>
                    <w:rPr>
                      <w:b/>
                      <w:bCs/>
                      <w:color w:val="000000" w:themeColor="text1"/>
                    </w:rPr>
                  </w:pPr>
                  <w:r>
                    <w:rPr>
                      <w:b/>
                      <w:bCs/>
                      <w:color w:val="000000" w:themeColor="text1"/>
                    </w:rPr>
                    <w:t>年评价指标</w:t>
                  </w:r>
                </w:p>
              </w:tc>
              <w:tc>
                <w:tcPr>
                  <w:tcW w:w="1815" w:type="dxa"/>
                  <w:tcBorders>
                    <w:tl2br w:val="nil"/>
                    <w:tr2bl w:val="nil"/>
                  </w:tcBorders>
                  <w:vAlign w:val="center"/>
                </w:tcPr>
                <w:p w14:paraId="56EBEA4E">
                  <w:pPr>
                    <w:pStyle w:val="35"/>
                    <w:rPr>
                      <w:b/>
                      <w:bCs/>
                      <w:color w:val="000000" w:themeColor="text1"/>
                    </w:rPr>
                  </w:pPr>
                  <w:r>
                    <w:rPr>
                      <w:b/>
                      <w:bCs/>
                      <w:color w:val="000000" w:themeColor="text1"/>
                    </w:rPr>
                    <w:t>现状浓度</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605" w:type="dxa"/>
                  <w:tcBorders>
                    <w:tl2br w:val="nil"/>
                    <w:tr2bl w:val="nil"/>
                  </w:tcBorders>
                  <w:vAlign w:val="center"/>
                </w:tcPr>
                <w:p w14:paraId="22FDF6B2">
                  <w:pPr>
                    <w:pStyle w:val="35"/>
                    <w:rPr>
                      <w:b/>
                      <w:bCs/>
                      <w:color w:val="000000" w:themeColor="text1"/>
                    </w:rPr>
                  </w:pPr>
                  <w:r>
                    <w:rPr>
                      <w:b/>
                      <w:bCs/>
                      <w:color w:val="000000" w:themeColor="text1"/>
                    </w:rPr>
                    <w:t>标准值</w:t>
                  </w:r>
                  <w:r>
                    <w:rPr>
                      <w:rFonts w:hint="eastAsia"/>
                      <w:b/>
                      <w:bCs/>
                      <w:color w:val="000000" w:themeColor="text1"/>
                    </w:rPr>
                    <w:t>（</w:t>
                  </w:r>
                  <w:r>
                    <w:rPr>
                      <w:b/>
                      <w:bCs/>
                      <w:color w:val="000000" w:themeColor="text1"/>
                    </w:rPr>
                    <w:t>μg/m</w:t>
                  </w:r>
                  <w:r>
                    <w:rPr>
                      <w:b/>
                      <w:bCs/>
                      <w:color w:val="000000" w:themeColor="text1"/>
                      <w:vertAlign w:val="superscript"/>
                    </w:rPr>
                    <w:t>3</w:t>
                  </w:r>
                  <w:r>
                    <w:rPr>
                      <w:rFonts w:hint="eastAsia"/>
                      <w:b/>
                      <w:bCs/>
                      <w:color w:val="000000" w:themeColor="text1"/>
                    </w:rPr>
                    <w:t>）</w:t>
                  </w:r>
                </w:p>
              </w:tc>
              <w:tc>
                <w:tcPr>
                  <w:tcW w:w="1320" w:type="dxa"/>
                  <w:tcBorders>
                    <w:tl2br w:val="nil"/>
                    <w:tr2bl w:val="nil"/>
                  </w:tcBorders>
                  <w:vAlign w:val="center"/>
                </w:tcPr>
                <w:p w14:paraId="1E1F0BC5">
                  <w:pPr>
                    <w:pStyle w:val="35"/>
                    <w:rPr>
                      <w:b/>
                      <w:bCs/>
                      <w:color w:val="000000" w:themeColor="text1"/>
                    </w:rPr>
                  </w:pPr>
                  <w:r>
                    <w:rPr>
                      <w:b/>
                      <w:bCs/>
                      <w:color w:val="000000" w:themeColor="text1"/>
                    </w:rPr>
                    <w:t>占标率</w:t>
                  </w:r>
                  <w:r>
                    <w:rPr>
                      <w:rFonts w:hint="eastAsia"/>
                      <w:b/>
                      <w:bCs/>
                      <w:color w:val="000000" w:themeColor="text1"/>
                    </w:rPr>
                    <w:t>（</w:t>
                  </w:r>
                  <w:r>
                    <w:rPr>
                      <w:b/>
                      <w:bCs/>
                      <w:color w:val="000000" w:themeColor="text1"/>
                    </w:rPr>
                    <w:t>%</w:t>
                  </w:r>
                  <w:r>
                    <w:rPr>
                      <w:rFonts w:hint="eastAsia"/>
                      <w:b/>
                      <w:bCs/>
                      <w:color w:val="000000" w:themeColor="text1"/>
                    </w:rPr>
                    <w:t>）</w:t>
                  </w:r>
                </w:p>
              </w:tc>
              <w:tc>
                <w:tcPr>
                  <w:tcW w:w="1009" w:type="dxa"/>
                  <w:tcBorders>
                    <w:tl2br w:val="nil"/>
                    <w:tr2bl w:val="nil"/>
                  </w:tcBorders>
                  <w:vAlign w:val="center"/>
                </w:tcPr>
                <w:p w14:paraId="6E45D71A">
                  <w:pPr>
                    <w:pStyle w:val="35"/>
                    <w:rPr>
                      <w:b/>
                      <w:bCs/>
                      <w:color w:val="000000" w:themeColor="text1"/>
                    </w:rPr>
                  </w:pPr>
                  <w:r>
                    <w:rPr>
                      <w:b/>
                      <w:bCs/>
                      <w:color w:val="000000" w:themeColor="text1"/>
                    </w:rPr>
                    <w:t>达标情况</w:t>
                  </w:r>
                </w:p>
              </w:tc>
            </w:tr>
            <w:tr w14:paraId="3C8C1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2FE06415">
                  <w:pPr>
                    <w:pStyle w:val="35"/>
                    <w:rPr>
                      <w:color w:val="000000" w:themeColor="text1"/>
                    </w:rPr>
                  </w:pPr>
                  <w:r>
                    <w:rPr>
                      <w:color w:val="000000" w:themeColor="text1"/>
                    </w:rPr>
                    <w:t>SO</w:t>
                  </w:r>
                  <w:r>
                    <w:rPr>
                      <w:color w:val="000000" w:themeColor="text1"/>
                      <w:vertAlign w:val="subscript"/>
                    </w:rPr>
                    <w:t>2</w:t>
                  </w:r>
                </w:p>
              </w:tc>
              <w:tc>
                <w:tcPr>
                  <w:tcW w:w="1552" w:type="dxa"/>
                  <w:tcBorders>
                    <w:tl2br w:val="nil"/>
                    <w:tr2bl w:val="nil"/>
                  </w:tcBorders>
                  <w:vAlign w:val="center"/>
                </w:tcPr>
                <w:p w14:paraId="34B7B06E">
                  <w:pPr>
                    <w:pStyle w:val="35"/>
                    <w:rPr>
                      <w:color w:val="000000" w:themeColor="text1"/>
                    </w:rPr>
                  </w:pPr>
                  <w:r>
                    <w:rPr>
                      <w:color w:val="000000" w:themeColor="text1"/>
                    </w:rPr>
                    <w:t>年平均质量浓度</w:t>
                  </w:r>
                </w:p>
              </w:tc>
              <w:tc>
                <w:tcPr>
                  <w:tcW w:w="1815" w:type="dxa"/>
                  <w:tcBorders>
                    <w:tl2br w:val="nil"/>
                    <w:tr2bl w:val="nil"/>
                  </w:tcBorders>
                  <w:vAlign w:val="center"/>
                </w:tcPr>
                <w:p w14:paraId="71CCDC01">
                  <w:pPr>
                    <w:pStyle w:val="35"/>
                    <w:rPr>
                      <w:color w:val="000000" w:themeColor="text1"/>
                    </w:rPr>
                  </w:pPr>
                  <w:r>
                    <w:rPr>
                      <w:rFonts w:hint="eastAsia"/>
                      <w:color w:val="000000" w:themeColor="text1"/>
                    </w:rPr>
                    <w:t>9</w:t>
                  </w:r>
                </w:p>
              </w:tc>
              <w:tc>
                <w:tcPr>
                  <w:tcW w:w="1605" w:type="dxa"/>
                  <w:tcBorders>
                    <w:tl2br w:val="nil"/>
                    <w:tr2bl w:val="nil"/>
                  </w:tcBorders>
                  <w:vAlign w:val="center"/>
                </w:tcPr>
                <w:p w14:paraId="1232545A">
                  <w:pPr>
                    <w:pStyle w:val="35"/>
                    <w:rPr>
                      <w:color w:val="000000" w:themeColor="text1"/>
                    </w:rPr>
                  </w:pPr>
                  <w:r>
                    <w:rPr>
                      <w:color w:val="000000" w:themeColor="text1"/>
                    </w:rPr>
                    <w:t>60</w:t>
                  </w:r>
                </w:p>
              </w:tc>
              <w:tc>
                <w:tcPr>
                  <w:tcW w:w="1320" w:type="dxa"/>
                  <w:tcBorders>
                    <w:tl2br w:val="nil"/>
                    <w:tr2bl w:val="nil"/>
                  </w:tcBorders>
                  <w:vAlign w:val="center"/>
                </w:tcPr>
                <w:p w14:paraId="068BC12C">
                  <w:pPr>
                    <w:pStyle w:val="35"/>
                    <w:rPr>
                      <w:color w:val="000000" w:themeColor="text1"/>
                    </w:rPr>
                  </w:pPr>
                  <w:r>
                    <w:rPr>
                      <w:rFonts w:hint="eastAsia"/>
                      <w:color w:val="000000" w:themeColor="text1"/>
                    </w:rPr>
                    <w:t xml:space="preserve">15.0 </w:t>
                  </w:r>
                </w:p>
              </w:tc>
              <w:tc>
                <w:tcPr>
                  <w:tcW w:w="1009" w:type="dxa"/>
                  <w:tcBorders>
                    <w:tl2br w:val="nil"/>
                    <w:tr2bl w:val="nil"/>
                  </w:tcBorders>
                  <w:vAlign w:val="center"/>
                </w:tcPr>
                <w:p w14:paraId="0DC46ED5">
                  <w:pPr>
                    <w:pStyle w:val="35"/>
                    <w:rPr>
                      <w:color w:val="000000" w:themeColor="text1"/>
                    </w:rPr>
                  </w:pPr>
                  <w:r>
                    <w:rPr>
                      <w:color w:val="000000" w:themeColor="text1"/>
                    </w:rPr>
                    <w:t>达标</w:t>
                  </w:r>
                </w:p>
              </w:tc>
            </w:tr>
            <w:tr w14:paraId="5A7BD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7C9C0F2A">
                  <w:pPr>
                    <w:pStyle w:val="35"/>
                    <w:rPr>
                      <w:color w:val="000000" w:themeColor="text1"/>
                    </w:rPr>
                  </w:pPr>
                  <w:r>
                    <w:rPr>
                      <w:color w:val="000000" w:themeColor="text1"/>
                    </w:rPr>
                    <w:t>NO</w:t>
                  </w:r>
                  <w:r>
                    <w:rPr>
                      <w:color w:val="000000" w:themeColor="text1"/>
                      <w:vertAlign w:val="subscript"/>
                    </w:rPr>
                    <w:t>2</w:t>
                  </w:r>
                </w:p>
              </w:tc>
              <w:tc>
                <w:tcPr>
                  <w:tcW w:w="1552" w:type="dxa"/>
                  <w:tcBorders>
                    <w:tl2br w:val="nil"/>
                    <w:tr2bl w:val="nil"/>
                  </w:tcBorders>
                  <w:vAlign w:val="center"/>
                </w:tcPr>
                <w:p w14:paraId="48A23877">
                  <w:pPr>
                    <w:pStyle w:val="35"/>
                    <w:rPr>
                      <w:color w:val="000000" w:themeColor="text1"/>
                    </w:rPr>
                  </w:pPr>
                  <w:r>
                    <w:rPr>
                      <w:color w:val="000000" w:themeColor="text1"/>
                    </w:rPr>
                    <w:t>年平均质量浓度</w:t>
                  </w:r>
                </w:p>
              </w:tc>
              <w:tc>
                <w:tcPr>
                  <w:tcW w:w="1815" w:type="dxa"/>
                  <w:tcBorders>
                    <w:tl2br w:val="nil"/>
                    <w:tr2bl w:val="nil"/>
                  </w:tcBorders>
                  <w:vAlign w:val="center"/>
                </w:tcPr>
                <w:p w14:paraId="1DC96EE0">
                  <w:pPr>
                    <w:pStyle w:val="35"/>
                    <w:rPr>
                      <w:color w:val="000000" w:themeColor="text1"/>
                    </w:rPr>
                  </w:pPr>
                  <w:r>
                    <w:rPr>
                      <w:rFonts w:hint="eastAsia"/>
                      <w:color w:val="000000" w:themeColor="text1"/>
                    </w:rPr>
                    <w:t>29</w:t>
                  </w:r>
                </w:p>
              </w:tc>
              <w:tc>
                <w:tcPr>
                  <w:tcW w:w="1605" w:type="dxa"/>
                  <w:tcBorders>
                    <w:tl2br w:val="nil"/>
                    <w:tr2bl w:val="nil"/>
                  </w:tcBorders>
                  <w:vAlign w:val="center"/>
                </w:tcPr>
                <w:p w14:paraId="5D597CC9">
                  <w:pPr>
                    <w:pStyle w:val="35"/>
                    <w:rPr>
                      <w:color w:val="000000" w:themeColor="text1"/>
                    </w:rPr>
                  </w:pPr>
                  <w:r>
                    <w:rPr>
                      <w:color w:val="000000" w:themeColor="text1"/>
                    </w:rPr>
                    <w:t>40</w:t>
                  </w:r>
                </w:p>
              </w:tc>
              <w:tc>
                <w:tcPr>
                  <w:tcW w:w="1320" w:type="dxa"/>
                  <w:tcBorders>
                    <w:tl2br w:val="nil"/>
                    <w:tr2bl w:val="nil"/>
                  </w:tcBorders>
                  <w:vAlign w:val="center"/>
                </w:tcPr>
                <w:p w14:paraId="73E70EF6">
                  <w:pPr>
                    <w:pStyle w:val="35"/>
                    <w:rPr>
                      <w:color w:val="000000" w:themeColor="text1"/>
                    </w:rPr>
                  </w:pPr>
                  <w:r>
                    <w:rPr>
                      <w:rFonts w:hint="eastAsia"/>
                      <w:color w:val="000000" w:themeColor="text1"/>
                    </w:rPr>
                    <w:t xml:space="preserve">72.5 </w:t>
                  </w:r>
                </w:p>
              </w:tc>
              <w:tc>
                <w:tcPr>
                  <w:tcW w:w="1009" w:type="dxa"/>
                  <w:tcBorders>
                    <w:tl2br w:val="nil"/>
                    <w:tr2bl w:val="nil"/>
                  </w:tcBorders>
                  <w:vAlign w:val="center"/>
                </w:tcPr>
                <w:p w14:paraId="4AF0ECEC">
                  <w:pPr>
                    <w:pStyle w:val="35"/>
                    <w:rPr>
                      <w:color w:val="000000" w:themeColor="text1"/>
                    </w:rPr>
                  </w:pPr>
                  <w:r>
                    <w:rPr>
                      <w:color w:val="000000" w:themeColor="text1"/>
                    </w:rPr>
                    <w:t>达标</w:t>
                  </w:r>
                </w:p>
              </w:tc>
            </w:tr>
            <w:tr w14:paraId="32208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5A987CC3">
                  <w:pPr>
                    <w:pStyle w:val="35"/>
                    <w:rPr>
                      <w:color w:val="000000" w:themeColor="text1"/>
                    </w:rPr>
                  </w:pPr>
                  <w:r>
                    <w:rPr>
                      <w:color w:val="000000" w:themeColor="text1"/>
                    </w:rPr>
                    <w:t>PM</w:t>
                  </w:r>
                  <w:r>
                    <w:rPr>
                      <w:color w:val="000000" w:themeColor="text1"/>
                      <w:vertAlign w:val="subscript"/>
                    </w:rPr>
                    <w:t>10</w:t>
                  </w:r>
                </w:p>
              </w:tc>
              <w:tc>
                <w:tcPr>
                  <w:tcW w:w="1552" w:type="dxa"/>
                  <w:tcBorders>
                    <w:tl2br w:val="nil"/>
                    <w:tr2bl w:val="nil"/>
                  </w:tcBorders>
                  <w:vAlign w:val="center"/>
                </w:tcPr>
                <w:p w14:paraId="0DEAA237">
                  <w:pPr>
                    <w:pStyle w:val="35"/>
                    <w:rPr>
                      <w:color w:val="000000" w:themeColor="text1"/>
                    </w:rPr>
                  </w:pPr>
                  <w:r>
                    <w:rPr>
                      <w:color w:val="000000" w:themeColor="text1"/>
                    </w:rPr>
                    <w:t>年平均质量浓度</w:t>
                  </w:r>
                </w:p>
              </w:tc>
              <w:tc>
                <w:tcPr>
                  <w:tcW w:w="1815" w:type="dxa"/>
                  <w:tcBorders>
                    <w:tl2br w:val="nil"/>
                    <w:tr2bl w:val="nil"/>
                  </w:tcBorders>
                  <w:vAlign w:val="center"/>
                </w:tcPr>
                <w:p w14:paraId="5D77BF27">
                  <w:pPr>
                    <w:pStyle w:val="35"/>
                    <w:rPr>
                      <w:color w:val="000000" w:themeColor="text1"/>
                    </w:rPr>
                  </w:pPr>
                  <w:r>
                    <w:rPr>
                      <w:rFonts w:hint="eastAsia"/>
                      <w:color w:val="000000" w:themeColor="text1"/>
                    </w:rPr>
                    <w:t>63</w:t>
                  </w:r>
                </w:p>
              </w:tc>
              <w:tc>
                <w:tcPr>
                  <w:tcW w:w="1605" w:type="dxa"/>
                  <w:tcBorders>
                    <w:tl2br w:val="nil"/>
                    <w:tr2bl w:val="nil"/>
                  </w:tcBorders>
                  <w:vAlign w:val="center"/>
                </w:tcPr>
                <w:p w14:paraId="299BDFE0">
                  <w:pPr>
                    <w:pStyle w:val="35"/>
                    <w:rPr>
                      <w:color w:val="000000" w:themeColor="text1"/>
                    </w:rPr>
                  </w:pPr>
                  <w:r>
                    <w:rPr>
                      <w:rFonts w:hint="eastAsia"/>
                      <w:color w:val="000000" w:themeColor="text1"/>
                    </w:rPr>
                    <w:t>70</w:t>
                  </w:r>
                </w:p>
              </w:tc>
              <w:tc>
                <w:tcPr>
                  <w:tcW w:w="1320" w:type="dxa"/>
                  <w:tcBorders>
                    <w:tl2br w:val="nil"/>
                    <w:tr2bl w:val="nil"/>
                  </w:tcBorders>
                  <w:vAlign w:val="center"/>
                </w:tcPr>
                <w:p w14:paraId="3C5F53DB">
                  <w:pPr>
                    <w:pStyle w:val="35"/>
                    <w:rPr>
                      <w:color w:val="000000" w:themeColor="text1"/>
                    </w:rPr>
                  </w:pPr>
                  <w:r>
                    <w:rPr>
                      <w:rFonts w:hint="eastAsia"/>
                      <w:color w:val="000000" w:themeColor="text1"/>
                    </w:rPr>
                    <w:t xml:space="preserve">90.0 </w:t>
                  </w:r>
                </w:p>
              </w:tc>
              <w:tc>
                <w:tcPr>
                  <w:tcW w:w="1009" w:type="dxa"/>
                  <w:tcBorders>
                    <w:tl2br w:val="nil"/>
                    <w:tr2bl w:val="nil"/>
                  </w:tcBorders>
                  <w:vAlign w:val="center"/>
                </w:tcPr>
                <w:p w14:paraId="3E49DC0F">
                  <w:pPr>
                    <w:pStyle w:val="35"/>
                    <w:rPr>
                      <w:color w:val="000000" w:themeColor="text1"/>
                    </w:rPr>
                  </w:pPr>
                  <w:r>
                    <w:rPr>
                      <w:color w:val="000000" w:themeColor="text1"/>
                    </w:rPr>
                    <w:t>达标</w:t>
                  </w:r>
                </w:p>
              </w:tc>
            </w:tr>
            <w:tr w14:paraId="32FD4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270D3C49">
                  <w:pPr>
                    <w:pStyle w:val="35"/>
                    <w:rPr>
                      <w:color w:val="000000" w:themeColor="text1"/>
                    </w:rPr>
                  </w:pPr>
                  <w:r>
                    <w:rPr>
                      <w:color w:val="000000" w:themeColor="text1"/>
                    </w:rPr>
                    <w:t>PM</w:t>
                  </w:r>
                  <w:r>
                    <w:rPr>
                      <w:color w:val="000000" w:themeColor="text1"/>
                      <w:vertAlign w:val="subscript"/>
                    </w:rPr>
                    <w:t>2.5</w:t>
                  </w:r>
                </w:p>
              </w:tc>
              <w:tc>
                <w:tcPr>
                  <w:tcW w:w="1552" w:type="dxa"/>
                  <w:tcBorders>
                    <w:tl2br w:val="nil"/>
                    <w:tr2bl w:val="nil"/>
                  </w:tcBorders>
                  <w:vAlign w:val="center"/>
                </w:tcPr>
                <w:p w14:paraId="76A020C3">
                  <w:pPr>
                    <w:pStyle w:val="35"/>
                    <w:rPr>
                      <w:color w:val="000000" w:themeColor="text1"/>
                    </w:rPr>
                  </w:pPr>
                  <w:r>
                    <w:rPr>
                      <w:color w:val="000000" w:themeColor="text1"/>
                    </w:rPr>
                    <w:t>年平均质量浓度</w:t>
                  </w:r>
                </w:p>
              </w:tc>
              <w:tc>
                <w:tcPr>
                  <w:tcW w:w="1815" w:type="dxa"/>
                  <w:tcBorders>
                    <w:tl2br w:val="nil"/>
                    <w:tr2bl w:val="nil"/>
                  </w:tcBorders>
                  <w:shd w:val="clear" w:color="auto" w:fill="auto"/>
                  <w:vAlign w:val="center"/>
                </w:tcPr>
                <w:p w14:paraId="40C161E9">
                  <w:pPr>
                    <w:pStyle w:val="35"/>
                    <w:rPr>
                      <w:color w:val="000000" w:themeColor="text1"/>
                    </w:rPr>
                  </w:pPr>
                  <w:r>
                    <w:rPr>
                      <w:rFonts w:hint="eastAsia"/>
                      <w:color w:val="000000" w:themeColor="text1"/>
                    </w:rPr>
                    <w:t>36</w:t>
                  </w:r>
                </w:p>
              </w:tc>
              <w:tc>
                <w:tcPr>
                  <w:tcW w:w="1605" w:type="dxa"/>
                  <w:tcBorders>
                    <w:tl2br w:val="nil"/>
                    <w:tr2bl w:val="nil"/>
                  </w:tcBorders>
                  <w:shd w:val="clear" w:color="auto" w:fill="auto"/>
                  <w:vAlign w:val="center"/>
                </w:tcPr>
                <w:p w14:paraId="7DAB71C6">
                  <w:pPr>
                    <w:pStyle w:val="35"/>
                    <w:rPr>
                      <w:color w:val="000000" w:themeColor="text1"/>
                    </w:rPr>
                  </w:pPr>
                  <w:r>
                    <w:rPr>
                      <w:rFonts w:hint="eastAsia"/>
                      <w:color w:val="000000" w:themeColor="text1"/>
                    </w:rPr>
                    <w:t>35</w:t>
                  </w:r>
                </w:p>
              </w:tc>
              <w:tc>
                <w:tcPr>
                  <w:tcW w:w="1320" w:type="dxa"/>
                  <w:tcBorders>
                    <w:tl2br w:val="nil"/>
                    <w:tr2bl w:val="nil"/>
                  </w:tcBorders>
                  <w:shd w:val="clear" w:color="auto" w:fill="auto"/>
                  <w:vAlign w:val="center"/>
                </w:tcPr>
                <w:p w14:paraId="4D6D69D7">
                  <w:pPr>
                    <w:pStyle w:val="35"/>
                    <w:rPr>
                      <w:color w:val="000000" w:themeColor="text1"/>
                    </w:rPr>
                  </w:pPr>
                  <w:r>
                    <w:rPr>
                      <w:rFonts w:hint="eastAsia"/>
                      <w:color w:val="000000" w:themeColor="text1"/>
                    </w:rPr>
                    <w:t xml:space="preserve">102.9 </w:t>
                  </w:r>
                </w:p>
              </w:tc>
              <w:tc>
                <w:tcPr>
                  <w:tcW w:w="1009" w:type="dxa"/>
                  <w:tcBorders>
                    <w:tl2br w:val="nil"/>
                    <w:tr2bl w:val="nil"/>
                  </w:tcBorders>
                  <w:shd w:val="clear" w:color="auto" w:fill="auto"/>
                  <w:vAlign w:val="center"/>
                </w:tcPr>
                <w:p w14:paraId="321089F5">
                  <w:pPr>
                    <w:pStyle w:val="35"/>
                    <w:rPr>
                      <w:color w:val="000000" w:themeColor="text1"/>
                    </w:rPr>
                  </w:pPr>
                  <w:r>
                    <w:rPr>
                      <w:rFonts w:hint="eastAsia"/>
                      <w:color w:val="000000" w:themeColor="text1"/>
                    </w:rPr>
                    <w:t>超</w:t>
                  </w:r>
                  <w:r>
                    <w:rPr>
                      <w:color w:val="000000" w:themeColor="text1"/>
                    </w:rPr>
                    <w:t>标</w:t>
                  </w:r>
                </w:p>
              </w:tc>
            </w:tr>
            <w:tr w14:paraId="1343F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2640AA9D">
                  <w:pPr>
                    <w:pStyle w:val="35"/>
                    <w:rPr>
                      <w:color w:val="000000" w:themeColor="text1"/>
                    </w:rPr>
                  </w:pPr>
                  <w:r>
                    <w:rPr>
                      <w:color w:val="000000" w:themeColor="text1"/>
                    </w:rPr>
                    <w:t>CO</w:t>
                  </w:r>
                </w:p>
              </w:tc>
              <w:tc>
                <w:tcPr>
                  <w:tcW w:w="1552" w:type="dxa"/>
                  <w:tcBorders>
                    <w:tl2br w:val="nil"/>
                    <w:tr2bl w:val="nil"/>
                  </w:tcBorders>
                  <w:vAlign w:val="center"/>
                </w:tcPr>
                <w:p w14:paraId="26BCCB01">
                  <w:pPr>
                    <w:pStyle w:val="35"/>
                    <w:rPr>
                      <w:color w:val="000000" w:themeColor="text1"/>
                    </w:rPr>
                  </w:pPr>
                  <w:r>
                    <w:rPr>
                      <w:rFonts w:hint="eastAsia"/>
                      <w:color w:val="000000" w:themeColor="text1"/>
                    </w:rPr>
                    <w:t>日均值第95百分位浓度</w:t>
                  </w:r>
                </w:p>
              </w:tc>
              <w:tc>
                <w:tcPr>
                  <w:tcW w:w="1815" w:type="dxa"/>
                  <w:tcBorders>
                    <w:tl2br w:val="nil"/>
                    <w:tr2bl w:val="nil"/>
                  </w:tcBorders>
                  <w:vAlign w:val="center"/>
                </w:tcPr>
                <w:p w14:paraId="4F2D239D">
                  <w:pPr>
                    <w:pStyle w:val="35"/>
                    <w:rPr>
                      <w:color w:val="000000" w:themeColor="text1"/>
                    </w:rPr>
                  </w:pPr>
                  <w:r>
                    <w:rPr>
                      <w:rFonts w:hint="eastAsia"/>
                      <w:color w:val="000000" w:themeColor="text1"/>
                    </w:rPr>
                    <w:t>1100</w:t>
                  </w:r>
                </w:p>
              </w:tc>
              <w:tc>
                <w:tcPr>
                  <w:tcW w:w="1605" w:type="dxa"/>
                  <w:tcBorders>
                    <w:tl2br w:val="nil"/>
                    <w:tr2bl w:val="nil"/>
                  </w:tcBorders>
                  <w:vAlign w:val="center"/>
                </w:tcPr>
                <w:p w14:paraId="1E2972F1">
                  <w:pPr>
                    <w:pStyle w:val="35"/>
                    <w:rPr>
                      <w:color w:val="000000" w:themeColor="text1"/>
                    </w:rPr>
                  </w:pPr>
                  <w:r>
                    <w:rPr>
                      <w:color w:val="000000" w:themeColor="text1"/>
                    </w:rPr>
                    <w:t>4000</w:t>
                  </w:r>
                </w:p>
              </w:tc>
              <w:tc>
                <w:tcPr>
                  <w:tcW w:w="1320" w:type="dxa"/>
                  <w:tcBorders>
                    <w:tl2br w:val="nil"/>
                    <w:tr2bl w:val="nil"/>
                  </w:tcBorders>
                  <w:vAlign w:val="center"/>
                </w:tcPr>
                <w:p w14:paraId="6B0D195D">
                  <w:pPr>
                    <w:pStyle w:val="35"/>
                    <w:rPr>
                      <w:color w:val="000000" w:themeColor="text1"/>
                    </w:rPr>
                  </w:pPr>
                  <w:r>
                    <w:rPr>
                      <w:rFonts w:hint="eastAsia"/>
                      <w:color w:val="000000" w:themeColor="text1"/>
                    </w:rPr>
                    <w:t xml:space="preserve">27.5 </w:t>
                  </w:r>
                </w:p>
              </w:tc>
              <w:tc>
                <w:tcPr>
                  <w:tcW w:w="1009" w:type="dxa"/>
                  <w:tcBorders>
                    <w:tl2br w:val="nil"/>
                    <w:tr2bl w:val="nil"/>
                  </w:tcBorders>
                  <w:vAlign w:val="center"/>
                </w:tcPr>
                <w:p w14:paraId="5A8E1FD2">
                  <w:pPr>
                    <w:pStyle w:val="35"/>
                    <w:rPr>
                      <w:color w:val="000000" w:themeColor="text1"/>
                    </w:rPr>
                  </w:pPr>
                  <w:r>
                    <w:rPr>
                      <w:color w:val="000000" w:themeColor="text1"/>
                    </w:rPr>
                    <w:t>达标</w:t>
                  </w:r>
                </w:p>
              </w:tc>
            </w:tr>
            <w:tr w14:paraId="2AC83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06" w:type="dxa"/>
                  <w:tcBorders>
                    <w:tl2br w:val="nil"/>
                    <w:tr2bl w:val="nil"/>
                  </w:tcBorders>
                  <w:vAlign w:val="center"/>
                </w:tcPr>
                <w:p w14:paraId="4087D023">
                  <w:pPr>
                    <w:pStyle w:val="35"/>
                    <w:rPr>
                      <w:color w:val="000000" w:themeColor="text1"/>
                    </w:rPr>
                  </w:pPr>
                  <w:r>
                    <w:rPr>
                      <w:color w:val="000000" w:themeColor="text1"/>
                    </w:rPr>
                    <w:t>O</w:t>
                  </w:r>
                  <w:r>
                    <w:rPr>
                      <w:color w:val="000000" w:themeColor="text1"/>
                      <w:vertAlign w:val="subscript"/>
                    </w:rPr>
                    <w:t>3</w:t>
                  </w:r>
                </w:p>
              </w:tc>
              <w:tc>
                <w:tcPr>
                  <w:tcW w:w="1552" w:type="dxa"/>
                  <w:tcBorders>
                    <w:tl2br w:val="nil"/>
                    <w:tr2bl w:val="nil"/>
                  </w:tcBorders>
                  <w:vAlign w:val="center"/>
                </w:tcPr>
                <w:p w14:paraId="33A94289">
                  <w:pPr>
                    <w:pStyle w:val="35"/>
                    <w:rPr>
                      <w:color w:val="000000" w:themeColor="text1"/>
                    </w:rPr>
                  </w:pPr>
                  <w:r>
                    <w:rPr>
                      <w:rFonts w:hint="eastAsia"/>
                      <w:color w:val="000000" w:themeColor="text1"/>
                    </w:rPr>
                    <w:t>日最大8h平均第90百分位浓度</w:t>
                  </w:r>
                </w:p>
              </w:tc>
              <w:tc>
                <w:tcPr>
                  <w:tcW w:w="1815" w:type="dxa"/>
                  <w:tcBorders>
                    <w:tl2br w:val="nil"/>
                    <w:tr2bl w:val="nil"/>
                  </w:tcBorders>
                  <w:vAlign w:val="center"/>
                </w:tcPr>
                <w:p w14:paraId="01C576B1">
                  <w:pPr>
                    <w:pStyle w:val="35"/>
                    <w:rPr>
                      <w:color w:val="000000" w:themeColor="text1"/>
                    </w:rPr>
                  </w:pPr>
                  <w:r>
                    <w:rPr>
                      <w:rFonts w:hint="eastAsia"/>
                      <w:color w:val="000000" w:themeColor="text1"/>
                    </w:rPr>
                    <w:t>189</w:t>
                  </w:r>
                </w:p>
              </w:tc>
              <w:tc>
                <w:tcPr>
                  <w:tcW w:w="1605" w:type="dxa"/>
                  <w:tcBorders>
                    <w:tl2br w:val="nil"/>
                    <w:tr2bl w:val="nil"/>
                  </w:tcBorders>
                  <w:vAlign w:val="center"/>
                </w:tcPr>
                <w:p w14:paraId="1FE7AFA9">
                  <w:pPr>
                    <w:pStyle w:val="35"/>
                    <w:rPr>
                      <w:color w:val="000000" w:themeColor="text1"/>
                    </w:rPr>
                  </w:pPr>
                  <w:r>
                    <w:rPr>
                      <w:color w:val="000000" w:themeColor="text1"/>
                    </w:rPr>
                    <w:t>160</w:t>
                  </w:r>
                </w:p>
              </w:tc>
              <w:tc>
                <w:tcPr>
                  <w:tcW w:w="1320" w:type="dxa"/>
                  <w:tcBorders>
                    <w:tl2br w:val="nil"/>
                    <w:tr2bl w:val="nil"/>
                  </w:tcBorders>
                  <w:vAlign w:val="center"/>
                </w:tcPr>
                <w:p w14:paraId="35ECCD5A">
                  <w:pPr>
                    <w:pStyle w:val="35"/>
                    <w:rPr>
                      <w:color w:val="000000" w:themeColor="text1"/>
                    </w:rPr>
                  </w:pPr>
                  <w:r>
                    <w:rPr>
                      <w:rFonts w:hint="eastAsia"/>
                      <w:color w:val="000000" w:themeColor="text1"/>
                    </w:rPr>
                    <w:t xml:space="preserve">118.1 </w:t>
                  </w:r>
                </w:p>
              </w:tc>
              <w:tc>
                <w:tcPr>
                  <w:tcW w:w="1009" w:type="dxa"/>
                  <w:tcBorders>
                    <w:tl2br w:val="nil"/>
                    <w:tr2bl w:val="nil"/>
                  </w:tcBorders>
                  <w:vAlign w:val="center"/>
                </w:tcPr>
                <w:p w14:paraId="7C19CD64">
                  <w:pPr>
                    <w:pStyle w:val="35"/>
                    <w:rPr>
                      <w:color w:val="000000" w:themeColor="text1"/>
                    </w:rPr>
                  </w:pPr>
                  <w:r>
                    <w:rPr>
                      <w:rFonts w:hint="eastAsia"/>
                      <w:color w:val="000000" w:themeColor="text1"/>
                    </w:rPr>
                    <w:t>超标</w:t>
                  </w:r>
                </w:p>
              </w:tc>
            </w:tr>
          </w:tbl>
          <w:p w14:paraId="40257C6A">
            <w:pPr>
              <w:spacing w:line="360" w:lineRule="auto"/>
              <w:ind w:firstLine="500"/>
              <w:rPr>
                <w:color w:val="000000" w:themeColor="text1"/>
                <w:spacing w:val="5"/>
                <w:szCs w:val="21"/>
              </w:rPr>
            </w:pPr>
            <w:r>
              <w:rPr>
                <w:color w:val="000000" w:themeColor="text1"/>
                <w:spacing w:val="5"/>
                <w:szCs w:val="21"/>
              </w:rPr>
              <w:t>根据上表可知，项目所在区域环境空气质量评价指标中</w:t>
            </w:r>
            <w:r>
              <w:rPr>
                <w:color w:val="000000" w:themeColor="text1"/>
                <w:szCs w:val="21"/>
              </w:rPr>
              <w:t>，SO</w:t>
            </w:r>
            <w:r>
              <w:rPr>
                <w:color w:val="000000" w:themeColor="text1"/>
                <w:szCs w:val="21"/>
                <w:vertAlign w:val="subscript"/>
              </w:rPr>
              <w:t>2</w:t>
            </w:r>
            <w:r>
              <w:rPr>
                <w:rFonts w:hint="eastAsia"/>
                <w:color w:val="000000" w:themeColor="text1"/>
                <w:szCs w:val="21"/>
              </w:rPr>
              <w:t>、</w:t>
            </w:r>
            <w:r>
              <w:rPr>
                <w:color w:val="000000" w:themeColor="text1"/>
              </w:rPr>
              <w:t>NO</w:t>
            </w:r>
            <w:r>
              <w:rPr>
                <w:color w:val="000000" w:themeColor="text1"/>
                <w:vertAlign w:val="subscript"/>
              </w:rPr>
              <w:t>2</w:t>
            </w:r>
            <w:r>
              <w:rPr>
                <w:rFonts w:hint="eastAsia"/>
                <w:color w:val="000000" w:themeColor="text1"/>
              </w:rPr>
              <w:t>、</w:t>
            </w:r>
            <w:r>
              <w:rPr>
                <w:color w:val="000000" w:themeColor="text1"/>
                <w:szCs w:val="21"/>
              </w:rPr>
              <w:t>PM</w:t>
            </w:r>
            <w:r>
              <w:rPr>
                <w:color w:val="000000" w:themeColor="text1"/>
                <w:szCs w:val="21"/>
                <w:vertAlign w:val="subscript"/>
              </w:rPr>
              <w:t>10</w:t>
            </w:r>
            <w:r>
              <w:rPr>
                <w:color w:val="000000" w:themeColor="text1"/>
                <w:szCs w:val="21"/>
              </w:rPr>
              <w:t>年平均质量浓度</w:t>
            </w:r>
            <w:r>
              <w:rPr>
                <w:rFonts w:hint="eastAsia"/>
                <w:color w:val="000000" w:themeColor="text1"/>
                <w:szCs w:val="21"/>
              </w:rPr>
              <w:t>及</w:t>
            </w:r>
            <w:r>
              <w:rPr>
                <w:color w:val="000000" w:themeColor="text1"/>
                <w:szCs w:val="21"/>
              </w:rPr>
              <w:t>CO</w:t>
            </w:r>
            <w:r>
              <w:rPr>
                <w:rFonts w:hint="eastAsia"/>
                <w:color w:val="000000" w:themeColor="text1"/>
                <w:szCs w:val="21"/>
              </w:rPr>
              <w:t>日均值第95百分位浓度</w:t>
            </w:r>
            <w:r>
              <w:rPr>
                <w:color w:val="000000" w:themeColor="text1"/>
                <w:szCs w:val="21"/>
              </w:rPr>
              <w:t>达标</w:t>
            </w:r>
            <w:r>
              <w:rPr>
                <w:rFonts w:hint="eastAsia"/>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年平均质量浓度</w:t>
            </w:r>
            <w:r>
              <w:rPr>
                <w:rFonts w:hint="eastAsia"/>
                <w:color w:val="000000" w:themeColor="text1"/>
                <w:szCs w:val="21"/>
              </w:rPr>
              <w:t>及</w:t>
            </w:r>
            <w:r>
              <w:rPr>
                <w:color w:val="000000" w:themeColor="text1"/>
                <w:szCs w:val="21"/>
              </w:rPr>
              <w:t>O</w:t>
            </w:r>
            <w:r>
              <w:rPr>
                <w:color w:val="000000" w:themeColor="text1"/>
                <w:szCs w:val="21"/>
                <w:vertAlign w:val="subscript"/>
              </w:rPr>
              <w:t>3</w:t>
            </w:r>
            <w:r>
              <w:rPr>
                <w:color w:val="000000" w:themeColor="text1"/>
                <w:szCs w:val="21"/>
              </w:rPr>
              <w:t>日最大8h平均第90百分位浓度</w:t>
            </w:r>
            <w:r>
              <w:rPr>
                <w:rFonts w:hint="eastAsia"/>
                <w:color w:val="000000" w:themeColor="text1"/>
                <w:szCs w:val="21"/>
              </w:rPr>
              <w:t>超</w:t>
            </w:r>
            <w:r>
              <w:rPr>
                <w:color w:val="000000" w:themeColor="text1"/>
                <w:szCs w:val="21"/>
              </w:rPr>
              <w:t>标</w:t>
            </w:r>
            <w:r>
              <w:rPr>
                <w:color w:val="000000" w:themeColor="text1"/>
                <w:spacing w:val="5"/>
                <w:szCs w:val="21"/>
              </w:rPr>
              <w:t>。</w:t>
            </w:r>
          </w:p>
          <w:p w14:paraId="2CC718B2">
            <w:pPr>
              <w:spacing w:line="360" w:lineRule="auto"/>
              <w:ind w:firstLine="480"/>
              <w:rPr>
                <w:color w:val="000000" w:themeColor="text1"/>
              </w:rPr>
            </w:pPr>
            <w:r>
              <w:rPr>
                <w:rFonts w:hint="eastAsia"/>
                <w:color w:val="000000" w:themeColor="text1"/>
              </w:rPr>
              <w:t>②</w:t>
            </w:r>
            <w:r>
              <w:rPr>
                <w:color w:val="000000" w:themeColor="text1"/>
              </w:rPr>
              <w:t>其他污染物环境质量现状评价</w:t>
            </w:r>
          </w:p>
          <w:p w14:paraId="5AD0EE20">
            <w:pPr>
              <w:spacing w:line="360" w:lineRule="auto"/>
              <w:ind w:firstLine="480"/>
              <w:rPr>
                <w:color w:val="000000" w:themeColor="text1"/>
              </w:rPr>
            </w:pPr>
            <w:r>
              <w:rPr>
                <w:rFonts w:hint="eastAsia"/>
                <w:color w:val="000000" w:themeColor="text1"/>
              </w:rPr>
              <w:t>根据《建设项目环境影响报告表编制技术指南 （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14:paraId="65C5223D">
            <w:pPr>
              <w:spacing w:line="360" w:lineRule="auto"/>
              <w:ind w:firstLine="480"/>
              <w:rPr>
                <w:color w:val="000000" w:themeColor="text1"/>
              </w:rPr>
            </w:pPr>
            <w:r>
              <w:rPr>
                <w:rFonts w:hint="eastAsia"/>
                <w:color w:val="000000" w:themeColor="text1"/>
              </w:rPr>
              <w:t>本项目生产过程排放的特征污染物为颗粒物（TSP）、汞、烟气黑度，其中TSP有国家环境空气质量标准，汞、烟气黑度无环境空气质量标准。根据</w:t>
            </w:r>
            <w:r>
              <w:rPr>
                <w:color w:val="000000" w:themeColor="text1"/>
              </w:rPr>
              <w:t>《环境空气质量标准》（GB3095</w:t>
            </w:r>
            <w:r>
              <w:rPr>
                <w:rFonts w:hint="eastAsia"/>
                <w:color w:val="000000" w:themeColor="text1"/>
              </w:rPr>
              <w:t>-</w:t>
            </w:r>
            <w:r>
              <w:rPr>
                <w:color w:val="000000" w:themeColor="text1"/>
              </w:rPr>
              <w:t>2012）二级标准及其修改单</w:t>
            </w:r>
            <w:r>
              <w:rPr>
                <w:rFonts w:hint="eastAsia"/>
                <w:color w:val="000000" w:themeColor="text1"/>
              </w:rPr>
              <w:t>中附录A（资料性附录）“各省级人民政府可根据当地环境保护的需要，针对环境污染的特点，对本标准中未规定的污染物项目制定并实施地方环境空气质量标准。表A.1环境空气中镉、汞、砷、六价铬和氟化物参考浓度限值中汞的参考浓度限值为0.05</w:t>
            </w:r>
            <w:r>
              <w:rPr>
                <w:color w:val="000000" w:themeColor="text1"/>
              </w:rPr>
              <w:t>μg/m</w:t>
            </w:r>
            <w:r>
              <w:rPr>
                <w:color w:val="000000" w:themeColor="text1"/>
                <w:vertAlign w:val="superscript"/>
              </w:rPr>
              <w:t>3</w:t>
            </w:r>
            <w:r>
              <w:rPr>
                <w:rFonts w:hint="eastAsia"/>
                <w:color w:val="000000" w:themeColor="text1"/>
              </w:rPr>
              <w:t>（平均时间为年平均）”，标准中虽然有汞的参考浓度限值，但是平均时间为年均值，地方未规定汞的环境空气质量标准；同时参照《环境影响评价技术导则 大气环境》（HJ 2.2-2018）中“6.4.2.2 补充监测数据的现状评价内容，分别对各监测点位不同污染物的短期浓度进行环境质量现状评价。对于超标的污染物，计算其超标倍数和超标率。”汞无短期浓度，因此不对汞进行现状评价。</w:t>
            </w:r>
          </w:p>
          <w:p w14:paraId="0A75860D">
            <w:pPr>
              <w:spacing w:line="360" w:lineRule="auto"/>
              <w:ind w:firstLine="480"/>
              <w:rPr>
                <w:color w:val="000000" w:themeColor="text1"/>
                <w:szCs w:val="21"/>
              </w:rPr>
            </w:pPr>
            <w:r>
              <w:rPr>
                <w:rFonts w:hint="eastAsia"/>
                <w:color w:val="000000" w:themeColor="text1"/>
                <w:szCs w:val="21"/>
              </w:rPr>
              <w:t>TSP现状检测数据引用</w:t>
            </w:r>
            <w:r>
              <w:rPr>
                <w:rFonts w:hint="eastAsia"/>
                <w:color w:val="000000" w:themeColor="text1"/>
              </w:rPr>
              <w:t>河北弘盛源科技有限公司于2022年11月3日出具的唐山灯城输送机械有限公司成套输送设备智能制造项目环境质量现状监测检测报告（报告编号：HP221006号），检测时间为2022年10月11日~2022年10月17日，</w:t>
            </w:r>
            <w:r>
              <w:rPr>
                <w:rFonts w:hint="eastAsia"/>
                <w:color w:val="000000" w:themeColor="text1"/>
                <w:szCs w:val="21"/>
              </w:rPr>
              <w:t>检测点位为</w:t>
            </w:r>
            <w:r>
              <w:rPr>
                <w:rFonts w:hint="eastAsia"/>
                <w:color w:val="000000" w:themeColor="text1"/>
              </w:rPr>
              <w:t>唐山灯城输送机械有限公司厂址</w:t>
            </w:r>
            <w:r>
              <w:rPr>
                <w:rFonts w:hint="eastAsia"/>
                <w:color w:val="000000" w:themeColor="text1"/>
                <w:szCs w:val="21"/>
              </w:rPr>
              <w:t>，</w:t>
            </w:r>
            <w:r>
              <w:rPr>
                <w:rFonts w:hint="eastAsia"/>
                <w:color w:val="000000" w:themeColor="text1"/>
              </w:rPr>
              <w:t>位于</w:t>
            </w:r>
            <w:r>
              <w:rPr>
                <w:color w:val="000000" w:themeColor="text1"/>
                <w:lang w:eastAsia="zh-TW"/>
              </w:rPr>
              <w:t>本项目</w:t>
            </w:r>
            <w:r>
              <w:rPr>
                <w:rFonts w:hint="eastAsia"/>
                <w:color w:val="000000" w:themeColor="text1"/>
              </w:rPr>
              <w:t>西南侧约3400m处，</w:t>
            </w:r>
            <w:r>
              <w:rPr>
                <w:color w:val="000000" w:themeColor="text1"/>
                <w:szCs w:val="21"/>
                <w:lang w:eastAsia="zh-TW"/>
              </w:rPr>
              <w:t>引用数据</w:t>
            </w:r>
            <w:r>
              <w:rPr>
                <w:rFonts w:hint="eastAsia"/>
                <w:color w:val="000000" w:themeColor="text1"/>
                <w:szCs w:val="21"/>
              </w:rPr>
              <w:t>符合《建设项目环境影响报告表编制技术指南（污染影响类）（试行）》要求，</w:t>
            </w:r>
            <w:r>
              <w:rPr>
                <w:color w:val="000000" w:themeColor="text1"/>
                <w:szCs w:val="21"/>
                <w:lang w:eastAsia="zh-TW"/>
              </w:rPr>
              <w:t>引用数据可用。</w:t>
            </w:r>
            <w:r>
              <w:rPr>
                <w:rFonts w:hint="eastAsia"/>
                <w:color w:val="000000" w:themeColor="text1"/>
              </w:rPr>
              <w:t>其他污染物环境质量现状监测结果见下表</w:t>
            </w:r>
            <w:r>
              <w:rPr>
                <w:rFonts w:hint="eastAsia"/>
                <w:color w:val="000000" w:themeColor="text1"/>
                <w:szCs w:val="21"/>
              </w:rPr>
              <w:t>。</w:t>
            </w:r>
          </w:p>
          <w:p w14:paraId="50EE77CC">
            <w:pPr>
              <w:spacing w:line="360" w:lineRule="auto"/>
              <w:ind w:firstLine="0" w:firstLineChars="0"/>
              <w:jc w:val="center"/>
              <w:rPr>
                <w:b/>
                <w:bCs/>
                <w:color w:val="000000" w:themeColor="text1"/>
                <w:sz w:val="21"/>
                <w:szCs w:val="21"/>
              </w:rPr>
            </w:pPr>
            <w:r>
              <w:rPr>
                <w:b/>
                <w:bCs/>
                <w:color w:val="000000" w:themeColor="text1"/>
                <w:sz w:val="21"/>
                <w:szCs w:val="21"/>
              </w:rPr>
              <w:t>表2</w:t>
            </w:r>
            <w:r>
              <w:rPr>
                <w:rFonts w:hint="eastAsia"/>
                <w:b/>
                <w:bCs/>
                <w:color w:val="000000" w:themeColor="text1"/>
                <w:sz w:val="21"/>
                <w:szCs w:val="21"/>
              </w:rPr>
              <w:t>1</w:t>
            </w:r>
            <w:r>
              <w:rPr>
                <w:b/>
                <w:bCs/>
                <w:color w:val="000000" w:themeColor="text1"/>
                <w:sz w:val="21"/>
                <w:szCs w:val="21"/>
              </w:rPr>
              <w:t xml:space="preserve">   其他污染物环境质量现状监测结果</w:t>
            </w:r>
            <w:r>
              <w:rPr>
                <w:rFonts w:hint="eastAsia"/>
                <w:b/>
                <w:bCs/>
                <w:color w:val="000000" w:themeColor="text1"/>
                <w:sz w:val="21"/>
                <w:szCs w:val="21"/>
              </w:rPr>
              <w:t>一览</w:t>
            </w:r>
            <w:r>
              <w:rPr>
                <w:b/>
                <w:bCs/>
                <w:color w:val="000000" w:themeColor="text1"/>
                <w:sz w:val="21"/>
                <w:szCs w:val="21"/>
              </w:rPr>
              <w:t>表</w:t>
            </w:r>
          </w:p>
          <w:tbl>
            <w:tblPr>
              <w:tblStyle w:val="25"/>
              <w:tblW w:w="50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900"/>
              <w:gridCol w:w="961"/>
              <w:gridCol w:w="1082"/>
              <w:gridCol w:w="1212"/>
              <w:gridCol w:w="1064"/>
              <w:gridCol w:w="704"/>
              <w:gridCol w:w="691"/>
            </w:tblGrid>
            <w:tr w14:paraId="57238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2" w:type="pct"/>
                  <w:vMerge w:val="restart"/>
                  <w:tcBorders>
                    <w:tl2br w:val="nil"/>
                    <w:tr2bl w:val="nil"/>
                  </w:tcBorders>
                  <w:vAlign w:val="center"/>
                </w:tcPr>
                <w:p w14:paraId="18F0B3B3">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监测点位</w:t>
                  </w:r>
                </w:p>
              </w:tc>
              <w:tc>
                <w:tcPr>
                  <w:tcW w:w="553" w:type="pct"/>
                  <w:vMerge w:val="restart"/>
                  <w:tcBorders>
                    <w:tl2br w:val="nil"/>
                    <w:tr2bl w:val="nil"/>
                  </w:tcBorders>
                  <w:vAlign w:val="center"/>
                </w:tcPr>
                <w:p w14:paraId="43C2A151">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污染物</w:t>
                  </w:r>
                </w:p>
              </w:tc>
              <w:tc>
                <w:tcPr>
                  <w:tcW w:w="590" w:type="pct"/>
                  <w:vMerge w:val="restart"/>
                  <w:tcBorders>
                    <w:tl2br w:val="nil"/>
                    <w:tr2bl w:val="nil"/>
                  </w:tcBorders>
                  <w:vAlign w:val="center"/>
                </w:tcPr>
                <w:p w14:paraId="7F94E0EC">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平均时间</w:t>
                  </w:r>
                </w:p>
              </w:tc>
              <w:tc>
                <w:tcPr>
                  <w:tcW w:w="665" w:type="pct"/>
                  <w:vMerge w:val="restart"/>
                  <w:tcBorders>
                    <w:tl2br w:val="nil"/>
                    <w:tr2bl w:val="nil"/>
                  </w:tcBorders>
                  <w:vAlign w:val="center"/>
                </w:tcPr>
                <w:p w14:paraId="2FFC7E74">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评价标准/（μg/m</w:t>
                  </w:r>
                  <w:r>
                    <w:rPr>
                      <w:b/>
                      <w:bCs/>
                      <w:color w:val="000000" w:themeColor="text1"/>
                      <w:sz w:val="21"/>
                      <w:szCs w:val="21"/>
                      <w:vertAlign w:val="superscript"/>
                    </w:rPr>
                    <w:t>3</w:t>
                  </w:r>
                  <w:r>
                    <w:rPr>
                      <w:b/>
                      <w:bCs/>
                      <w:color w:val="000000" w:themeColor="text1"/>
                      <w:sz w:val="21"/>
                      <w:szCs w:val="21"/>
                    </w:rPr>
                    <w:t>）</w:t>
                  </w:r>
                </w:p>
              </w:tc>
              <w:tc>
                <w:tcPr>
                  <w:tcW w:w="745" w:type="pct"/>
                  <w:vMerge w:val="restart"/>
                  <w:tcBorders>
                    <w:tl2br w:val="nil"/>
                    <w:tr2bl w:val="nil"/>
                  </w:tcBorders>
                  <w:vAlign w:val="center"/>
                </w:tcPr>
                <w:p w14:paraId="7E1C34E9">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监测浓度范围/（μg/m</w:t>
                  </w:r>
                  <w:r>
                    <w:rPr>
                      <w:b/>
                      <w:bCs/>
                      <w:color w:val="000000" w:themeColor="text1"/>
                      <w:sz w:val="21"/>
                      <w:szCs w:val="21"/>
                      <w:vertAlign w:val="superscript"/>
                    </w:rPr>
                    <w:t>3</w:t>
                  </w:r>
                  <w:r>
                    <w:rPr>
                      <w:b/>
                      <w:bCs/>
                      <w:color w:val="000000" w:themeColor="text1"/>
                      <w:sz w:val="21"/>
                      <w:szCs w:val="21"/>
                    </w:rPr>
                    <w:t>）</w:t>
                  </w:r>
                </w:p>
              </w:tc>
              <w:tc>
                <w:tcPr>
                  <w:tcW w:w="654" w:type="pct"/>
                  <w:vMerge w:val="restart"/>
                  <w:tcBorders>
                    <w:tl2br w:val="nil"/>
                    <w:tr2bl w:val="nil"/>
                  </w:tcBorders>
                  <w:vAlign w:val="center"/>
                </w:tcPr>
                <w:p w14:paraId="325CBD5D">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最大浓度占标率/%</w:t>
                  </w:r>
                </w:p>
              </w:tc>
              <w:tc>
                <w:tcPr>
                  <w:tcW w:w="433" w:type="pct"/>
                  <w:vMerge w:val="restart"/>
                  <w:tcBorders>
                    <w:tl2br w:val="nil"/>
                    <w:tr2bl w:val="nil"/>
                  </w:tcBorders>
                  <w:vAlign w:val="center"/>
                </w:tcPr>
                <w:p w14:paraId="08CAFD70">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超标率/%</w:t>
                  </w:r>
                </w:p>
              </w:tc>
              <w:tc>
                <w:tcPr>
                  <w:tcW w:w="425" w:type="pct"/>
                  <w:vMerge w:val="restart"/>
                  <w:tcBorders>
                    <w:tl2br w:val="nil"/>
                    <w:tr2bl w:val="nil"/>
                  </w:tcBorders>
                  <w:vAlign w:val="center"/>
                </w:tcPr>
                <w:p w14:paraId="2F202230">
                  <w:pPr>
                    <w:pStyle w:val="15"/>
                    <w:adjustRightInd w:val="0"/>
                    <w:spacing w:after="0" w:line="240" w:lineRule="auto"/>
                    <w:ind w:left="0" w:leftChars="0" w:right="0" w:rightChars="0" w:firstLine="0" w:firstLineChars="0"/>
                    <w:jc w:val="center"/>
                    <w:rPr>
                      <w:b/>
                      <w:bCs/>
                      <w:color w:val="000000" w:themeColor="text1"/>
                      <w:sz w:val="21"/>
                      <w:szCs w:val="21"/>
                    </w:rPr>
                  </w:pPr>
                  <w:r>
                    <w:rPr>
                      <w:b/>
                      <w:bCs/>
                      <w:color w:val="000000" w:themeColor="text1"/>
                      <w:sz w:val="21"/>
                      <w:szCs w:val="21"/>
                    </w:rPr>
                    <w:t>达标情况</w:t>
                  </w:r>
                </w:p>
              </w:tc>
            </w:tr>
            <w:tr w14:paraId="63C86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2" w:type="pct"/>
                  <w:vMerge w:val="continue"/>
                  <w:tcBorders>
                    <w:tl2br w:val="nil"/>
                    <w:tr2bl w:val="nil"/>
                  </w:tcBorders>
                  <w:vAlign w:val="center"/>
                </w:tcPr>
                <w:p w14:paraId="350D4F83">
                  <w:pPr>
                    <w:pStyle w:val="15"/>
                    <w:adjustRightInd w:val="0"/>
                    <w:spacing w:after="0" w:line="240" w:lineRule="auto"/>
                    <w:ind w:left="0" w:leftChars="0" w:right="0" w:rightChars="0" w:firstLine="0" w:firstLineChars="0"/>
                    <w:jc w:val="center"/>
                    <w:rPr>
                      <w:color w:val="000000" w:themeColor="text1"/>
                      <w:sz w:val="21"/>
                      <w:szCs w:val="21"/>
                    </w:rPr>
                  </w:pPr>
                </w:p>
              </w:tc>
              <w:tc>
                <w:tcPr>
                  <w:tcW w:w="553" w:type="pct"/>
                  <w:vMerge w:val="continue"/>
                  <w:tcBorders>
                    <w:tl2br w:val="nil"/>
                    <w:tr2bl w:val="nil"/>
                  </w:tcBorders>
                  <w:vAlign w:val="center"/>
                </w:tcPr>
                <w:p w14:paraId="5F31E4C8">
                  <w:pPr>
                    <w:pStyle w:val="15"/>
                    <w:adjustRightInd w:val="0"/>
                    <w:spacing w:after="0" w:line="240" w:lineRule="auto"/>
                    <w:ind w:left="0" w:leftChars="0" w:right="0" w:rightChars="0" w:firstLine="0" w:firstLineChars="0"/>
                    <w:jc w:val="center"/>
                    <w:rPr>
                      <w:color w:val="000000" w:themeColor="text1"/>
                      <w:sz w:val="21"/>
                      <w:szCs w:val="21"/>
                    </w:rPr>
                  </w:pPr>
                </w:p>
              </w:tc>
              <w:tc>
                <w:tcPr>
                  <w:tcW w:w="590" w:type="pct"/>
                  <w:vMerge w:val="continue"/>
                  <w:tcBorders>
                    <w:tl2br w:val="nil"/>
                    <w:tr2bl w:val="nil"/>
                  </w:tcBorders>
                  <w:vAlign w:val="center"/>
                </w:tcPr>
                <w:p w14:paraId="54CE251D">
                  <w:pPr>
                    <w:pStyle w:val="15"/>
                    <w:adjustRightInd w:val="0"/>
                    <w:spacing w:after="0" w:line="240" w:lineRule="auto"/>
                    <w:ind w:left="0" w:leftChars="0" w:right="0" w:rightChars="0" w:firstLine="0" w:firstLineChars="0"/>
                    <w:jc w:val="center"/>
                    <w:rPr>
                      <w:color w:val="000000" w:themeColor="text1"/>
                      <w:sz w:val="21"/>
                      <w:szCs w:val="21"/>
                    </w:rPr>
                  </w:pPr>
                </w:p>
              </w:tc>
              <w:tc>
                <w:tcPr>
                  <w:tcW w:w="665" w:type="pct"/>
                  <w:vMerge w:val="continue"/>
                  <w:tcBorders>
                    <w:tl2br w:val="nil"/>
                    <w:tr2bl w:val="nil"/>
                  </w:tcBorders>
                  <w:vAlign w:val="center"/>
                </w:tcPr>
                <w:p w14:paraId="7069A62B">
                  <w:pPr>
                    <w:pStyle w:val="15"/>
                    <w:adjustRightInd w:val="0"/>
                    <w:spacing w:after="0" w:line="240" w:lineRule="auto"/>
                    <w:ind w:left="0" w:leftChars="0" w:right="0" w:rightChars="0" w:firstLine="0" w:firstLineChars="0"/>
                    <w:jc w:val="center"/>
                    <w:rPr>
                      <w:color w:val="000000" w:themeColor="text1"/>
                      <w:sz w:val="21"/>
                      <w:szCs w:val="21"/>
                    </w:rPr>
                  </w:pPr>
                </w:p>
              </w:tc>
              <w:tc>
                <w:tcPr>
                  <w:tcW w:w="745" w:type="pct"/>
                  <w:vMerge w:val="continue"/>
                  <w:tcBorders>
                    <w:tl2br w:val="nil"/>
                    <w:tr2bl w:val="nil"/>
                  </w:tcBorders>
                  <w:vAlign w:val="center"/>
                </w:tcPr>
                <w:p w14:paraId="397A8548">
                  <w:pPr>
                    <w:pStyle w:val="15"/>
                    <w:adjustRightInd w:val="0"/>
                    <w:spacing w:after="0" w:line="240" w:lineRule="auto"/>
                    <w:ind w:left="0" w:leftChars="0" w:right="0" w:rightChars="0" w:firstLine="0" w:firstLineChars="0"/>
                    <w:jc w:val="center"/>
                    <w:rPr>
                      <w:color w:val="000000" w:themeColor="text1"/>
                      <w:sz w:val="21"/>
                      <w:szCs w:val="21"/>
                    </w:rPr>
                  </w:pPr>
                </w:p>
              </w:tc>
              <w:tc>
                <w:tcPr>
                  <w:tcW w:w="654" w:type="pct"/>
                  <w:vMerge w:val="continue"/>
                  <w:tcBorders>
                    <w:tl2br w:val="nil"/>
                    <w:tr2bl w:val="nil"/>
                  </w:tcBorders>
                  <w:vAlign w:val="center"/>
                </w:tcPr>
                <w:p w14:paraId="36B63AC0">
                  <w:pPr>
                    <w:pStyle w:val="15"/>
                    <w:adjustRightInd w:val="0"/>
                    <w:spacing w:after="0" w:line="240" w:lineRule="auto"/>
                    <w:ind w:left="0" w:leftChars="0" w:right="0" w:rightChars="0" w:firstLine="0" w:firstLineChars="0"/>
                    <w:jc w:val="center"/>
                    <w:rPr>
                      <w:color w:val="000000" w:themeColor="text1"/>
                      <w:sz w:val="21"/>
                      <w:szCs w:val="21"/>
                    </w:rPr>
                  </w:pPr>
                </w:p>
              </w:tc>
              <w:tc>
                <w:tcPr>
                  <w:tcW w:w="433" w:type="pct"/>
                  <w:vMerge w:val="continue"/>
                  <w:tcBorders>
                    <w:tl2br w:val="nil"/>
                    <w:tr2bl w:val="nil"/>
                  </w:tcBorders>
                  <w:vAlign w:val="center"/>
                </w:tcPr>
                <w:p w14:paraId="041A3B0C">
                  <w:pPr>
                    <w:pStyle w:val="15"/>
                    <w:adjustRightInd w:val="0"/>
                    <w:spacing w:after="0" w:line="240" w:lineRule="auto"/>
                    <w:ind w:left="0" w:leftChars="0" w:right="0" w:rightChars="0" w:firstLine="0" w:firstLineChars="0"/>
                    <w:jc w:val="center"/>
                    <w:rPr>
                      <w:color w:val="000000" w:themeColor="text1"/>
                      <w:sz w:val="21"/>
                      <w:szCs w:val="21"/>
                    </w:rPr>
                  </w:pPr>
                </w:p>
              </w:tc>
              <w:tc>
                <w:tcPr>
                  <w:tcW w:w="425" w:type="pct"/>
                  <w:vMerge w:val="continue"/>
                  <w:tcBorders>
                    <w:tl2br w:val="nil"/>
                    <w:tr2bl w:val="nil"/>
                  </w:tcBorders>
                  <w:vAlign w:val="center"/>
                </w:tcPr>
                <w:p w14:paraId="5885B521">
                  <w:pPr>
                    <w:pStyle w:val="15"/>
                    <w:adjustRightInd w:val="0"/>
                    <w:spacing w:after="0" w:line="240" w:lineRule="auto"/>
                    <w:ind w:left="0" w:leftChars="0" w:right="0" w:rightChars="0" w:firstLine="0" w:firstLineChars="0"/>
                    <w:jc w:val="center"/>
                    <w:rPr>
                      <w:color w:val="000000" w:themeColor="text1"/>
                      <w:sz w:val="21"/>
                      <w:szCs w:val="21"/>
                    </w:rPr>
                  </w:pPr>
                </w:p>
              </w:tc>
            </w:tr>
            <w:tr w14:paraId="0EB54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2" w:type="pct"/>
                  <w:tcBorders>
                    <w:tl2br w:val="nil"/>
                    <w:tr2bl w:val="nil"/>
                  </w:tcBorders>
                  <w:shd w:val="clear" w:color="auto" w:fill="auto"/>
                  <w:vAlign w:val="center"/>
                </w:tcPr>
                <w:p w14:paraId="562C8272">
                  <w:pPr>
                    <w:pStyle w:val="35"/>
                    <w:rPr>
                      <w:color w:val="000000" w:themeColor="text1"/>
                    </w:rPr>
                  </w:pPr>
                  <w:r>
                    <w:rPr>
                      <w:rFonts w:hint="eastAsia"/>
                      <w:color w:val="000000" w:themeColor="text1"/>
                    </w:rPr>
                    <w:t>唐山灯城输送机械有限公司厂址</w:t>
                  </w:r>
                </w:p>
              </w:tc>
              <w:tc>
                <w:tcPr>
                  <w:tcW w:w="553" w:type="pct"/>
                  <w:tcBorders>
                    <w:tl2br w:val="nil"/>
                    <w:tr2bl w:val="nil"/>
                  </w:tcBorders>
                  <w:shd w:val="clear" w:color="auto" w:fill="auto"/>
                  <w:vAlign w:val="center"/>
                </w:tcPr>
                <w:p w14:paraId="0F02A9C8">
                  <w:pPr>
                    <w:pStyle w:val="51"/>
                    <w:snapToGrid/>
                    <w:textAlignment w:val="auto"/>
                    <w:rPr>
                      <w:rFonts w:eastAsia="宋体"/>
                      <w:color w:val="000000" w:themeColor="text1"/>
                    </w:rPr>
                  </w:pPr>
                  <w:r>
                    <w:rPr>
                      <w:rFonts w:hint="eastAsia" w:eastAsia="宋体"/>
                      <w:color w:val="000000" w:themeColor="text1"/>
                    </w:rPr>
                    <w:t>TSP</w:t>
                  </w:r>
                </w:p>
              </w:tc>
              <w:tc>
                <w:tcPr>
                  <w:tcW w:w="590" w:type="pct"/>
                  <w:tcBorders>
                    <w:tl2br w:val="nil"/>
                    <w:tr2bl w:val="nil"/>
                  </w:tcBorders>
                  <w:shd w:val="clear" w:color="auto" w:fill="auto"/>
                  <w:vAlign w:val="center"/>
                </w:tcPr>
                <w:p w14:paraId="6A802B4C">
                  <w:pPr>
                    <w:pStyle w:val="51"/>
                    <w:snapToGrid/>
                    <w:textAlignment w:val="auto"/>
                    <w:rPr>
                      <w:rFonts w:eastAsia="宋体"/>
                      <w:color w:val="000000" w:themeColor="text1"/>
                    </w:rPr>
                  </w:pPr>
                  <w:r>
                    <w:rPr>
                      <w:rFonts w:hint="eastAsia" w:eastAsia="宋体"/>
                      <w:color w:val="000000" w:themeColor="text1"/>
                    </w:rPr>
                    <w:t>24小时平均</w:t>
                  </w:r>
                </w:p>
              </w:tc>
              <w:tc>
                <w:tcPr>
                  <w:tcW w:w="665" w:type="pct"/>
                  <w:tcBorders>
                    <w:tl2br w:val="nil"/>
                    <w:tr2bl w:val="nil"/>
                  </w:tcBorders>
                  <w:shd w:val="clear" w:color="auto" w:fill="auto"/>
                  <w:vAlign w:val="center"/>
                </w:tcPr>
                <w:p w14:paraId="075DF136">
                  <w:pPr>
                    <w:pStyle w:val="49"/>
                    <w:widowControl w:val="0"/>
                    <w:spacing w:line="240" w:lineRule="auto"/>
                    <w:ind w:firstLine="0" w:firstLineChars="0"/>
                    <w:rPr>
                      <w:color w:val="000000" w:themeColor="text1"/>
                      <w:szCs w:val="21"/>
                    </w:rPr>
                  </w:pPr>
                  <w:r>
                    <w:rPr>
                      <w:rFonts w:hint="eastAsia"/>
                      <w:color w:val="000000" w:themeColor="text1"/>
                      <w:szCs w:val="21"/>
                    </w:rPr>
                    <w:t>300</w:t>
                  </w:r>
                </w:p>
              </w:tc>
              <w:tc>
                <w:tcPr>
                  <w:tcW w:w="745" w:type="pct"/>
                  <w:tcBorders>
                    <w:tl2br w:val="nil"/>
                    <w:tr2bl w:val="nil"/>
                  </w:tcBorders>
                  <w:shd w:val="clear" w:color="auto" w:fill="auto"/>
                  <w:vAlign w:val="center"/>
                </w:tcPr>
                <w:p w14:paraId="33C9ADB3">
                  <w:pPr>
                    <w:pStyle w:val="51"/>
                    <w:snapToGrid/>
                    <w:textAlignment w:val="auto"/>
                    <w:rPr>
                      <w:color w:val="000000" w:themeColor="text1"/>
                    </w:rPr>
                  </w:pPr>
                  <w:r>
                    <w:rPr>
                      <w:rFonts w:hint="eastAsia"/>
                      <w:color w:val="000000" w:themeColor="text1"/>
                    </w:rPr>
                    <w:t>243~272</w:t>
                  </w:r>
                </w:p>
              </w:tc>
              <w:tc>
                <w:tcPr>
                  <w:tcW w:w="654" w:type="pct"/>
                  <w:tcBorders>
                    <w:tl2br w:val="nil"/>
                    <w:tr2bl w:val="nil"/>
                  </w:tcBorders>
                  <w:shd w:val="clear" w:color="auto" w:fill="auto"/>
                  <w:vAlign w:val="center"/>
                </w:tcPr>
                <w:p w14:paraId="46B6C9EB">
                  <w:pPr>
                    <w:pStyle w:val="51"/>
                    <w:snapToGrid/>
                    <w:textAlignment w:val="auto"/>
                    <w:rPr>
                      <w:color w:val="000000" w:themeColor="text1"/>
                    </w:rPr>
                  </w:pPr>
                  <w:r>
                    <w:rPr>
                      <w:rFonts w:hint="eastAsia"/>
                      <w:color w:val="000000" w:themeColor="text1"/>
                    </w:rPr>
                    <w:t>90.7</w:t>
                  </w:r>
                </w:p>
              </w:tc>
              <w:tc>
                <w:tcPr>
                  <w:tcW w:w="433" w:type="pct"/>
                  <w:tcBorders>
                    <w:tl2br w:val="nil"/>
                    <w:tr2bl w:val="nil"/>
                  </w:tcBorders>
                  <w:shd w:val="clear" w:color="auto" w:fill="auto"/>
                  <w:vAlign w:val="center"/>
                </w:tcPr>
                <w:p w14:paraId="79729A24">
                  <w:pPr>
                    <w:pStyle w:val="51"/>
                    <w:snapToGrid/>
                    <w:textAlignment w:val="auto"/>
                    <w:rPr>
                      <w:rFonts w:eastAsia="宋体"/>
                      <w:color w:val="000000" w:themeColor="text1"/>
                    </w:rPr>
                  </w:pPr>
                  <w:r>
                    <w:rPr>
                      <w:rFonts w:hint="eastAsia" w:eastAsia="宋体"/>
                      <w:color w:val="000000" w:themeColor="text1"/>
                    </w:rPr>
                    <w:t>0</w:t>
                  </w:r>
                </w:p>
              </w:tc>
              <w:tc>
                <w:tcPr>
                  <w:tcW w:w="425" w:type="pct"/>
                  <w:tcBorders>
                    <w:tl2br w:val="nil"/>
                    <w:tr2bl w:val="nil"/>
                  </w:tcBorders>
                  <w:shd w:val="clear" w:color="auto" w:fill="auto"/>
                  <w:vAlign w:val="center"/>
                </w:tcPr>
                <w:p w14:paraId="241AB060">
                  <w:pPr>
                    <w:pStyle w:val="51"/>
                    <w:adjustRightInd/>
                    <w:snapToGrid/>
                    <w:textAlignment w:val="auto"/>
                    <w:rPr>
                      <w:rFonts w:eastAsia="宋体"/>
                      <w:color w:val="000000" w:themeColor="text1"/>
                    </w:rPr>
                  </w:pPr>
                  <w:r>
                    <w:rPr>
                      <w:rFonts w:hint="eastAsia" w:eastAsia="宋体"/>
                      <w:color w:val="000000" w:themeColor="text1"/>
                    </w:rPr>
                    <w:t>达标</w:t>
                  </w:r>
                </w:p>
              </w:tc>
            </w:tr>
          </w:tbl>
          <w:p w14:paraId="6EB5B9F2">
            <w:pPr>
              <w:spacing w:line="360" w:lineRule="auto"/>
              <w:ind w:firstLine="480"/>
              <w:rPr>
                <w:color w:val="000000" w:themeColor="text1"/>
              </w:rPr>
            </w:pPr>
            <w:r>
              <w:rPr>
                <w:color w:val="000000" w:themeColor="text1"/>
              </w:rPr>
              <w:t>由上表</w:t>
            </w:r>
            <w:r>
              <w:rPr>
                <w:rFonts w:hint="eastAsia"/>
                <w:color w:val="000000" w:themeColor="text1"/>
              </w:rPr>
              <w:t>可知</w:t>
            </w:r>
            <w:r>
              <w:rPr>
                <w:color w:val="000000" w:themeColor="text1"/>
              </w:rPr>
              <w:t>，其他污染物TSP</w:t>
            </w:r>
            <w:r>
              <w:rPr>
                <w:rFonts w:hint="eastAsia"/>
                <w:color w:val="000000" w:themeColor="text1"/>
              </w:rPr>
              <w:t xml:space="preserve"> </w:t>
            </w:r>
            <w:r>
              <w:rPr>
                <w:color w:val="000000" w:themeColor="text1"/>
              </w:rPr>
              <w:t>24小时浓度</w:t>
            </w:r>
            <w:r>
              <w:rPr>
                <w:rFonts w:hint="eastAsia"/>
                <w:color w:val="000000" w:themeColor="text1"/>
              </w:rPr>
              <w:t>均值</w:t>
            </w:r>
            <w:r>
              <w:rPr>
                <w:color w:val="000000" w:themeColor="text1"/>
              </w:rPr>
              <w:t>满足《环境空气质量标准》（GB3095</w:t>
            </w:r>
            <w:r>
              <w:rPr>
                <w:rFonts w:hint="eastAsia"/>
                <w:color w:val="000000" w:themeColor="text1"/>
              </w:rPr>
              <w:t>-</w:t>
            </w:r>
            <w:r>
              <w:rPr>
                <w:color w:val="000000" w:themeColor="text1"/>
              </w:rPr>
              <w:t>2012）中二级标准及其修改单</w:t>
            </w:r>
            <w:r>
              <w:rPr>
                <w:rFonts w:hint="eastAsia"/>
                <w:color w:val="000000" w:themeColor="text1"/>
              </w:rPr>
              <w:t>的要求。</w:t>
            </w:r>
          </w:p>
          <w:p w14:paraId="2F02203B">
            <w:pPr>
              <w:spacing w:line="360" w:lineRule="auto"/>
              <w:ind w:firstLine="482"/>
              <w:rPr>
                <w:b/>
                <w:bCs/>
                <w:color w:val="000000" w:themeColor="text1"/>
              </w:rPr>
            </w:pPr>
            <w:r>
              <w:rPr>
                <w:rFonts w:hint="eastAsia"/>
                <w:b/>
                <w:bCs/>
                <w:color w:val="000000" w:themeColor="text1"/>
              </w:rPr>
              <w:t>2、</w:t>
            </w:r>
            <w:r>
              <w:rPr>
                <w:b/>
                <w:bCs/>
                <w:color w:val="000000" w:themeColor="text1"/>
              </w:rPr>
              <w:t>声环境</w:t>
            </w:r>
          </w:p>
          <w:p w14:paraId="48DEA338">
            <w:pPr>
              <w:spacing w:line="360" w:lineRule="auto"/>
              <w:ind w:firstLine="480"/>
              <w:rPr>
                <w:color w:val="000000" w:themeColor="text1"/>
              </w:rPr>
            </w:pPr>
            <w:r>
              <w:rPr>
                <w:rFonts w:hint="eastAsia"/>
                <w:color w:val="000000" w:themeColor="text1"/>
              </w:rPr>
              <w:t>本项目</w:t>
            </w:r>
            <w:r>
              <w:rPr>
                <w:color w:val="000000" w:themeColor="text1"/>
              </w:rPr>
              <w:t>周边50m范围内不存在声环境保护目标</w:t>
            </w:r>
            <w:r>
              <w:rPr>
                <w:rFonts w:hint="eastAsia"/>
                <w:color w:val="000000" w:themeColor="text1"/>
              </w:rPr>
              <w:t>，无需进行声环境质量现状监测。</w:t>
            </w:r>
          </w:p>
          <w:p w14:paraId="01D3586D">
            <w:pPr>
              <w:spacing w:line="360" w:lineRule="auto"/>
              <w:ind w:firstLine="482"/>
              <w:rPr>
                <w:b/>
                <w:bCs/>
                <w:color w:val="000000" w:themeColor="text1"/>
              </w:rPr>
            </w:pPr>
            <w:r>
              <w:rPr>
                <w:b/>
                <w:bCs/>
                <w:color w:val="000000" w:themeColor="text1"/>
              </w:rPr>
              <w:t>3、地表水</w:t>
            </w:r>
          </w:p>
          <w:p w14:paraId="52807B8E">
            <w:pPr>
              <w:spacing w:line="360" w:lineRule="auto"/>
              <w:ind w:firstLine="480"/>
              <w:rPr>
                <w:color w:val="000000" w:themeColor="text1"/>
              </w:rPr>
            </w:pPr>
            <w:r>
              <w:rPr>
                <w:rFonts w:hint="eastAsia"/>
                <w:color w:val="000000" w:themeColor="text1"/>
              </w:rPr>
              <w:t>根据</w:t>
            </w:r>
            <w:r>
              <w:rPr>
                <w:color w:val="000000" w:themeColor="text1"/>
                <w:lang w:val="zh-CN"/>
              </w:rPr>
              <w:t>《20</w:t>
            </w:r>
            <w:r>
              <w:rPr>
                <w:rFonts w:hint="eastAsia"/>
                <w:color w:val="000000" w:themeColor="text1"/>
              </w:rPr>
              <w:t>23</w:t>
            </w:r>
            <w:r>
              <w:rPr>
                <w:color w:val="000000" w:themeColor="text1"/>
                <w:lang w:val="zh-CN"/>
              </w:rPr>
              <w:t>年唐山市</w:t>
            </w:r>
            <w:r>
              <w:rPr>
                <w:rFonts w:hint="eastAsia"/>
                <w:color w:val="000000" w:themeColor="text1"/>
              </w:rPr>
              <w:t>生态</w:t>
            </w:r>
            <w:r>
              <w:rPr>
                <w:color w:val="000000" w:themeColor="text1"/>
                <w:lang w:val="zh-CN"/>
              </w:rPr>
              <w:t>环境状况公报》</w:t>
            </w:r>
            <w:r>
              <w:rPr>
                <w:rFonts w:hint="eastAsia"/>
                <w:color w:val="000000" w:themeColor="text1"/>
                <w:lang w:val="zh-CN"/>
              </w:rPr>
              <w:t>，202</w:t>
            </w:r>
            <w:r>
              <w:rPr>
                <w:rFonts w:hint="eastAsia"/>
                <w:color w:val="000000" w:themeColor="text1"/>
              </w:rPr>
              <w:t>3</w:t>
            </w:r>
            <w:r>
              <w:rPr>
                <w:rFonts w:hint="eastAsia"/>
                <w:color w:val="000000" w:themeColor="text1"/>
                <w:lang w:val="zh-CN"/>
              </w:rPr>
              <w:t>年全市共有地表水国、省考监测断面14个，</w:t>
            </w:r>
            <w:r>
              <w:rPr>
                <w:rFonts w:hint="eastAsia"/>
                <w:color w:val="000000" w:themeColor="text1"/>
              </w:rPr>
              <w:t>其中国考监测断面12个，省考监测断面2个，分别布于滦河4个、</w:t>
            </w:r>
            <w:r>
              <w:rPr>
                <w:rFonts w:hint="eastAsia"/>
                <w:color w:val="000000" w:themeColor="text1"/>
                <w:lang w:val="zh-CN"/>
              </w:rPr>
              <w:t>还乡河</w:t>
            </w:r>
            <w:r>
              <w:rPr>
                <w:rFonts w:hint="eastAsia"/>
                <w:color w:val="000000" w:themeColor="text1"/>
              </w:rPr>
              <w:t>2个</w:t>
            </w:r>
            <w:r>
              <w:rPr>
                <w:rFonts w:hint="eastAsia"/>
                <w:color w:val="000000" w:themeColor="text1"/>
                <w:lang w:val="zh-CN"/>
              </w:rPr>
              <w:t>、陡河</w:t>
            </w:r>
            <w:r>
              <w:rPr>
                <w:rFonts w:hint="eastAsia"/>
                <w:color w:val="000000" w:themeColor="text1"/>
              </w:rPr>
              <w:t>2个</w:t>
            </w:r>
            <w:r>
              <w:rPr>
                <w:rFonts w:hint="eastAsia"/>
                <w:color w:val="000000" w:themeColor="text1"/>
                <w:lang w:val="zh-CN"/>
              </w:rPr>
              <w:t>、青龙河</w:t>
            </w:r>
            <w:r>
              <w:rPr>
                <w:rFonts w:hint="eastAsia"/>
                <w:color w:val="000000" w:themeColor="text1"/>
              </w:rPr>
              <w:t>1个</w:t>
            </w:r>
            <w:r>
              <w:rPr>
                <w:rFonts w:hint="eastAsia"/>
                <w:color w:val="000000" w:themeColor="text1"/>
                <w:lang w:val="zh-CN"/>
              </w:rPr>
              <w:t>、蓟运河</w:t>
            </w:r>
            <w:r>
              <w:rPr>
                <w:rFonts w:hint="eastAsia"/>
                <w:color w:val="000000" w:themeColor="text1"/>
              </w:rPr>
              <w:t>1个</w:t>
            </w:r>
            <w:r>
              <w:rPr>
                <w:rFonts w:hint="eastAsia"/>
                <w:color w:val="000000" w:themeColor="text1"/>
                <w:lang w:val="zh-CN"/>
              </w:rPr>
              <w:t>、煤河</w:t>
            </w:r>
            <w:r>
              <w:rPr>
                <w:rFonts w:hint="eastAsia"/>
                <w:color w:val="000000" w:themeColor="text1"/>
              </w:rPr>
              <w:t>1个</w:t>
            </w:r>
            <w:r>
              <w:rPr>
                <w:rFonts w:hint="eastAsia"/>
                <w:color w:val="000000" w:themeColor="text1"/>
                <w:lang w:val="zh-CN"/>
              </w:rPr>
              <w:t>、淋河</w:t>
            </w:r>
            <w:r>
              <w:rPr>
                <w:rFonts w:hint="eastAsia"/>
                <w:color w:val="000000" w:themeColor="text1"/>
              </w:rPr>
              <w:t>1个</w:t>
            </w:r>
            <w:r>
              <w:rPr>
                <w:rFonts w:hint="eastAsia"/>
                <w:color w:val="000000" w:themeColor="text1"/>
                <w:lang w:val="zh-CN"/>
              </w:rPr>
              <w:t>、黎河</w:t>
            </w:r>
            <w:r>
              <w:rPr>
                <w:rFonts w:hint="eastAsia"/>
                <w:color w:val="000000" w:themeColor="text1"/>
              </w:rPr>
              <w:t>1个</w:t>
            </w:r>
            <w:r>
              <w:rPr>
                <w:rFonts w:hint="eastAsia"/>
                <w:color w:val="000000" w:themeColor="text1"/>
                <w:lang w:val="zh-CN"/>
              </w:rPr>
              <w:t>、沙河</w:t>
            </w:r>
            <w:r>
              <w:rPr>
                <w:rFonts w:hint="eastAsia"/>
                <w:color w:val="000000" w:themeColor="text1"/>
              </w:rPr>
              <w:t>1个</w:t>
            </w:r>
            <w:r>
              <w:rPr>
                <w:rFonts w:hint="eastAsia"/>
                <w:color w:val="000000" w:themeColor="text1"/>
                <w:lang w:val="zh-CN"/>
              </w:rPr>
              <w:t>，202</w:t>
            </w:r>
            <w:r>
              <w:rPr>
                <w:rFonts w:hint="eastAsia"/>
                <w:color w:val="000000" w:themeColor="text1"/>
              </w:rPr>
              <w:t>3</w:t>
            </w:r>
            <w:r>
              <w:rPr>
                <w:rFonts w:hint="eastAsia"/>
                <w:color w:val="000000" w:themeColor="text1"/>
                <w:lang w:val="zh-CN"/>
              </w:rPr>
              <w:t>年国、省考核9条河流、</w:t>
            </w:r>
            <w:r>
              <w:rPr>
                <w:rFonts w:hint="eastAsia"/>
                <w:color w:val="000000" w:themeColor="text1"/>
              </w:rPr>
              <w:t>2个湖库的</w:t>
            </w:r>
            <w:r>
              <w:rPr>
                <w:rFonts w:hint="eastAsia"/>
                <w:color w:val="000000" w:themeColor="text1"/>
                <w:lang w:val="zh-CN"/>
              </w:rPr>
              <w:t>14个断面</w:t>
            </w:r>
            <w:r>
              <w:rPr>
                <w:rFonts w:hint="eastAsia"/>
                <w:color w:val="000000" w:themeColor="text1"/>
              </w:rPr>
              <w:t>优良（</w:t>
            </w:r>
            <w:r>
              <w:rPr>
                <w:color w:val="000000" w:themeColor="text1"/>
                <w:lang w:val="zh-CN"/>
              </w:rPr>
              <w:t>Ⅰ-Ⅲ</w:t>
            </w:r>
            <w:r>
              <w:rPr>
                <w:rFonts w:hint="eastAsia"/>
                <w:color w:val="000000" w:themeColor="text1"/>
              </w:rPr>
              <w:t>）比例为85.71%</w:t>
            </w:r>
          </w:p>
          <w:p w14:paraId="38AE9C50">
            <w:pPr>
              <w:ind w:firstLine="480"/>
              <w:rPr>
                <w:color w:val="000000" w:themeColor="text1"/>
              </w:rPr>
            </w:pPr>
            <w:r>
              <w:rPr>
                <w:rFonts w:hint="eastAsia"/>
                <w:color w:val="000000" w:themeColor="text1"/>
              </w:rPr>
              <w:t>本项目所在区域河流为沙河、双龙河、小青龙河，根据唐山市生态环境局公开发布的《2024年12月唐山市地表水环境质量状况》，沙河监测断面为沙河桥，水质类别为</w:t>
            </w:r>
            <w:r>
              <w:rPr>
                <w:color w:val="000000" w:themeColor="text1"/>
              </w:rPr>
              <w:t>Ⅱ</w:t>
            </w:r>
            <w:r>
              <w:rPr>
                <w:rFonts w:hint="eastAsia"/>
                <w:color w:val="000000" w:themeColor="text1"/>
              </w:rPr>
              <w:t xml:space="preserve">类。 </w:t>
            </w:r>
          </w:p>
          <w:p w14:paraId="03C99600">
            <w:pPr>
              <w:spacing w:line="360" w:lineRule="auto"/>
              <w:ind w:firstLine="482"/>
              <w:rPr>
                <w:b/>
                <w:bCs/>
                <w:color w:val="000000" w:themeColor="text1"/>
              </w:rPr>
            </w:pPr>
            <w:r>
              <w:rPr>
                <w:rFonts w:hint="eastAsia"/>
                <w:b/>
                <w:bCs/>
                <w:color w:val="000000" w:themeColor="text1"/>
              </w:rPr>
              <w:t>4</w:t>
            </w:r>
            <w:r>
              <w:rPr>
                <w:b/>
                <w:bCs/>
                <w:color w:val="000000" w:themeColor="text1"/>
              </w:rPr>
              <w:t>、</w:t>
            </w:r>
            <w:r>
              <w:rPr>
                <w:rFonts w:hint="eastAsia"/>
                <w:b/>
                <w:bCs/>
                <w:color w:val="000000" w:themeColor="text1"/>
              </w:rPr>
              <w:t>地下水、土壤</w:t>
            </w:r>
          </w:p>
          <w:p w14:paraId="4FDAC137">
            <w:pPr>
              <w:spacing w:line="360" w:lineRule="auto"/>
              <w:ind w:firstLine="480"/>
              <w:rPr>
                <w:color w:val="000000" w:themeColor="text1"/>
              </w:rPr>
            </w:pPr>
            <w:r>
              <w:rPr>
                <w:rFonts w:hint="eastAsia"/>
                <w:color w:val="000000" w:themeColor="text1"/>
              </w:rPr>
              <w:t>根据《建设项目环境影响报告表编制技术指南（污染影响类）（试行》，原则上不开展地下水、土壤环境质量现状调查。本项目租赁唐山曹妃甸木业股份有限公司闲置厂房及堆场进行建设，厂房及堆场地面均已硬化。本项目液压油、机油、润滑油桶装储存于厂房内的油品储存库，液压油、机油、润滑油储存区域下设托盘，地面防渗处理，</w:t>
            </w:r>
            <w:r>
              <w:rPr>
                <w:color w:val="000000" w:themeColor="text1"/>
                <w:szCs w:val="21"/>
              </w:rPr>
              <w:t>渗透系数≤1.0×10</w:t>
            </w:r>
            <w:r>
              <w:rPr>
                <w:color w:val="000000" w:themeColor="text1"/>
                <w:szCs w:val="21"/>
                <w:vertAlign w:val="superscript"/>
              </w:rPr>
              <w:t>-</w:t>
            </w:r>
            <w:r>
              <w:rPr>
                <w:rFonts w:hint="eastAsia"/>
                <w:color w:val="000000" w:themeColor="text1"/>
                <w:szCs w:val="21"/>
                <w:vertAlign w:val="superscript"/>
              </w:rPr>
              <w:t>7</w:t>
            </w:r>
            <w:r>
              <w:rPr>
                <w:color w:val="000000" w:themeColor="text1"/>
                <w:szCs w:val="21"/>
              </w:rPr>
              <w:t>cm/s</w:t>
            </w:r>
            <w:r>
              <w:rPr>
                <w:rFonts w:hint="eastAsia"/>
                <w:color w:val="000000" w:themeColor="text1"/>
                <w:szCs w:val="21"/>
              </w:rPr>
              <w:t>；</w:t>
            </w:r>
            <w:r>
              <w:rPr>
                <w:rFonts w:hint="eastAsia"/>
                <w:color w:val="000000" w:themeColor="text1"/>
              </w:rPr>
              <w:t>废液压油、废机油、废润滑油桶装加盖储存于危废暂存间内，危废暂存间地面和裙脚进行防渗处理，</w:t>
            </w:r>
            <w:r>
              <w:rPr>
                <w:color w:val="000000" w:themeColor="text1"/>
              </w:rPr>
              <w:t>渗透系数≤1.0×10</w:t>
            </w:r>
            <w:r>
              <w:rPr>
                <w:color w:val="000000" w:themeColor="text1"/>
                <w:vertAlign w:val="superscript"/>
              </w:rPr>
              <w:t>-10</w:t>
            </w:r>
            <w:r>
              <w:rPr>
                <w:color w:val="000000" w:themeColor="text1"/>
              </w:rPr>
              <w:t>cm/s</w:t>
            </w:r>
            <w:r>
              <w:rPr>
                <w:rFonts w:hint="eastAsia"/>
                <w:color w:val="000000" w:themeColor="text1"/>
              </w:rPr>
              <w:t>；厂房内使用液压油、机油、润滑油的设备区域设置托盘，确保废油不落地；热风炉配套</w:t>
            </w:r>
            <w:r>
              <w:rPr>
                <w:color w:val="000000" w:themeColor="text1"/>
              </w:rPr>
              <w:t>冷却水箱</w:t>
            </w:r>
            <w:r>
              <w:rPr>
                <w:rFonts w:hint="eastAsia"/>
                <w:color w:val="000000" w:themeColor="text1"/>
              </w:rPr>
              <w:t>为碳钢材质；厂房内的其他区域地面及堆场地面防渗处理，渗透系数</w:t>
            </w:r>
            <w:r>
              <w:rPr>
                <w:color w:val="000000" w:themeColor="text1"/>
              </w:rPr>
              <w:t>≤1×10</w:t>
            </w:r>
            <w:r>
              <w:rPr>
                <w:color w:val="000000" w:themeColor="text1"/>
                <w:vertAlign w:val="superscript"/>
              </w:rPr>
              <w:t>-7</w:t>
            </w:r>
            <w:r>
              <w:rPr>
                <w:color w:val="000000" w:themeColor="text1"/>
              </w:rPr>
              <w:t>cm/s</w:t>
            </w:r>
            <w:r>
              <w:rPr>
                <w:rFonts w:hint="eastAsia"/>
                <w:color w:val="000000" w:themeColor="text1"/>
              </w:rPr>
              <w:t>。根据</w:t>
            </w:r>
            <w:r>
              <w:rPr>
                <w:rFonts w:hint="eastAsia"/>
                <w:color w:val="000000" w:themeColor="text1"/>
                <w:szCs w:val="21"/>
              </w:rPr>
              <w:t>现场勘查，租赁厂房及堆场未发生过泄漏污染事件，本项目在加强地面防渗的情况下</w:t>
            </w:r>
            <w:r>
              <w:rPr>
                <w:color w:val="000000" w:themeColor="text1"/>
                <w:szCs w:val="21"/>
              </w:rPr>
              <w:t>，基本不会对地下水、土壤环境造成影响</w:t>
            </w:r>
            <w:r>
              <w:rPr>
                <w:rFonts w:hint="eastAsia"/>
                <w:color w:val="000000" w:themeColor="text1"/>
                <w:szCs w:val="21"/>
              </w:rPr>
              <w:t>，无需开展地下水、土壤环境质量现状调查。</w:t>
            </w:r>
          </w:p>
          <w:p w14:paraId="6EC2E5B3">
            <w:pPr>
              <w:spacing w:line="360" w:lineRule="auto"/>
              <w:ind w:firstLine="482"/>
              <w:rPr>
                <w:b/>
                <w:bCs/>
                <w:color w:val="000000" w:themeColor="text1"/>
              </w:rPr>
            </w:pPr>
            <w:r>
              <w:rPr>
                <w:rFonts w:hint="eastAsia"/>
                <w:b/>
                <w:bCs/>
                <w:color w:val="000000" w:themeColor="text1"/>
              </w:rPr>
              <w:t>5、</w:t>
            </w:r>
            <w:r>
              <w:rPr>
                <w:b/>
                <w:bCs/>
                <w:color w:val="000000" w:themeColor="text1"/>
              </w:rPr>
              <w:t>生态</w:t>
            </w:r>
          </w:p>
          <w:p w14:paraId="3F392FB7">
            <w:pPr>
              <w:spacing w:line="360" w:lineRule="auto"/>
              <w:ind w:firstLine="480"/>
              <w:rPr>
                <w:color w:val="000000" w:themeColor="text1"/>
              </w:rPr>
            </w:pPr>
            <w:r>
              <w:rPr>
                <w:rFonts w:hint="eastAsia"/>
                <w:color w:val="000000" w:themeColor="text1"/>
              </w:rPr>
              <w:t>本项目租赁唐山曹妃甸木业股份有限公司闲置厂房及堆场进行建设，</w:t>
            </w:r>
            <w:r>
              <w:rPr>
                <w:rFonts w:ascii="宋体" w:hAnsi="宋体" w:cs="宋体"/>
                <w:color w:val="000000" w:themeColor="text1"/>
                <w:spacing w:val="-3"/>
              </w:rPr>
              <w:t>位于</w:t>
            </w:r>
            <w:r>
              <w:rPr>
                <w:rFonts w:hint="eastAsia"/>
                <w:color w:val="000000" w:themeColor="text1"/>
              </w:rPr>
              <w:t>唐山市曹妃甸装备制造产业园区</w:t>
            </w:r>
            <w:r>
              <w:rPr>
                <w:rFonts w:hint="eastAsia" w:ascii="宋体" w:hAnsi="宋体" w:cs="宋体"/>
                <w:color w:val="000000" w:themeColor="text1"/>
                <w:spacing w:val="-3"/>
              </w:rPr>
              <w:t>内，</w:t>
            </w:r>
            <w:r>
              <w:rPr>
                <w:rFonts w:hint="eastAsia"/>
                <w:color w:val="000000" w:themeColor="text1"/>
                <w:szCs w:val="21"/>
              </w:rPr>
              <w:t>无需</w:t>
            </w:r>
            <w:r>
              <w:rPr>
                <w:color w:val="000000" w:themeColor="text1"/>
                <w:szCs w:val="21"/>
              </w:rPr>
              <w:t>开展</w:t>
            </w:r>
            <w:r>
              <w:rPr>
                <w:rFonts w:hint="eastAsia"/>
                <w:color w:val="000000" w:themeColor="text1"/>
                <w:szCs w:val="21"/>
              </w:rPr>
              <w:t>生态</w:t>
            </w:r>
            <w:r>
              <w:rPr>
                <w:color w:val="000000" w:themeColor="text1"/>
                <w:szCs w:val="21"/>
              </w:rPr>
              <w:t>现状调查</w:t>
            </w:r>
            <w:r>
              <w:rPr>
                <w:color w:val="000000" w:themeColor="text1"/>
              </w:rPr>
              <w:t>。</w:t>
            </w:r>
          </w:p>
          <w:p w14:paraId="7189A715">
            <w:pPr>
              <w:spacing w:line="360" w:lineRule="auto"/>
              <w:ind w:firstLine="482"/>
              <w:rPr>
                <w:b/>
                <w:color w:val="000000" w:themeColor="text1"/>
              </w:rPr>
            </w:pPr>
            <w:r>
              <w:rPr>
                <w:rFonts w:hint="eastAsia"/>
                <w:b/>
                <w:color w:val="000000" w:themeColor="text1"/>
              </w:rPr>
              <w:t>6、电磁辐射</w:t>
            </w:r>
          </w:p>
          <w:p w14:paraId="7DFB2DC3">
            <w:pPr>
              <w:spacing w:line="360" w:lineRule="auto"/>
              <w:ind w:firstLine="480"/>
              <w:rPr>
                <w:color w:val="000000" w:themeColor="text1"/>
              </w:rPr>
            </w:pPr>
            <w:r>
              <w:rPr>
                <w:rFonts w:hint="eastAsia"/>
                <w:color w:val="000000" w:themeColor="text1"/>
              </w:rPr>
              <w:t>本项目不涉及电磁辐射。</w:t>
            </w:r>
          </w:p>
        </w:tc>
      </w:tr>
      <w:tr w14:paraId="104B2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80" w:type="dxa"/>
            <w:tcBorders>
              <w:tl2br w:val="nil"/>
              <w:tr2bl w:val="nil"/>
            </w:tcBorders>
            <w:shd w:val="clear" w:color="auto" w:fill="auto"/>
            <w:vAlign w:val="center"/>
          </w:tcPr>
          <w:p w14:paraId="1C397928">
            <w:pPr>
              <w:pStyle w:val="35"/>
              <w:rPr>
                <w:color w:val="000000" w:themeColor="text1"/>
                <w:sz w:val="24"/>
                <w:szCs w:val="24"/>
              </w:rPr>
            </w:pPr>
            <w:r>
              <w:rPr>
                <w:rFonts w:hint="eastAsia"/>
                <w:color w:val="000000" w:themeColor="text1"/>
                <w:sz w:val="24"/>
                <w:szCs w:val="24"/>
              </w:rPr>
              <w:t>环境</w:t>
            </w:r>
          </w:p>
          <w:p w14:paraId="34367B0E">
            <w:pPr>
              <w:pStyle w:val="35"/>
              <w:rPr>
                <w:color w:val="000000" w:themeColor="text1"/>
                <w:sz w:val="24"/>
                <w:szCs w:val="24"/>
              </w:rPr>
            </w:pPr>
            <w:r>
              <w:rPr>
                <w:rFonts w:hint="eastAsia"/>
                <w:color w:val="000000" w:themeColor="text1"/>
                <w:sz w:val="24"/>
                <w:szCs w:val="24"/>
              </w:rPr>
              <w:t>保护</w:t>
            </w:r>
          </w:p>
          <w:p w14:paraId="3E548584">
            <w:pPr>
              <w:pStyle w:val="35"/>
              <w:rPr>
                <w:rFonts w:ascii="黑体" w:hAnsi="黑体" w:eastAsia="黑体"/>
                <w:snapToGrid w:val="0"/>
                <w:color w:val="000000" w:themeColor="text1"/>
                <w:sz w:val="30"/>
                <w:szCs w:val="30"/>
              </w:rPr>
            </w:pPr>
            <w:r>
              <w:rPr>
                <w:rFonts w:hint="eastAsia"/>
                <w:color w:val="000000" w:themeColor="text1"/>
                <w:sz w:val="24"/>
                <w:szCs w:val="24"/>
              </w:rPr>
              <w:t>目标</w:t>
            </w:r>
          </w:p>
        </w:tc>
        <w:tc>
          <w:tcPr>
            <w:tcW w:w="8291" w:type="dxa"/>
            <w:tcBorders>
              <w:tl2br w:val="nil"/>
              <w:tr2bl w:val="nil"/>
            </w:tcBorders>
            <w:shd w:val="clear" w:color="auto" w:fill="auto"/>
            <w:vAlign w:val="center"/>
          </w:tcPr>
          <w:p w14:paraId="02BAC3D5">
            <w:pPr>
              <w:ind w:firstLine="480"/>
              <w:jc w:val="left"/>
              <w:rPr>
                <w:color w:val="000000" w:themeColor="text1"/>
              </w:rPr>
            </w:pPr>
            <w:r>
              <w:rPr>
                <w:rFonts w:hint="eastAsia"/>
                <w:color w:val="000000" w:themeColor="text1"/>
              </w:rPr>
              <w:t>大气环境：本项目厂界外500m范围内无自然保护区、风景名胜区、文化区、居住区等，无大气环境保护目标；</w:t>
            </w:r>
          </w:p>
          <w:p w14:paraId="46B61326">
            <w:pPr>
              <w:ind w:firstLine="480"/>
              <w:jc w:val="left"/>
              <w:rPr>
                <w:color w:val="000000" w:themeColor="text1"/>
              </w:rPr>
            </w:pPr>
            <w:r>
              <w:rPr>
                <w:rFonts w:hint="eastAsia"/>
                <w:color w:val="000000" w:themeColor="text1"/>
              </w:rPr>
              <w:t>声环境：本项目厂界外50m范围内无声环境保护目标；</w:t>
            </w:r>
          </w:p>
          <w:p w14:paraId="6F753A50">
            <w:pPr>
              <w:ind w:firstLine="480"/>
              <w:jc w:val="left"/>
              <w:rPr>
                <w:color w:val="000000" w:themeColor="text1"/>
              </w:rPr>
            </w:pPr>
            <w:r>
              <w:rPr>
                <w:rFonts w:hint="eastAsia"/>
                <w:color w:val="000000" w:themeColor="text1"/>
              </w:rPr>
              <w:t>地下水环境：本项目厂界外500m范围内无地下水集中式饮用水水源和热水、矿泉水、温泉等特殊地下水资源，地下水环境保护目标主要为占地范围内的潜水含水层；</w:t>
            </w:r>
          </w:p>
          <w:p w14:paraId="0F7E064D">
            <w:pPr>
              <w:topLinePunct/>
              <w:adjustRightInd w:val="0"/>
              <w:ind w:firstLine="480"/>
              <w:jc w:val="left"/>
              <w:rPr>
                <w:color w:val="000000" w:themeColor="text1"/>
              </w:rPr>
            </w:pPr>
            <w:r>
              <w:rPr>
                <w:rFonts w:hint="eastAsia"/>
                <w:color w:val="000000" w:themeColor="text1"/>
              </w:rPr>
              <w:t>生态环境：本项目用地范围内无生态环境保护目标。</w:t>
            </w:r>
          </w:p>
          <w:p w14:paraId="11F79794">
            <w:pPr>
              <w:topLinePunct/>
              <w:adjustRightInd w:val="0"/>
              <w:ind w:firstLine="480"/>
              <w:jc w:val="left"/>
              <w:rPr>
                <w:color w:val="000000" w:themeColor="text1"/>
              </w:rPr>
            </w:pPr>
            <w:r>
              <w:rPr>
                <w:rFonts w:hint="eastAsia"/>
                <w:color w:val="000000" w:themeColor="text1"/>
              </w:rPr>
              <w:t>本项目环境保护目标见下表。</w:t>
            </w:r>
          </w:p>
          <w:p w14:paraId="0B94CC1B">
            <w:pPr>
              <w:spacing w:line="360" w:lineRule="auto"/>
              <w:ind w:firstLine="0" w:firstLineChars="0"/>
              <w:jc w:val="center"/>
              <w:rPr>
                <w:rFonts w:ascii="宋体" w:hAnsi="宋体" w:cs="宋体"/>
                <w:color w:val="000000" w:themeColor="text1"/>
                <w:kern w:val="0"/>
                <w:sz w:val="21"/>
                <w:szCs w:val="21"/>
              </w:rPr>
            </w:pPr>
            <w:r>
              <w:rPr>
                <w:b/>
                <w:bCs/>
                <w:color w:val="000000" w:themeColor="text1"/>
                <w:sz w:val="21"/>
                <w:szCs w:val="21"/>
              </w:rPr>
              <w:t>表</w:t>
            </w:r>
            <w:r>
              <w:rPr>
                <w:rFonts w:hint="eastAsia"/>
                <w:b/>
                <w:bCs/>
                <w:color w:val="000000" w:themeColor="text1"/>
                <w:sz w:val="21"/>
                <w:szCs w:val="21"/>
              </w:rPr>
              <w:t>22   本项目</w:t>
            </w:r>
            <w:r>
              <w:rPr>
                <w:b/>
                <w:bCs/>
                <w:color w:val="000000" w:themeColor="text1"/>
                <w:sz w:val="21"/>
                <w:szCs w:val="21"/>
              </w:rPr>
              <w:t>环境保护目标一览表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86"/>
              <w:gridCol w:w="944"/>
              <w:gridCol w:w="887"/>
              <w:gridCol w:w="779"/>
              <w:gridCol w:w="1079"/>
              <w:gridCol w:w="1155"/>
              <w:gridCol w:w="778"/>
              <w:gridCol w:w="886"/>
            </w:tblGrid>
            <w:tr w14:paraId="4D8E0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2" w:type="pct"/>
                  <w:vMerge w:val="restart"/>
                  <w:tcBorders>
                    <w:tl2br w:val="nil"/>
                    <w:tr2bl w:val="nil"/>
                  </w:tcBorders>
                  <w:vAlign w:val="center"/>
                </w:tcPr>
                <w:p w14:paraId="02CB86C8">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类别</w:t>
                  </w:r>
                </w:p>
              </w:tc>
              <w:tc>
                <w:tcPr>
                  <w:tcW w:w="550" w:type="pct"/>
                  <w:vMerge w:val="restart"/>
                  <w:tcBorders>
                    <w:tl2br w:val="nil"/>
                    <w:tr2bl w:val="nil"/>
                  </w:tcBorders>
                  <w:vAlign w:val="center"/>
                </w:tcPr>
                <w:p w14:paraId="07903448">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保护对象</w:t>
                  </w:r>
                  <w:r>
                    <w:rPr>
                      <w:b/>
                      <w:bCs/>
                      <w:snapToGrid w:val="0"/>
                      <w:color w:val="000000" w:themeColor="text1"/>
                      <w:kern w:val="0"/>
                      <w:sz w:val="21"/>
                      <w:szCs w:val="21"/>
                    </w:rPr>
                    <w:t>名称</w:t>
                  </w:r>
                </w:p>
              </w:tc>
              <w:tc>
                <w:tcPr>
                  <w:tcW w:w="1137" w:type="pct"/>
                  <w:gridSpan w:val="2"/>
                  <w:tcBorders>
                    <w:tl2br w:val="nil"/>
                    <w:tr2bl w:val="nil"/>
                  </w:tcBorders>
                  <w:vAlign w:val="center"/>
                </w:tcPr>
                <w:p w14:paraId="4188B50D">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坐标</w:t>
                  </w:r>
                </w:p>
              </w:tc>
              <w:tc>
                <w:tcPr>
                  <w:tcW w:w="484" w:type="pct"/>
                  <w:vMerge w:val="restart"/>
                  <w:tcBorders>
                    <w:tl2br w:val="nil"/>
                    <w:tr2bl w:val="nil"/>
                  </w:tcBorders>
                  <w:vAlign w:val="center"/>
                </w:tcPr>
                <w:p w14:paraId="1CCD4ABB">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保护对象</w:t>
                  </w:r>
                </w:p>
              </w:tc>
              <w:tc>
                <w:tcPr>
                  <w:tcW w:w="671" w:type="pct"/>
                  <w:vMerge w:val="restart"/>
                  <w:tcBorders>
                    <w:tl2br w:val="nil"/>
                    <w:tr2bl w:val="nil"/>
                  </w:tcBorders>
                  <w:vAlign w:val="center"/>
                </w:tcPr>
                <w:p w14:paraId="13EDE053">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保护内容</w:t>
                  </w:r>
                </w:p>
              </w:tc>
              <w:tc>
                <w:tcPr>
                  <w:tcW w:w="718" w:type="pct"/>
                  <w:vMerge w:val="restart"/>
                  <w:tcBorders>
                    <w:tl2br w:val="nil"/>
                    <w:tr2bl w:val="nil"/>
                  </w:tcBorders>
                  <w:vAlign w:val="center"/>
                </w:tcPr>
                <w:p w14:paraId="6920736F">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环境功能区</w:t>
                  </w:r>
                </w:p>
              </w:tc>
              <w:tc>
                <w:tcPr>
                  <w:tcW w:w="484" w:type="pct"/>
                  <w:vMerge w:val="restart"/>
                  <w:tcBorders>
                    <w:tl2br w:val="nil"/>
                    <w:tr2bl w:val="nil"/>
                  </w:tcBorders>
                  <w:shd w:val="clear" w:color="auto" w:fill="auto"/>
                  <w:vAlign w:val="center"/>
                </w:tcPr>
                <w:p w14:paraId="6AF2D85D">
                  <w:pPr>
                    <w:pStyle w:val="65"/>
                    <w:spacing w:line="240" w:lineRule="auto"/>
                    <w:ind w:firstLine="0" w:firstLineChars="0"/>
                    <w:jc w:val="center"/>
                    <w:rPr>
                      <w:rFonts w:ascii="Times New Roman" w:hAnsi="Times New Roman" w:cs="Times New Roman"/>
                      <w:b/>
                      <w:bCs/>
                      <w:snapToGrid w:val="0"/>
                      <w:color w:val="000000" w:themeColor="text1"/>
                      <w:kern w:val="0"/>
                      <w:sz w:val="21"/>
                      <w:szCs w:val="21"/>
                      <w:lang w:eastAsia="zh-CN"/>
                    </w:rPr>
                  </w:pPr>
                  <w:r>
                    <w:rPr>
                      <w:rFonts w:hint="eastAsia" w:ascii="Times New Roman" w:hAnsi="Times New Roman" w:cs="Times New Roman"/>
                      <w:b/>
                      <w:bCs/>
                      <w:snapToGrid w:val="0"/>
                      <w:color w:val="000000" w:themeColor="text1"/>
                      <w:kern w:val="0"/>
                      <w:sz w:val="21"/>
                      <w:szCs w:val="21"/>
                      <w:lang w:eastAsia="zh-CN"/>
                    </w:rPr>
                    <w:t>相对厂址方位</w:t>
                  </w:r>
                </w:p>
              </w:tc>
              <w:tc>
                <w:tcPr>
                  <w:tcW w:w="550" w:type="pct"/>
                  <w:vMerge w:val="restart"/>
                  <w:tcBorders>
                    <w:tl2br w:val="nil"/>
                    <w:tr2bl w:val="nil"/>
                  </w:tcBorders>
                  <w:shd w:val="clear" w:color="auto" w:fill="auto"/>
                  <w:vAlign w:val="center"/>
                </w:tcPr>
                <w:p w14:paraId="1DFA8CA8">
                  <w:pPr>
                    <w:pStyle w:val="65"/>
                    <w:spacing w:line="240" w:lineRule="auto"/>
                    <w:ind w:firstLine="0" w:firstLineChars="0"/>
                    <w:jc w:val="center"/>
                    <w:rPr>
                      <w:rFonts w:ascii="Times New Roman" w:hAnsi="Times New Roman" w:cs="Times New Roman"/>
                      <w:b/>
                      <w:bCs/>
                      <w:snapToGrid w:val="0"/>
                      <w:color w:val="000000" w:themeColor="text1"/>
                      <w:kern w:val="0"/>
                      <w:sz w:val="21"/>
                      <w:szCs w:val="21"/>
                      <w:lang w:eastAsia="zh-CN"/>
                    </w:rPr>
                  </w:pPr>
                  <w:r>
                    <w:rPr>
                      <w:rFonts w:hint="eastAsia" w:ascii="Times New Roman" w:hAnsi="Times New Roman" w:cs="Times New Roman"/>
                      <w:b/>
                      <w:bCs/>
                      <w:snapToGrid w:val="0"/>
                      <w:color w:val="000000" w:themeColor="text1"/>
                      <w:kern w:val="0"/>
                      <w:sz w:val="21"/>
                      <w:szCs w:val="21"/>
                      <w:lang w:eastAsia="zh-CN"/>
                    </w:rPr>
                    <w:t>相对厂界距离/m</w:t>
                  </w:r>
                </w:p>
              </w:tc>
            </w:tr>
            <w:tr w14:paraId="44CF0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2" w:type="pct"/>
                  <w:vMerge w:val="continue"/>
                  <w:tcBorders>
                    <w:tl2br w:val="nil"/>
                    <w:tr2bl w:val="nil"/>
                  </w:tcBorders>
                  <w:vAlign w:val="center"/>
                </w:tcPr>
                <w:p w14:paraId="25CD51EB">
                  <w:pPr>
                    <w:adjustRightInd w:val="0"/>
                    <w:snapToGrid w:val="0"/>
                    <w:spacing w:line="240" w:lineRule="auto"/>
                    <w:ind w:firstLine="0" w:firstLineChars="0"/>
                    <w:jc w:val="center"/>
                    <w:rPr>
                      <w:color w:val="000000" w:themeColor="text1"/>
                    </w:rPr>
                  </w:pPr>
                </w:p>
              </w:tc>
              <w:tc>
                <w:tcPr>
                  <w:tcW w:w="550" w:type="pct"/>
                  <w:vMerge w:val="continue"/>
                  <w:tcBorders>
                    <w:tl2br w:val="nil"/>
                    <w:tr2bl w:val="nil"/>
                  </w:tcBorders>
                  <w:vAlign w:val="center"/>
                </w:tcPr>
                <w:p w14:paraId="74747242">
                  <w:pPr>
                    <w:adjustRightInd w:val="0"/>
                    <w:snapToGrid w:val="0"/>
                    <w:spacing w:line="240" w:lineRule="auto"/>
                    <w:ind w:firstLine="0" w:firstLineChars="0"/>
                    <w:jc w:val="center"/>
                    <w:rPr>
                      <w:color w:val="000000" w:themeColor="text1"/>
                    </w:rPr>
                  </w:pPr>
                </w:p>
              </w:tc>
              <w:tc>
                <w:tcPr>
                  <w:tcW w:w="586" w:type="pct"/>
                  <w:tcBorders>
                    <w:tl2br w:val="nil"/>
                    <w:tr2bl w:val="nil"/>
                  </w:tcBorders>
                  <w:vAlign w:val="center"/>
                </w:tcPr>
                <w:p w14:paraId="7767F5CD">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东经 （°）</w:t>
                  </w:r>
                </w:p>
              </w:tc>
              <w:tc>
                <w:tcPr>
                  <w:tcW w:w="550" w:type="pct"/>
                  <w:tcBorders>
                    <w:tl2br w:val="nil"/>
                    <w:tr2bl w:val="nil"/>
                  </w:tcBorders>
                  <w:vAlign w:val="center"/>
                </w:tcPr>
                <w:p w14:paraId="06587F49">
                  <w:pPr>
                    <w:adjustRightInd w:val="0"/>
                    <w:snapToGrid w:val="0"/>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北纬（°）</w:t>
                  </w:r>
                </w:p>
              </w:tc>
              <w:tc>
                <w:tcPr>
                  <w:tcW w:w="484" w:type="pct"/>
                  <w:vMerge w:val="continue"/>
                  <w:tcBorders>
                    <w:tl2br w:val="nil"/>
                    <w:tr2bl w:val="nil"/>
                  </w:tcBorders>
                  <w:vAlign w:val="center"/>
                </w:tcPr>
                <w:p w14:paraId="6E2A03C2">
                  <w:pPr>
                    <w:adjustRightInd w:val="0"/>
                    <w:snapToGrid w:val="0"/>
                    <w:spacing w:line="240" w:lineRule="auto"/>
                    <w:ind w:firstLine="0" w:firstLineChars="0"/>
                    <w:jc w:val="center"/>
                    <w:rPr>
                      <w:snapToGrid w:val="0"/>
                      <w:color w:val="000000" w:themeColor="text1"/>
                      <w:kern w:val="0"/>
                      <w:sz w:val="21"/>
                      <w:szCs w:val="21"/>
                    </w:rPr>
                  </w:pPr>
                </w:p>
              </w:tc>
              <w:tc>
                <w:tcPr>
                  <w:tcW w:w="671" w:type="pct"/>
                  <w:vMerge w:val="continue"/>
                  <w:tcBorders>
                    <w:tl2br w:val="nil"/>
                    <w:tr2bl w:val="nil"/>
                  </w:tcBorders>
                  <w:vAlign w:val="center"/>
                </w:tcPr>
                <w:p w14:paraId="0E4F088E">
                  <w:pPr>
                    <w:adjustRightInd w:val="0"/>
                    <w:snapToGrid w:val="0"/>
                    <w:spacing w:line="240" w:lineRule="auto"/>
                    <w:ind w:firstLine="0" w:firstLineChars="0"/>
                    <w:jc w:val="center"/>
                    <w:rPr>
                      <w:b/>
                      <w:bCs/>
                      <w:snapToGrid w:val="0"/>
                      <w:color w:val="000000" w:themeColor="text1"/>
                      <w:kern w:val="0"/>
                      <w:sz w:val="21"/>
                      <w:szCs w:val="21"/>
                    </w:rPr>
                  </w:pPr>
                </w:p>
              </w:tc>
              <w:tc>
                <w:tcPr>
                  <w:tcW w:w="718" w:type="pct"/>
                  <w:vMerge w:val="continue"/>
                  <w:tcBorders>
                    <w:tl2br w:val="nil"/>
                    <w:tr2bl w:val="nil"/>
                  </w:tcBorders>
                  <w:vAlign w:val="center"/>
                </w:tcPr>
                <w:p w14:paraId="61BA70EB">
                  <w:pPr>
                    <w:adjustRightInd w:val="0"/>
                    <w:snapToGrid w:val="0"/>
                    <w:spacing w:line="240" w:lineRule="auto"/>
                    <w:ind w:firstLine="0" w:firstLineChars="0"/>
                    <w:jc w:val="center"/>
                    <w:rPr>
                      <w:b/>
                      <w:bCs/>
                      <w:snapToGrid w:val="0"/>
                      <w:color w:val="000000" w:themeColor="text1"/>
                      <w:kern w:val="0"/>
                      <w:sz w:val="21"/>
                      <w:szCs w:val="21"/>
                    </w:rPr>
                  </w:pPr>
                </w:p>
              </w:tc>
              <w:tc>
                <w:tcPr>
                  <w:tcW w:w="484" w:type="pct"/>
                  <w:vMerge w:val="continue"/>
                  <w:tcBorders>
                    <w:tl2br w:val="nil"/>
                    <w:tr2bl w:val="nil"/>
                  </w:tcBorders>
                  <w:vAlign w:val="center"/>
                </w:tcPr>
                <w:p w14:paraId="3399073D">
                  <w:pPr>
                    <w:adjustRightInd w:val="0"/>
                    <w:snapToGrid w:val="0"/>
                    <w:spacing w:line="240" w:lineRule="auto"/>
                    <w:ind w:firstLine="0" w:firstLineChars="0"/>
                    <w:jc w:val="center"/>
                    <w:rPr>
                      <w:b/>
                      <w:bCs/>
                      <w:snapToGrid w:val="0"/>
                      <w:color w:val="000000" w:themeColor="text1"/>
                      <w:kern w:val="0"/>
                      <w:sz w:val="21"/>
                      <w:szCs w:val="21"/>
                    </w:rPr>
                  </w:pPr>
                </w:p>
              </w:tc>
              <w:tc>
                <w:tcPr>
                  <w:tcW w:w="550" w:type="pct"/>
                  <w:vMerge w:val="continue"/>
                  <w:tcBorders>
                    <w:tl2br w:val="nil"/>
                    <w:tr2bl w:val="nil"/>
                  </w:tcBorders>
                  <w:vAlign w:val="center"/>
                </w:tcPr>
                <w:p w14:paraId="75F3020B">
                  <w:pPr>
                    <w:adjustRightInd w:val="0"/>
                    <w:snapToGrid w:val="0"/>
                    <w:spacing w:line="240" w:lineRule="auto"/>
                    <w:ind w:firstLine="0" w:firstLineChars="0"/>
                    <w:jc w:val="center"/>
                    <w:rPr>
                      <w:b/>
                      <w:bCs/>
                      <w:snapToGrid w:val="0"/>
                      <w:color w:val="000000" w:themeColor="text1"/>
                      <w:kern w:val="0"/>
                      <w:sz w:val="21"/>
                      <w:szCs w:val="21"/>
                    </w:rPr>
                  </w:pPr>
                </w:p>
              </w:tc>
            </w:tr>
            <w:tr w14:paraId="46084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02" w:type="pct"/>
                  <w:tcBorders>
                    <w:tl2br w:val="nil"/>
                    <w:tr2bl w:val="nil"/>
                  </w:tcBorders>
                  <w:vAlign w:val="center"/>
                </w:tcPr>
                <w:p w14:paraId="2C6536C6">
                  <w:pPr>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地下水环境</w:t>
                  </w:r>
                </w:p>
              </w:tc>
              <w:tc>
                <w:tcPr>
                  <w:tcW w:w="550" w:type="pct"/>
                  <w:tcBorders>
                    <w:tl2br w:val="nil"/>
                    <w:tr2bl w:val="nil"/>
                  </w:tcBorders>
                  <w:vAlign w:val="center"/>
                </w:tcPr>
                <w:p w14:paraId="246F6675">
                  <w:pPr>
                    <w:adjustRightInd w:val="0"/>
                    <w:snapToGrid w:val="0"/>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地下水潜水层</w:t>
                  </w:r>
                </w:p>
              </w:tc>
              <w:tc>
                <w:tcPr>
                  <w:tcW w:w="586" w:type="pct"/>
                  <w:tcBorders>
                    <w:tl2br w:val="nil"/>
                    <w:tr2bl w:val="nil"/>
                  </w:tcBorders>
                  <w:vAlign w:val="center"/>
                </w:tcPr>
                <w:p w14:paraId="20CC24EF">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550" w:type="pct"/>
                  <w:tcBorders>
                    <w:tl2br w:val="nil"/>
                    <w:tr2bl w:val="nil"/>
                  </w:tcBorders>
                  <w:vAlign w:val="center"/>
                </w:tcPr>
                <w:p w14:paraId="5042E554">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484" w:type="pct"/>
                  <w:tcBorders>
                    <w:tl2br w:val="nil"/>
                    <w:tr2bl w:val="nil"/>
                  </w:tcBorders>
                  <w:vAlign w:val="center"/>
                </w:tcPr>
                <w:p w14:paraId="222C4C61">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地下水</w:t>
                  </w:r>
                </w:p>
              </w:tc>
              <w:tc>
                <w:tcPr>
                  <w:tcW w:w="671" w:type="pct"/>
                  <w:tcBorders>
                    <w:tl2br w:val="nil"/>
                    <w:tr2bl w:val="nil"/>
                  </w:tcBorders>
                  <w:vAlign w:val="center"/>
                </w:tcPr>
                <w:p w14:paraId="02C5CE34">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地下水潜水层</w:t>
                  </w:r>
                </w:p>
              </w:tc>
              <w:tc>
                <w:tcPr>
                  <w:tcW w:w="718" w:type="pct"/>
                  <w:tcBorders>
                    <w:tl2br w:val="nil"/>
                    <w:tr2bl w:val="nil"/>
                  </w:tcBorders>
                  <w:vAlign w:val="center"/>
                </w:tcPr>
                <w:p w14:paraId="127309AD">
                  <w:pPr>
                    <w:widowControl/>
                    <w:spacing w:line="240" w:lineRule="auto"/>
                    <w:ind w:left="-24" w:leftChars="-10" w:right="-24" w:rightChars="-10" w:firstLine="0" w:firstLineChars="0"/>
                    <w:jc w:val="center"/>
                    <w:rPr>
                      <w:color w:val="000000" w:themeColor="text1"/>
                      <w:kern w:val="0"/>
                      <w:sz w:val="21"/>
                      <w:szCs w:val="21"/>
                    </w:rPr>
                  </w:pPr>
                  <w:r>
                    <w:rPr>
                      <w:rFonts w:hint="eastAsia"/>
                      <w:color w:val="000000" w:themeColor="text1"/>
                      <w:sz w:val="21"/>
                      <w:szCs w:val="21"/>
                    </w:rPr>
                    <w:t>地下水水质不恶化</w:t>
                  </w:r>
                </w:p>
              </w:tc>
              <w:tc>
                <w:tcPr>
                  <w:tcW w:w="1035" w:type="pct"/>
                  <w:gridSpan w:val="2"/>
                  <w:tcBorders>
                    <w:tl2br w:val="nil"/>
                    <w:tr2bl w:val="nil"/>
                  </w:tcBorders>
                  <w:vAlign w:val="center"/>
                </w:tcPr>
                <w:p w14:paraId="6A80A91D">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厂区内</w:t>
                  </w:r>
                </w:p>
              </w:tc>
            </w:tr>
          </w:tbl>
          <w:p w14:paraId="786C818F">
            <w:pPr>
              <w:topLinePunct/>
              <w:adjustRightInd w:val="0"/>
              <w:ind w:firstLine="0" w:firstLineChars="0"/>
              <w:jc w:val="left"/>
              <w:rPr>
                <w:color w:val="000000" w:themeColor="text1"/>
              </w:rPr>
            </w:pPr>
          </w:p>
        </w:tc>
      </w:tr>
      <w:tr w14:paraId="2A4F6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780" w:type="dxa"/>
            <w:tcBorders>
              <w:tl2br w:val="nil"/>
              <w:tr2bl w:val="nil"/>
            </w:tcBorders>
            <w:shd w:val="clear" w:color="auto" w:fill="auto"/>
            <w:vAlign w:val="center"/>
          </w:tcPr>
          <w:p w14:paraId="304EE595">
            <w:pPr>
              <w:pStyle w:val="35"/>
              <w:rPr>
                <w:color w:val="000000" w:themeColor="text1"/>
                <w:sz w:val="24"/>
                <w:szCs w:val="24"/>
              </w:rPr>
            </w:pPr>
            <w:r>
              <w:rPr>
                <w:rFonts w:hint="eastAsia"/>
                <w:color w:val="000000" w:themeColor="text1"/>
                <w:sz w:val="24"/>
                <w:szCs w:val="24"/>
              </w:rPr>
              <w:t>污染</w:t>
            </w:r>
          </w:p>
          <w:p w14:paraId="21ECD2F7">
            <w:pPr>
              <w:pStyle w:val="35"/>
              <w:rPr>
                <w:color w:val="000000" w:themeColor="text1"/>
                <w:sz w:val="24"/>
                <w:szCs w:val="24"/>
              </w:rPr>
            </w:pPr>
            <w:r>
              <w:rPr>
                <w:rFonts w:hint="eastAsia"/>
                <w:color w:val="000000" w:themeColor="text1"/>
                <w:sz w:val="24"/>
                <w:szCs w:val="24"/>
              </w:rPr>
              <w:t>物排</w:t>
            </w:r>
          </w:p>
          <w:p w14:paraId="0102EC99">
            <w:pPr>
              <w:pStyle w:val="35"/>
              <w:rPr>
                <w:color w:val="000000" w:themeColor="text1"/>
                <w:sz w:val="24"/>
                <w:szCs w:val="24"/>
              </w:rPr>
            </w:pPr>
            <w:r>
              <w:rPr>
                <w:rFonts w:hint="eastAsia"/>
                <w:color w:val="000000" w:themeColor="text1"/>
                <w:sz w:val="24"/>
                <w:szCs w:val="24"/>
              </w:rPr>
              <w:t>放控</w:t>
            </w:r>
          </w:p>
          <w:p w14:paraId="361E0E4B">
            <w:pPr>
              <w:pStyle w:val="35"/>
              <w:rPr>
                <w:color w:val="000000" w:themeColor="text1"/>
                <w:sz w:val="24"/>
                <w:szCs w:val="24"/>
              </w:rPr>
            </w:pPr>
            <w:r>
              <w:rPr>
                <w:rFonts w:hint="eastAsia"/>
                <w:color w:val="000000" w:themeColor="text1"/>
                <w:sz w:val="24"/>
                <w:szCs w:val="24"/>
              </w:rPr>
              <w:t>制标</w:t>
            </w:r>
          </w:p>
          <w:p w14:paraId="73592C76">
            <w:pPr>
              <w:pStyle w:val="35"/>
              <w:rPr>
                <w:color w:val="000000" w:themeColor="text1"/>
              </w:rPr>
            </w:pPr>
            <w:r>
              <w:rPr>
                <w:rFonts w:hint="eastAsia"/>
                <w:color w:val="000000" w:themeColor="text1"/>
                <w:sz w:val="24"/>
                <w:szCs w:val="24"/>
              </w:rPr>
              <w:t>准</w:t>
            </w:r>
          </w:p>
        </w:tc>
        <w:tc>
          <w:tcPr>
            <w:tcW w:w="8291" w:type="dxa"/>
            <w:tcBorders>
              <w:tl2br w:val="nil"/>
              <w:tr2bl w:val="nil"/>
            </w:tcBorders>
            <w:shd w:val="clear" w:color="auto" w:fill="auto"/>
            <w:vAlign w:val="center"/>
          </w:tcPr>
          <w:p w14:paraId="52246E33">
            <w:pPr>
              <w:ind w:firstLine="480"/>
              <w:rPr>
                <w:color w:val="000000" w:themeColor="text1"/>
              </w:rPr>
            </w:pPr>
            <w:r>
              <w:rPr>
                <w:rFonts w:hint="eastAsia"/>
                <w:color w:val="000000" w:themeColor="text1"/>
              </w:rPr>
              <w:t>运营期：</w:t>
            </w:r>
          </w:p>
          <w:p w14:paraId="7135A56F">
            <w:pPr>
              <w:ind w:firstLine="480"/>
              <w:rPr>
                <w:color w:val="000000" w:themeColor="text1"/>
              </w:rPr>
            </w:pPr>
            <w:r>
              <w:rPr>
                <w:rFonts w:hint="eastAsia"/>
                <w:color w:val="000000" w:themeColor="text1"/>
              </w:rPr>
              <w:t>1、废气</w:t>
            </w:r>
          </w:p>
          <w:p w14:paraId="7F5889D0">
            <w:pPr>
              <w:ind w:firstLine="480"/>
              <w:rPr>
                <w:color w:val="000000" w:themeColor="text1"/>
              </w:rPr>
            </w:pPr>
            <w:r>
              <w:rPr>
                <w:rFonts w:hint="eastAsia"/>
                <w:color w:val="000000" w:themeColor="text1"/>
              </w:rPr>
              <w:t>（1）烘干废气（</w:t>
            </w:r>
            <w:r>
              <w:rPr>
                <w:color w:val="000000" w:themeColor="text1"/>
              </w:rPr>
              <w:t>包括热风炉燃料燃烧废气</w:t>
            </w:r>
            <w:r>
              <w:rPr>
                <w:rFonts w:hint="eastAsia"/>
                <w:color w:val="000000" w:themeColor="text1"/>
              </w:rPr>
              <w:t>和</w:t>
            </w:r>
            <w:r>
              <w:rPr>
                <w:color w:val="000000" w:themeColor="text1"/>
              </w:rPr>
              <w:t>物料烘干工艺废气</w:t>
            </w:r>
            <w:r>
              <w:rPr>
                <w:rFonts w:hint="eastAsia"/>
                <w:color w:val="000000" w:themeColor="text1"/>
              </w:rPr>
              <w:t>）有组织排放浓度执行《工业炉窑大气污染物排放标准》（DB13/ 1640-2012）表1、表2工业炉窑排放限值颗粒物50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rPr>
              <w:t>、汞0.010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、烟气黑度小于1级，</w:t>
            </w:r>
            <w:r>
              <w:rPr>
                <w:rFonts w:hint="eastAsia"/>
                <w:color w:val="000000" w:themeColor="text1"/>
                <w:spacing w:val="-5"/>
              </w:rPr>
              <w:t>排气筒高度不低于15m，且高出200m范围内最高建筑物3m以上的要求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rPr>
              <w:t>同时执行《2019年“十项重点工作”工作方案》的通知（唐办发[2019]3号）中</w:t>
            </w:r>
            <w:r>
              <w:rPr>
                <w:rFonts w:hint="eastAsia"/>
                <w:color w:val="000000" w:themeColor="text1"/>
                <w:spacing w:val="-5"/>
              </w:rPr>
              <w:t>排放限值：颗粒物30mg/m</w:t>
            </w:r>
            <w:r>
              <w:rPr>
                <w:rFonts w:hint="eastAsia"/>
                <w:color w:val="000000" w:themeColor="text1"/>
                <w:spacing w:val="-5"/>
                <w:vertAlign w:val="superscript"/>
              </w:rPr>
              <w:t>3</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300mg/m</w:t>
            </w:r>
            <w:r>
              <w:rPr>
                <w:rFonts w:hint="eastAsia"/>
                <w:color w:val="000000" w:themeColor="text1"/>
                <w:spacing w:val="-5"/>
                <w:vertAlign w:val="superscript"/>
              </w:rPr>
              <w:t>3</w:t>
            </w:r>
            <w:r>
              <w:rPr>
                <w:rFonts w:hint="eastAsia"/>
                <w:color w:val="000000" w:themeColor="text1"/>
              </w:rPr>
              <w:t>。</w:t>
            </w:r>
          </w:p>
          <w:p w14:paraId="1B05B0EC">
            <w:pPr>
              <w:ind w:firstLine="480"/>
              <w:rPr>
                <w:color w:val="000000" w:themeColor="text1"/>
                <w:vertAlign w:val="subscript"/>
              </w:rPr>
            </w:pPr>
            <w:r>
              <w:rPr>
                <w:rFonts w:hint="eastAsia"/>
                <w:color w:val="000000" w:themeColor="text1"/>
              </w:rPr>
              <w:t>（2）中转仓落料及入料、制粒、筛分及筛下料落料、成品网状料仓入料及冷却、成品皮带输送机落料、打包机包装废气有组织排放浓度执行《大气污染物综合排放标准》（GB16297-1996）表2颗粒物排放限值120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、排放速率3.5kg/h，排气筒高度不低于15m，</w:t>
            </w:r>
            <w:r>
              <w:rPr>
                <w:rFonts w:hint="eastAsia"/>
                <w:color w:val="000000" w:themeColor="text1"/>
                <w:spacing w:val="-5"/>
              </w:rPr>
              <w:t>且高出200m范围内最高建筑物5m以上的要求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spacing w:val="-5"/>
              </w:rPr>
              <w:t>。</w:t>
            </w:r>
          </w:p>
          <w:p w14:paraId="1F1029F0">
            <w:pPr>
              <w:ind w:firstLine="480"/>
              <w:rPr>
                <w:color w:val="000000" w:themeColor="text1"/>
              </w:rPr>
            </w:pPr>
            <w:r>
              <w:rPr>
                <w:rFonts w:hint="eastAsia"/>
                <w:color w:val="000000" w:themeColor="text1"/>
              </w:rPr>
              <w:t>（3）厂界颗粒物无组织排放执行</w:t>
            </w:r>
            <w:r>
              <w:rPr>
                <w:color w:val="000000" w:themeColor="text1"/>
                <w:spacing w:val="-5"/>
              </w:rPr>
              <w:t>《大气污染物综合排放标准》（</w:t>
            </w:r>
            <w:r>
              <w:rPr>
                <w:rFonts w:eastAsia="Times New Roman"/>
                <w:color w:val="000000" w:themeColor="text1"/>
                <w:spacing w:val="-6"/>
              </w:rPr>
              <w:t>GB16297-1996</w:t>
            </w:r>
            <w:r>
              <w:rPr>
                <w:color w:val="000000" w:themeColor="text1"/>
                <w:spacing w:val="-6"/>
              </w:rPr>
              <w:t>）</w:t>
            </w:r>
            <w:r>
              <w:rPr>
                <w:rFonts w:hint="eastAsia"/>
                <w:color w:val="000000" w:themeColor="text1"/>
                <w:spacing w:val="-6"/>
              </w:rPr>
              <w:t>表 2 中无组织排放监控浓度限值</w:t>
            </w:r>
            <w:r>
              <w:rPr>
                <w:rFonts w:hint="eastAsia"/>
                <w:color w:val="000000" w:themeColor="text1"/>
              </w:rPr>
              <w:t>1.0mg/m</w:t>
            </w:r>
            <w:r>
              <w:rPr>
                <w:rFonts w:hint="eastAsia"/>
                <w:color w:val="000000" w:themeColor="text1"/>
                <w:vertAlign w:val="superscript"/>
              </w:rPr>
              <w:t>3</w:t>
            </w:r>
            <w:r>
              <w:rPr>
                <w:rFonts w:hint="eastAsia"/>
                <w:color w:val="000000" w:themeColor="text1"/>
              </w:rPr>
              <w:t>；有工业炉窑厂房颗粒物无组织排放执行《</w:t>
            </w:r>
            <w:r>
              <w:rPr>
                <w:rStyle w:val="27"/>
                <w:rFonts w:ascii="Arial" w:hAnsi="Arial" w:eastAsia="Arial" w:cs="Arial"/>
                <w:b w:val="0"/>
                <w:color w:val="000000" w:themeColor="text1"/>
                <w:shd w:val="clear" w:color="auto" w:fill="FFFFFF"/>
              </w:rPr>
              <w:t>工业炉窑大气污染物排放标准</w:t>
            </w:r>
            <w:r>
              <w:rPr>
                <w:rFonts w:hint="eastAsia"/>
                <w:color w:val="000000" w:themeColor="text1"/>
              </w:rPr>
              <w:t>》（GB 9078-1996）表3其他炉窑有车间厂房无组织排放浓度5</w:t>
            </w:r>
            <w:r>
              <w:rPr>
                <w:color w:val="000000" w:themeColor="text1"/>
                <w:kern w:val="0"/>
              </w:rPr>
              <w:t>mg/m</w:t>
            </w:r>
            <w:r>
              <w:rPr>
                <w:color w:val="000000" w:themeColor="text1"/>
                <w:kern w:val="0"/>
                <w:vertAlign w:val="superscript"/>
              </w:rPr>
              <w:t>3</w:t>
            </w:r>
            <w:r>
              <w:rPr>
                <w:rFonts w:hint="eastAsia"/>
                <w:color w:val="000000" w:themeColor="text1"/>
                <w:kern w:val="0"/>
              </w:rPr>
              <w:t>。</w:t>
            </w:r>
          </w:p>
          <w:p w14:paraId="684AAB3B">
            <w:pPr>
              <w:ind w:firstLine="480"/>
              <w:rPr>
                <w:color w:val="000000" w:themeColor="text1"/>
              </w:rPr>
            </w:pPr>
            <w:r>
              <w:rPr>
                <w:rFonts w:hint="eastAsia"/>
                <w:color w:val="000000" w:themeColor="text1"/>
              </w:rPr>
              <w:t>2、废水</w:t>
            </w:r>
          </w:p>
          <w:p w14:paraId="49E7B031">
            <w:pPr>
              <w:ind w:firstLine="480"/>
              <w:rPr>
                <w:color w:val="000000" w:themeColor="text1"/>
              </w:rPr>
            </w:pPr>
            <w:r>
              <w:rPr>
                <w:rFonts w:hint="eastAsia"/>
                <w:color w:val="000000" w:themeColor="text1"/>
              </w:rPr>
              <w:t>本项目生活污水排入市政污水管网，最终进入曹妃甸工业区装备制造区污水处理站处理；热风炉冷却过程排污水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不外排。本项目生活污水执行《污水综合排放标准》（GB8978</w:t>
            </w:r>
            <w:r>
              <w:rPr>
                <w:rFonts w:hint="eastAsia" w:ascii="宋体" w:hAnsi="宋体" w:cs="宋体"/>
                <w:color w:val="000000" w:themeColor="text1"/>
              </w:rPr>
              <w:t>-</w:t>
            </w:r>
            <w:r>
              <w:rPr>
                <w:rFonts w:hint="eastAsia"/>
                <w:color w:val="000000" w:themeColor="text1"/>
              </w:rPr>
              <w:t>1996）表4中三级标准及</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进水水质要求；热风炉冷却过程排污水执行《城市污水再生利用 城市杂用水水质》（GB/T 18920-2020）中冲厕用水水质标准要求。</w:t>
            </w:r>
          </w:p>
          <w:p w14:paraId="1ACC6AB0">
            <w:pPr>
              <w:autoSpaceDE w:val="0"/>
              <w:autoSpaceDN w:val="0"/>
              <w:adjustRightInd w:val="0"/>
              <w:spacing w:line="440" w:lineRule="exact"/>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23 </w:t>
            </w:r>
            <w:r>
              <w:rPr>
                <w:b/>
                <w:bCs/>
                <w:color w:val="000000" w:themeColor="text1"/>
                <w:sz w:val="21"/>
                <w:szCs w:val="21"/>
              </w:rPr>
              <w:t xml:space="preserve"> </w:t>
            </w:r>
            <w:r>
              <w:rPr>
                <w:rFonts w:hint="eastAsia"/>
                <w:b/>
                <w:bCs/>
                <w:color w:val="000000" w:themeColor="text1"/>
                <w:sz w:val="21"/>
                <w:szCs w:val="21"/>
              </w:rPr>
              <w:t>生活污水排放标准</w:t>
            </w:r>
            <w:r>
              <w:rPr>
                <w:b/>
                <w:bCs/>
                <w:color w:val="000000" w:themeColor="text1"/>
                <w:sz w:val="21"/>
                <w:szCs w:val="21"/>
              </w:rPr>
              <w:t>一览表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14"/>
              <w:gridCol w:w="2293"/>
              <w:gridCol w:w="1974"/>
              <w:gridCol w:w="1150"/>
            </w:tblGrid>
            <w:tr w14:paraId="159E8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00F3DA41">
                  <w:pPr>
                    <w:widowControl/>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序号</w:t>
                  </w:r>
                </w:p>
              </w:tc>
              <w:tc>
                <w:tcPr>
                  <w:tcW w:w="2014" w:type="dxa"/>
                  <w:tcBorders>
                    <w:tl2br w:val="nil"/>
                    <w:tr2bl w:val="nil"/>
                  </w:tcBorders>
                  <w:vAlign w:val="center"/>
                </w:tcPr>
                <w:p w14:paraId="5AF5DEC5">
                  <w:pPr>
                    <w:widowControl/>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污染物</w:t>
                  </w:r>
                </w:p>
              </w:tc>
              <w:tc>
                <w:tcPr>
                  <w:tcW w:w="2293" w:type="dxa"/>
                  <w:tcBorders>
                    <w:tl2br w:val="nil"/>
                    <w:tr2bl w:val="nil"/>
                  </w:tcBorders>
                  <w:vAlign w:val="center"/>
                </w:tcPr>
                <w:p w14:paraId="589743D6">
                  <w:pPr>
                    <w:widowControl/>
                    <w:wordWrap w:val="0"/>
                    <w:spacing w:line="240" w:lineRule="auto"/>
                    <w:ind w:left="-24" w:leftChars="-10" w:right="-24" w:rightChars="-10" w:firstLine="0" w:firstLineChars="0"/>
                    <w:jc w:val="center"/>
                    <w:rPr>
                      <w:b/>
                      <w:bCs/>
                      <w:color w:val="000000" w:themeColor="text1"/>
                      <w:sz w:val="21"/>
                      <w:szCs w:val="21"/>
                    </w:rPr>
                  </w:pPr>
                  <w:r>
                    <w:rPr>
                      <w:b/>
                      <w:bCs/>
                      <w:color w:val="000000" w:themeColor="text1"/>
                      <w:sz w:val="21"/>
                      <w:szCs w:val="21"/>
                    </w:rPr>
                    <w:t>《污水综合排放标准》（GB8978</w:t>
                  </w:r>
                  <w:r>
                    <w:rPr>
                      <w:rFonts w:hint="eastAsia" w:ascii="宋体" w:hAnsi="宋体" w:cs="宋体"/>
                      <w:b/>
                      <w:bCs/>
                      <w:color w:val="000000" w:themeColor="text1"/>
                    </w:rPr>
                    <w:t>-</w:t>
                  </w:r>
                  <w:r>
                    <w:rPr>
                      <w:b/>
                      <w:bCs/>
                      <w:color w:val="000000" w:themeColor="text1"/>
                      <w:sz w:val="21"/>
                      <w:szCs w:val="21"/>
                    </w:rPr>
                    <w:t>1996）表4中三级标准</w:t>
                  </w:r>
                </w:p>
              </w:tc>
              <w:tc>
                <w:tcPr>
                  <w:tcW w:w="1974" w:type="dxa"/>
                  <w:tcBorders>
                    <w:tl2br w:val="nil"/>
                    <w:tr2bl w:val="nil"/>
                  </w:tcBorders>
                  <w:vAlign w:val="center"/>
                </w:tcPr>
                <w:p w14:paraId="4E6EC6E1">
                  <w:pPr>
                    <w:widowControl/>
                    <w:wordWrap w:val="0"/>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曹妃甸工业区装备制造区污水处理站</w:t>
                  </w:r>
                  <w:r>
                    <w:rPr>
                      <w:b/>
                      <w:bCs/>
                      <w:color w:val="000000" w:themeColor="text1"/>
                      <w:sz w:val="21"/>
                      <w:szCs w:val="21"/>
                    </w:rPr>
                    <w:t>进水水质要求</w:t>
                  </w:r>
                </w:p>
              </w:tc>
              <w:tc>
                <w:tcPr>
                  <w:tcW w:w="1150" w:type="dxa"/>
                  <w:tcBorders>
                    <w:tl2br w:val="nil"/>
                    <w:tr2bl w:val="nil"/>
                  </w:tcBorders>
                  <w:vAlign w:val="center"/>
                </w:tcPr>
                <w:p w14:paraId="3BA7DDCF">
                  <w:pPr>
                    <w:widowControl/>
                    <w:wordWrap w:val="0"/>
                    <w:spacing w:line="240" w:lineRule="auto"/>
                    <w:ind w:left="-24" w:leftChars="-10" w:right="-24" w:rightChars="-10" w:firstLine="0" w:firstLineChars="0"/>
                    <w:jc w:val="center"/>
                    <w:rPr>
                      <w:b/>
                      <w:bCs/>
                      <w:color w:val="000000" w:themeColor="text1"/>
                      <w:sz w:val="21"/>
                      <w:szCs w:val="21"/>
                    </w:rPr>
                  </w:pPr>
                  <w:r>
                    <w:rPr>
                      <w:rFonts w:hint="eastAsia"/>
                      <w:b/>
                      <w:bCs/>
                      <w:color w:val="000000" w:themeColor="text1"/>
                      <w:sz w:val="21"/>
                      <w:szCs w:val="21"/>
                    </w:rPr>
                    <w:t>项目污水排放标准</w:t>
                  </w:r>
                </w:p>
              </w:tc>
            </w:tr>
            <w:tr w14:paraId="17A54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5097E48A">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29020870">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pH（无量纲）</w:t>
                  </w:r>
                </w:p>
              </w:tc>
              <w:tc>
                <w:tcPr>
                  <w:tcW w:w="2293" w:type="dxa"/>
                  <w:tcBorders>
                    <w:tl2br w:val="nil"/>
                    <w:tr2bl w:val="nil"/>
                  </w:tcBorders>
                  <w:vAlign w:val="center"/>
                </w:tcPr>
                <w:p w14:paraId="45B99B10">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6-9</w:t>
                  </w:r>
                </w:p>
              </w:tc>
              <w:tc>
                <w:tcPr>
                  <w:tcW w:w="1974" w:type="dxa"/>
                  <w:tcBorders>
                    <w:tl2br w:val="nil"/>
                    <w:tr2bl w:val="nil"/>
                  </w:tcBorders>
                  <w:vAlign w:val="center"/>
                </w:tcPr>
                <w:p w14:paraId="0CCB86F7">
                  <w:pPr>
                    <w:widowControl/>
                    <w:spacing w:line="240" w:lineRule="auto"/>
                    <w:ind w:left="-24" w:leftChars="-10" w:right="-24" w:rightChars="-10" w:firstLine="0" w:firstLineChars="0"/>
                    <w:jc w:val="center"/>
                    <w:rPr>
                      <w:color w:val="000000" w:themeColor="text1"/>
                      <w:sz w:val="21"/>
                      <w:szCs w:val="21"/>
                    </w:rPr>
                  </w:pPr>
                  <w:r>
                    <w:rPr>
                      <w:color w:val="000000" w:themeColor="text1"/>
                      <w:sz w:val="21"/>
                      <w:szCs w:val="21"/>
                    </w:rPr>
                    <w:t>—</w:t>
                  </w:r>
                </w:p>
              </w:tc>
              <w:tc>
                <w:tcPr>
                  <w:tcW w:w="1150" w:type="dxa"/>
                  <w:tcBorders>
                    <w:tl2br w:val="nil"/>
                    <w:tr2bl w:val="nil"/>
                  </w:tcBorders>
                  <w:vAlign w:val="center"/>
                </w:tcPr>
                <w:p w14:paraId="6EC8EE49">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6-9</w:t>
                  </w:r>
                </w:p>
              </w:tc>
            </w:tr>
            <w:tr w14:paraId="45968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3E75CDCA">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09E48F00">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COD（mg/L）</w:t>
                  </w:r>
                </w:p>
              </w:tc>
              <w:tc>
                <w:tcPr>
                  <w:tcW w:w="2293" w:type="dxa"/>
                  <w:tcBorders>
                    <w:tl2br w:val="nil"/>
                    <w:tr2bl w:val="nil"/>
                  </w:tcBorders>
                  <w:vAlign w:val="center"/>
                </w:tcPr>
                <w:p w14:paraId="73600D9D">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500</w:t>
                  </w:r>
                </w:p>
              </w:tc>
              <w:tc>
                <w:tcPr>
                  <w:tcW w:w="1974" w:type="dxa"/>
                  <w:tcBorders>
                    <w:tl2br w:val="nil"/>
                    <w:tr2bl w:val="nil"/>
                  </w:tcBorders>
                  <w:vAlign w:val="center"/>
                </w:tcPr>
                <w:p w14:paraId="38C883A6">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350</w:t>
                  </w:r>
                </w:p>
              </w:tc>
              <w:tc>
                <w:tcPr>
                  <w:tcW w:w="1150" w:type="dxa"/>
                  <w:tcBorders>
                    <w:tl2br w:val="nil"/>
                    <w:tr2bl w:val="nil"/>
                  </w:tcBorders>
                  <w:vAlign w:val="center"/>
                </w:tcPr>
                <w:p w14:paraId="6476E497">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350</w:t>
                  </w:r>
                </w:p>
              </w:tc>
            </w:tr>
            <w:tr w14:paraId="6CE79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2F213AA3">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690C61A3">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BOD</w:t>
                  </w:r>
                  <w:r>
                    <w:rPr>
                      <w:rFonts w:hint="eastAsia"/>
                      <w:color w:val="000000" w:themeColor="text1"/>
                      <w:sz w:val="21"/>
                      <w:szCs w:val="21"/>
                      <w:vertAlign w:val="subscript"/>
                    </w:rPr>
                    <w:t>5</w:t>
                  </w:r>
                  <w:r>
                    <w:rPr>
                      <w:rFonts w:hint="eastAsia"/>
                      <w:color w:val="000000" w:themeColor="text1"/>
                      <w:sz w:val="21"/>
                      <w:szCs w:val="21"/>
                    </w:rPr>
                    <w:t>（mg/L）</w:t>
                  </w:r>
                </w:p>
              </w:tc>
              <w:tc>
                <w:tcPr>
                  <w:tcW w:w="2293" w:type="dxa"/>
                  <w:tcBorders>
                    <w:tl2br w:val="nil"/>
                    <w:tr2bl w:val="nil"/>
                  </w:tcBorders>
                  <w:vAlign w:val="center"/>
                </w:tcPr>
                <w:p w14:paraId="204CA02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300</w:t>
                  </w:r>
                </w:p>
              </w:tc>
              <w:tc>
                <w:tcPr>
                  <w:tcW w:w="1974" w:type="dxa"/>
                  <w:tcBorders>
                    <w:tl2br w:val="nil"/>
                    <w:tr2bl w:val="nil"/>
                  </w:tcBorders>
                  <w:vAlign w:val="center"/>
                </w:tcPr>
                <w:p w14:paraId="1A622D5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150</w:t>
                  </w:r>
                </w:p>
              </w:tc>
              <w:tc>
                <w:tcPr>
                  <w:tcW w:w="1150" w:type="dxa"/>
                  <w:tcBorders>
                    <w:tl2br w:val="nil"/>
                    <w:tr2bl w:val="nil"/>
                  </w:tcBorders>
                  <w:vAlign w:val="center"/>
                </w:tcPr>
                <w:p w14:paraId="5A331540">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150</w:t>
                  </w:r>
                </w:p>
              </w:tc>
            </w:tr>
            <w:tr w14:paraId="62369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5A308CF9">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4E53AC6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SS（mg/L）</w:t>
                  </w:r>
                </w:p>
              </w:tc>
              <w:tc>
                <w:tcPr>
                  <w:tcW w:w="2293" w:type="dxa"/>
                  <w:tcBorders>
                    <w:tl2br w:val="nil"/>
                    <w:tr2bl w:val="nil"/>
                  </w:tcBorders>
                  <w:vAlign w:val="center"/>
                </w:tcPr>
                <w:p w14:paraId="2493ECE3">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400</w:t>
                  </w:r>
                </w:p>
              </w:tc>
              <w:tc>
                <w:tcPr>
                  <w:tcW w:w="1974" w:type="dxa"/>
                  <w:tcBorders>
                    <w:tl2br w:val="nil"/>
                    <w:tr2bl w:val="nil"/>
                  </w:tcBorders>
                  <w:vAlign w:val="center"/>
                </w:tcPr>
                <w:p w14:paraId="47CBB48E">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390</w:t>
                  </w:r>
                </w:p>
              </w:tc>
              <w:tc>
                <w:tcPr>
                  <w:tcW w:w="1150" w:type="dxa"/>
                  <w:tcBorders>
                    <w:tl2br w:val="nil"/>
                    <w:tr2bl w:val="nil"/>
                  </w:tcBorders>
                  <w:vAlign w:val="center"/>
                </w:tcPr>
                <w:p w14:paraId="48D54E07">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390</w:t>
                  </w:r>
                </w:p>
              </w:tc>
            </w:tr>
            <w:tr w14:paraId="73D79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2D8B2CFB">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35351116">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NH</w:t>
                  </w:r>
                  <w:r>
                    <w:rPr>
                      <w:rFonts w:hint="eastAsia"/>
                      <w:color w:val="000000" w:themeColor="text1"/>
                      <w:sz w:val="21"/>
                      <w:szCs w:val="21"/>
                      <w:vertAlign w:val="subscript"/>
                    </w:rPr>
                    <w:t>3</w:t>
                  </w:r>
                  <w:r>
                    <w:rPr>
                      <w:rFonts w:hint="eastAsia"/>
                      <w:color w:val="000000" w:themeColor="text1"/>
                      <w:sz w:val="21"/>
                      <w:szCs w:val="21"/>
                    </w:rPr>
                    <w:t>-N（mg/L）</w:t>
                  </w:r>
                </w:p>
              </w:tc>
              <w:tc>
                <w:tcPr>
                  <w:tcW w:w="2293" w:type="dxa"/>
                  <w:tcBorders>
                    <w:tl2br w:val="nil"/>
                    <w:tr2bl w:val="nil"/>
                  </w:tcBorders>
                  <w:vAlign w:val="center"/>
                </w:tcPr>
                <w:p w14:paraId="1F54B2EE">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color w:val="000000" w:themeColor="text1"/>
                      <w:sz w:val="21"/>
                      <w:szCs w:val="21"/>
                    </w:rPr>
                    <w:t>—</w:t>
                  </w:r>
                </w:p>
              </w:tc>
              <w:tc>
                <w:tcPr>
                  <w:tcW w:w="1974" w:type="dxa"/>
                  <w:tcBorders>
                    <w:tl2br w:val="nil"/>
                    <w:tr2bl w:val="nil"/>
                  </w:tcBorders>
                  <w:vAlign w:val="center"/>
                </w:tcPr>
                <w:p w14:paraId="0EA804B1">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w:t>
                  </w:r>
                </w:p>
              </w:tc>
              <w:tc>
                <w:tcPr>
                  <w:tcW w:w="1150" w:type="dxa"/>
                  <w:tcBorders>
                    <w:tl2br w:val="nil"/>
                    <w:tr2bl w:val="nil"/>
                  </w:tcBorders>
                  <w:vAlign w:val="center"/>
                </w:tcPr>
                <w:p w14:paraId="5F45E73D">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35</w:t>
                  </w:r>
                </w:p>
              </w:tc>
            </w:tr>
            <w:tr w14:paraId="79CA4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3F293BFA">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697A3D3A">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总氮（mg/L）</w:t>
                  </w:r>
                </w:p>
              </w:tc>
              <w:tc>
                <w:tcPr>
                  <w:tcW w:w="2293" w:type="dxa"/>
                  <w:tcBorders>
                    <w:tl2br w:val="nil"/>
                    <w:tr2bl w:val="nil"/>
                  </w:tcBorders>
                  <w:vAlign w:val="center"/>
                </w:tcPr>
                <w:p w14:paraId="3F67C44A">
                  <w:pPr>
                    <w:widowControl/>
                    <w:tabs>
                      <w:tab w:val="left" w:pos="1415"/>
                    </w:tabs>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color w:val="000000" w:themeColor="text1"/>
                      <w:sz w:val="21"/>
                      <w:szCs w:val="21"/>
                    </w:rPr>
                    <w:t>—</w:t>
                  </w:r>
                </w:p>
              </w:tc>
              <w:tc>
                <w:tcPr>
                  <w:tcW w:w="1974" w:type="dxa"/>
                  <w:tcBorders>
                    <w:tl2br w:val="nil"/>
                    <w:tr2bl w:val="nil"/>
                  </w:tcBorders>
                  <w:vAlign w:val="center"/>
                </w:tcPr>
                <w:p w14:paraId="29FEFED6">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40</w:t>
                  </w:r>
                </w:p>
              </w:tc>
              <w:tc>
                <w:tcPr>
                  <w:tcW w:w="1150" w:type="dxa"/>
                  <w:tcBorders>
                    <w:tl2br w:val="nil"/>
                    <w:tr2bl w:val="nil"/>
                  </w:tcBorders>
                  <w:vAlign w:val="center"/>
                </w:tcPr>
                <w:p w14:paraId="0A358874">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40</w:t>
                  </w:r>
                </w:p>
              </w:tc>
            </w:tr>
            <w:tr w14:paraId="543C8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l2br w:val="nil"/>
                    <w:tr2bl w:val="nil"/>
                  </w:tcBorders>
                  <w:vAlign w:val="center"/>
                </w:tcPr>
                <w:p w14:paraId="6BB7F1DC">
                  <w:pPr>
                    <w:widowControl/>
                    <w:numPr>
                      <w:ilvl w:val="0"/>
                      <w:numId w:val="5"/>
                    </w:numPr>
                    <w:spacing w:line="240" w:lineRule="auto"/>
                    <w:ind w:right="-24" w:rightChars="-10" w:firstLineChars="0"/>
                    <w:jc w:val="center"/>
                    <w:rPr>
                      <w:color w:val="000000" w:themeColor="text1"/>
                      <w:sz w:val="21"/>
                      <w:szCs w:val="21"/>
                    </w:rPr>
                  </w:pPr>
                </w:p>
              </w:tc>
              <w:tc>
                <w:tcPr>
                  <w:tcW w:w="2014" w:type="dxa"/>
                  <w:tcBorders>
                    <w:tl2br w:val="nil"/>
                    <w:tr2bl w:val="nil"/>
                  </w:tcBorders>
                  <w:vAlign w:val="center"/>
                </w:tcPr>
                <w:p w14:paraId="16AF25B2">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总磷（mg/L）</w:t>
                  </w:r>
                </w:p>
              </w:tc>
              <w:tc>
                <w:tcPr>
                  <w:tcW w:w="2293" w:type="dxa"/>
                  <w:tcBorders>
                    <w:tl2br w:val="nil"/>
                    <w:tr2bl w:val="nil"/>
                  </w:tcBorders>
                  <w:vAlign w:val="center"/>
                </w:tcPr>
                <w:p w14:paraId="35C126A5">
                  <w:pPr>
                    <w:widowControl/>
                    <w:kinsoku w:val="0"/>
                    <w:autoSpaceDE w:val="0"/>
                    <w:autoSpaceDN w:val="0"/>
                    <w:adjustRightInd w:val="0"/>
                    <w:snapToGrid w:val="0"/>
                    <w:spacing w:line="240" w:lineRule="auto"/>
                    <w:ind w:firstLine="0" w:firstLineChars="0"/>
                    <w:jc w:val="center"/>
                    <w:textAlignment w:val="baseline"/>
                    <w:rPr>
                      <w:rFonts w:ascii="宋体" w:hAnsi="宋体" w:cs="宋体"/>
                      <w:color w:val="000000" w:themeColor="text1"/>
                    </w:rPr>
                  </w:pPr>
                  <w:r>
                    <w:rPr>
                      <w:color w:val="000000" w:themeColor="text1"/>
                      <w:sz w:val="21"/>
                      <w:szCs w:val="21"/>
                    </w:rPr>
                    <w:t>—</w:t>
                  </w:r>
                </w:p>
              </w:tc>
              <w:tc>
                <w:tcPr>
                  <w:tcW w:w="1974" w:type="dxa"/>
                  <w:tcBorders>
                    <w:tl2br w:val="nil"/>
                    <w:tr2bl w:val="nil"/>
                  </w:tcBorders>
                  <w:vAlign w:val="center"/>
                </w:tcPr>
                <w:p w14:paraId="45811426">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w:t>
                  </w:r>
                </w:p>
              </w:tc>
              <w:tc>
                <w:tcPr>
                  <w:tcW w:w="1150" w:type="dxa"/>
                  <w:tcBorders>
                    <w:tl2br w:val="nil"/>
                    <w:tr2bl w:val="nil"/>
                  </w:tcBorders>
                  <w:vAlign w:val="center"/>
                </w:tcPr>
                <w:p w14:paraId="5A0CA03E">
                  <w:pPr>
                    <w:widowControl/>
                    <w:spacing w:line="240" w:lineRule="auto"/>
                    <w:ind w:left="-24" w:leftChars="-10" w:right="-24" w:rightChars="-10" w:firstLine="0" w:firstLineChars="0"/>
                    <w:jc w:val="center"/>
                    <w:rPr>
                      <w:color w:val="000000" w:themeColor="text1"/>
                      <w:sz w:val="21"/>
                      <w:szCs w:val="21"/>
                    </w:rPr>
                  </w:pPr>
                  <w:r>
                    <w:rPr>
                      <w:rFonts w:hint="eastAsia"/>
                      <w:color w:val="000000" w:themeColor="text1"/>
                      <w:sz w:val="21"/>
                      <w:szCs w:val="21"/>
                    </w:rPr>
                    <w:t>6</w:t>
                  </w:r>
                </w:p>
              </w:tc>
            </w:tr>
          </w:tbl>
          <w:p w14:paraId="62DB14AE">
            <w:pPr>
              <w:ind w:firstLine="0" w:firstLineChars="0"/>
              <w:jc w:val="center"/>
              <w:rPr>
                <w:b/>
                <w:bCs/>
                <w:color w:val="000000" w:themeColor="text1"/>
                <w:sz w:val="21"/>
                <w:szCs w:val="21"/>
              </w:rPr>
            </w:pPr>
            <w:r>
              <w:rPr>
                <w:rFonts w:hint="eastAsia"/>
                <w:b/>
                <w:bCs/>
                <w:color w:val="000000" w:themeColor="text1"/>
                <w:sz w:val="21"/>
                <w:szCs w:val="21"/>
              </w:rPr>
              <w:t>表24   本项目生产废水执行排放标准一览表</w:t>
            </w:r>
          </w:p>
          <w:tbl>
            <w:tblPr>
              <w:tblStyle w:val="57"/>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410"/>
              <w:gridCol w:w="2460"/>
              <w:gridCol w:w="2086"/>
              <w:gridCol w:w="2086"/>
            </w:tblGrid>
            <w:tr w14:paraId="02DFA0D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877" w:type="pct"/>
                  <w:tcBorders>
                    <w:tl2br w:val="nil"/>
                    <w:tr2bl w:val="nil"/>
                  </w:tcBorders>
                  <w:vAlign w:val="center"/>
                </w:tcPr>
                <w:p w14:paraId="6663BA44">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1"/>
                      <w:szCs w:val="21"/>
                      <w:lang w:eastAsia="zh-CN"/>
                    </w:rPr>
                  </w:pPr>
                  <w:r>
                    <w:rPr>
                      <w:rFonts w:hint="eastAsia" w:ascii="Times New Roman" w:hAnsi="Times New Roman" w:cs="Times New Roman"/>
                      <w:b/>
                      <w:bCs/>
                      <w:color w:val="000000" w:themeColor="text1"/>
                      <w:sz w:val="21"/>
                      <w:szCs w:val="21"/>
                      <w:lang w:eastAsia="zh-CN"/>
                    </w:rPr>
                    <w:t>生产废水</w:t>
                  </w:r>
                </w:p>
              </w:tc>
              <w:tc>
                <w:tcPr>
                  <w:tcW w:w="1529" w:type="pct"/>
                  <w:tcBorders>
                    <w:tl2br w:val="nil"/>
                    <w:tr2bl w:val="nil"/>
                  </w:tcBorders>
                  <w:vAlign w:val="center"/>
                </w:tcPr>
                <w:p w14:paraId="74D0624C">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污染物</w:t>
                  </w:r>
                </w:p>
              </w:tc>
              <w:tc>
                <w:tcPr>
                  <w:tcW w:w="2592" w:type="pct"/>
                  <w:gridSpan w:val="2"/>
                  <w:tcBorders>
                    <w:tl2br w:val="nil"/>
                    <w:tr2bl w:val="nil"/>
                  </w:tcBorders>
                  <w:vAlign w:val="center"/>
                </w:tcPr>
                <w:p w14:paraId="7C814B89">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1"/>
                      <w:szCs w:val="21"/>
                      <w:lang w:eastAsia="zh-CN"/>
                    </w:rPr>
                  </w:pPr>
                  <w:r>
                    <w:rPr>
                      <w:rFonts w:hint="eastAsia" w:ascii="Times New Roman" w:hAnsi="Times New Roman" w:cs="Times New Roman"/>
                      <w:b/>
                      <w:bCs/>
                      <w:color w:val="000000" w:themeColor="text1"/>
                      <w:sz w:val="21"/>
                      <w:szCs w:val="21"/>
                      <w:lang w:eastAsia="zh-CN"/>
                    </w:rPr>
                    <w:t>排放标准</w:t>
                  </w:r>
                </w:p>
              </w:tc>
            </w:tr>
            <w:tr w14:paraId="03A7C9A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77" w:type="pct"/>
                  <w:vMerge w:val="restart"/>
                  <w:tcBorders>
                    <w:tl2br w:val="nil"/>
                    <w:tr2bl w:val="nil"/>
                  </w:tcBorders>
                  <w:vAlign w:val="center"/>
                </w:tcPr>
                <w:p w14:paraId="3EB43464">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热风炉冷却过程排污水</w:t>
                  </w:r>
                </w:p>
              </w:tc>
              <w:tc>
                <w:tcPr>
                  <w:tcW w:w="1529" w:type="pct"/>
                  <w:tcBorders>
                    <w:tl2br w:val="nil"/>
                    <w:tr2bl w:val="nil"/>
                  </w:tcBorders>
                  <w:shd w:val="clear" w:color="auto" w:fill="auto"/>
                  <w:vAlign w:val="center"/>
                </w:tcPr>
                <w:p w14:paraId="2AE4901A">
                  <w:pPr>
                    <w:pStyle w:val="65"/>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ascii="Times New Roman" w:hAnsi="Times New Roman" w:eastAsia="Times New Roman" w:cs="Times New Roman"/>
                      <w:color w:val="000000" w:themeColor="text1"/>
                      <w:sz w:val="21"/>
                      <w:szCs w:val="21"/>
                    </w:rPr>
                    <w:t>COD</w:t>
                  </w:r>
                  <w:r>
                    <w:rPr>
                      <w:color w:val="000000" w:themeColor="text1"/>
                      <w:sz w:val="21"/>
                      <w:szCs w:val="21"/>
                    </w:rPr>
                    <w:t>（</w:t>
                  </w:r>
                  <w:r>
                    <w:rPr>
                      <w:rFonts w:ascii="Times New Roman" w:hAnsi="Times New Roman" w:eastAsia="Times New Roman" w:cs="Times New Roman"/>
                      <w:color w:val="000000" w:themeColor="text1"/>
                      <w:sz w:val="21"/>
                      <w:szCs w:val="21"/>
                    </w:rPr>
                    <w:t>mg/L</w:t>
                  </w:r>
                  <w:r>
                    <w:rPr>
                      <w:color w:val="000000" w:themeColor="text1"/>
                      <w:sz w:val="21"/>
                      <w:szCs w:val="21"/>
                    </w:rPr>
                    <w:t>）</w:t>
                  </w:r>
                </w:p>
              </w:tc>
              <w:tc>
                <w:tcPr>
                  <w:tcW w:w="1296" w:type="pct"/>
                  <w:tcBorders>
                    <w:tl2br w:val="nil"/>
                    <w:tr2bl w:val="nil"/>
                  </w:tcBorders>
                  <w:vAlign w:val="center"/>
                </w:tcPr>
                <w:p w14:paraId="44F472F0">
                  <w:pPr>
                    <w:widowControl/>
                    <w:kinsoku w:val="0"/>
                    <w:autoSpaceDE w:val="0"/>
                    <w:autoSpaceDN w:val="0"/>
                    <w:adjustRightInd w:val="0"/>
                    <w:snapToGrid w:val="0"/>
                    <w:spacing w:line="240" w:lineRule="auto"/>
                    <w:ind w:firstLine="0" w:firstLineChars="0"/>
                    <w:jc w:val="center"/>
                    <w:textAlignment w:val="baseline"/>
                    <w:rPr>
                      <w:rFonts w:eastAsia="Times New Roman"/>
                      <w:color w:val="000000" w:themeColor="text1"/>
                      <w:sz w:val="21"/>
                      <w:szCs w:val="21"/>
                      <w:lang w:eastAsia="en-US"/>
                    </w:rPr>
                  </w:pPr>
                  <w:r>
                    <w:rPr>
                      <w:color w:val="000000" w:themeColor="text1"/>
                      <w:sz w:val="21"/>
                      <w:szCs w:val="21"/>
                      <w:lang w:eastAsia="en-US"/>
                    </w:rPr>
                    <w:t>—</w:t>
                  </w:r>
                </w:p>
              </w:tc>
              <w:tc>
                <w:tcPr>
                  <w:tcW w:w="1296" w:type="pct"/>
                  <w:vMerge w:val="restart"/>
                  <w:tcBorders>
                    <w:tl2br w:val="nil"/>
                    <w:tr2bl w:val="nil"/>
                  </w:tcBorders>
                  <w:vAlign w:val="center"/>
                </w:tcPr>
                <w:p w14:paraId="2EC7F667">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lang w:eastAsia="en-US"/>
                    </w:rPr>
                  </w:pPr>
                  <w:r>
                    <w:rPr>
                      <w:color w:val="000000" w:themeColor="text1"/>
                      <w:sz w:val="21"/>
                      <w:szCs w:val="21"/>
                      <w:lang w:eastAsia="en-US"/>
                    </w:rPr>
                    <w:t>《城市污水再生利用 城市杂用水水质》（GB/T 18920-2020）表1中冲厕用水水质要求</w:t>
                  </w:r>
                </w:p>
              </w:tc>
            </w:tr>
            <w:tr w14:paraId="7224055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877" w:type="pct"/>
                  <w:vMerge w:val="continue"/>
                  <w:tcBorders>
                    <w:tl2br w:val="nil"/>
                    <w:tr2bl w:val="nil"/>
                  </w:tcBorders>
                  <w:vAlign w:val="center"/>
                </w:tcPr>
                <w:p w14:paraId="480D1E9B">
                  <w:pPr>
                    <w:pStyle w:val="65"/>
                    <w:widowControl/>
                    <w:kinsoku w:val="0"/>
                    <w:autoSpaceDE w:val="0"/>
                    <w:autoSpaceDN w:val="0"/>
                    <w:adjustRightInd w:val="0"/>
                    <w:snapToGrid w:val="0"/>
                    <w:spacing w:line="240" w:lineRule="auto"/>
                    <w:ind w:firstLine="0" w:firstLineChars="0"/>
                    <w:jc w:val="center"/>
                    <w:textAlignment w:val="baseline"/>
                    <w:rPr>
                      <w:rFonts w:ascii="Times New Roman" w:hAnsi="Times New Roman" w:eastAsia="Times New Roman" w:cs="Times New Roman"/>
                      <w:color w:val="000000" w:themeColor="text1"/>
                      <w:sz w:val="21"/>
                      <w:szCs w:val="21"/>
                    </w:rPr>
                  </w:pPr>
                </w:p>
              </w:tc>
              <w:tc>
                <w:tcPr>
                  <w:tcW w:w="1529" w:type="pct"/>
                  <w:tcBorders>
                    <w:tl2br w:val="nil"/>
                    <w:tr2bl w:val="nil"/>
                  </w:tcBorders>
                  <w:shd w:val="clear" w:color="auto" w:fill="auto"/>
                  <w:vAlign w:val="center"/>
                </w:tcPr>
                <w:p w14:paraId="2B720A76">
                  <w:pPr>
                    <w:pStyle w:val="65"/>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rPr>
                  </w:pPr>
                  <w:r>
                    <w:rPr>
                      <w:rFonts w:ascii="Times New Roman" w:hAnsi="Times New Roman" w:eastAsia="Times New Roman" w:cs="Times New Roman"/>
                      <w:color w:val="000000" w:themeColor="text1"/>
                      <w:sz w:val="21"/>
                      <w:szCs w:val="21"/>
                    </w:rPr>
                    <w:t>SS</w:t>
                  </w:r>
                  <w:r>
                    <w:rPr>
                      <w:color w:val="000000" w:themeColor="text1"/>
                      <w:sz w:val="21"/>
                      <w:szCs w:val="21"/>
                    </w:rPr>
                    <w:t>（</w:t>
                  </w:r>
                  <w:r>
                    <w:rPr>
                      <w:rFonts w:ascii="Times New Roman" w:hAnsi="Times New Roman" w:eastAsia="Times New Roman" w:cs="Times New Roman"/>
                      <w:color w:val="000000" w:themeColor="text1"/>
                      <w:sz w:val="21"/>
                      <w:szCs w:val="21"/>
                    </w:rPr>
                    <w:t>mg/L</w:t>
                  </w:r>
                  <w:r>
                    <w:rPr>
                      <w:color w:val="000000" w:themeColor="text1"/>
                      <w:sz w:val="21"/>
                      <w:szCs w:val="21"/>
                    </w:rPr>
                    <w:t>）</w:t>
                  </w:r>
                </w:p>
              </w:tc>
              <w:tc>
                <w:tcPr>
                  <w:tcW w:w="1296" w:type="pct"/>
                  <w:tcBorders>
                    <w:tl2br w:val="nil"/>
                    <w:tr2bl w:val="nil"/>
                  </w:tcBorders>
                  <w:shd w:val="clear" w:color="auto" w:fill="auto"/>
                  <w:vAlign w:val="center"/>
                </w:tcPr>
                <w:p w14:paraId="12DC0244">
                  <w:pPr>
                    <w:widowControl/>
                    <w:tabs>
                      <w:tab w:val="left" w:pos="1415"/>
                    </w:tabs>
                    <w:kinsoku w:val="0"/>
                    <w:autoSpaceDE w:val="0"/>
                    <w:autoSpaceDN w:val="0"/>
                    <w:adjustRightInd w:val="0"/>
                    <w:snapToGrid w:val="0"/>
                    <w:spacing w:line="240" w:lineRule="auto"/>
                    <w:ind w:firstLine="0" w:firstLineChars="0"/>
                    <w:jc w:val="center"/>
                    <w:textAlignment w:val="baseline"/>
                    <w:rPr>
                      <w:color w:val="000000" w:themeColor="text1"/>
                      <w:sz w:val="21"/>
                      <w:szCs w:val="21"/>
                      <w:lang w:eastAsia="en-US"/>
                    </w:rPr>
                  </w:pPr>
                  <w:r>
                    <w:rPr>
                      <w:color w:val="000000" w:themeColor="text1"/>
                      <w:sz w:val="21"/>
                      <w:szCs w:val="21"/>
                      <w:lang w:eastAsia="en-US"/>
                    </w:rPr>
                    <w:t>—</w:t>
                  </w:r>
                </w:p>
              </w:tc>
              <w:tc>
                <w:tcPr>
                  <w:tcW w:w="1296" w:type="pct"/>
                  <w:vMerge w:val="continue"/>
                  <w:tcBorders>
                    <w:tl2br w:val="nil"/>
                    <w:tr2bl w:val="nil"/>
                  </w:tcBorders>
                  <w:vAlign w:val="center"/>
                </w:tcPr>
                <w:p w14:paraId="2C7F5589">
                  <w:pPr>
                    <w:widowControl/>
                    <w:kinsoku w:val="0"/>
                    <w:autoSpaceDE w:val="0"/>
                    <w:autoSpaceDN w:val="0"/>
                    <w:adjustRightInd w:val="0"/>
                    <w:snapToGrid w:val="0"/>
                    <w:spacing w:line="240" w:lineRule="auto"/>
                    <w:ind w:firstLine="0" w:firstLineChars="0"/>
                    <w:jc w:val="center"/>
                    <w:textAlignment w:val="baseline"/>
                    <w:rPr>
                      <w:color w:val="000000" w:themeColor="text1"/>
                      <w:sz w:val="21"/>
                      <w:szCs w:val="21"/>
                      <w:lang w:eastAsia="en-US"/>
                    </w:rPr>
                  </w:pPr>
                </w:p>
              </w:tc>
            </w:tr>
          </w:tbl>
          <w:p w14:paraId="5B9F2414">
            <w:pPr>
              <w:ind w:firstLine="480"/>
              <w:rPr>
                <w:color w:val="000000" w:themeColor="text1"/>
              </w:rPr>
            </w:pPr>
            <w:r>
              <w:rPr>
                <w:rFonts w:hint="eastAsia"/>
                <w:color w:val="000000" w:themeColor="text1"/>
              </w:rPr>
              <w:t>3、噪声</w:t>
            </w:r>
          </w:p>
          <w:p w14:paraId="4F769451">
            <w:pPr>
              <w:ind w:firstLine="480"/>
              <w:rPr>
                <w:color w:val="000000" w:themeColor="text1"/>
              </w:rPr>
            </w:pPr>
            <w:r>
              <w:rPr>
                <w:color w:val="000000" w:themeColor="text1"/>
              </w:rPr>
              <w:t>厂界噪声执行《工业企业厂界环境噪声排放标准》（GB12348-2008）</w:t>
            </w:r>
            <w:r>
              <w:rPr>
                <w:rFonts w:hint="eastAsia"/>
                <w:color w:val="000000" w:themeColor="text1"/>
              </w:rPr>
              <w:t>中3</w:t>
            </w:r>
            <w:r>
              <w:rPr>
                <w:color w:val="000000" w:themeColor="text1"/>
              </w:rPr>
              <w:t>类标准</w:t>
            </w:r>
            <w:r>
              <w:rPr>
                <w:rFonts w:hint="eastAsia"/>
                <w:color w:val="000000" w:themeColor="text1"/>
              </w:rPr>
              <w:t>：昼间65dB（A），夜间55dB（A）。</w:t>
            </w:r>
          </w:p>
          <w:p w14:paraId="18D6DA0E">
            <w:pPr>
              <w:ind w:firstLine="480"/>
              <w:rPr>
                <w:color w:val="000000" w:themeColor="text1"/>
              </w:rPr>
            </w:pPr>
            <w:r>
              <w:rPr>
                <w:rFonts w:hint="eastAsia"/>
                <w:color w:val="000000" w:themeColor="text1"/>
              </w:rPr>
              <w:t>4、固体废物</w:t>
            </w:r>
          </w:p>
          <w:p w14:paraId="201517C6">
            <w:pPr>
              <w:ind w:firstLine="480"/>
              <w:rPr>
                <w:color w:val="000000" w:themeColor="text1"/>
                <w:kern w:val="24"/>
              </w:rPr>
            </w:pPr>
            <w:r>
              <w:rPr>
                <w:rFonts w:hint="eastAsia"/>
                <w:color w:val="000000" w:themeColor="text1"/>
              </w:rPr>
              <w:t>（1）</w:t>
            </w:r>
            <w:r>
              <w:rPr>
                <w:color w:val="000000" w:themeColor="text1"/>
                <w:kern w:val="24"/>
              </w:rPr>
              <w:t>一般</w:t>
            </w:r>
            <w:r>
              <w:rPr>
                <w:rFonts w:hint="eastAsia"/>
                <w:color w:val="000000" w:themeColor="text1"/>
                <w:kern w:val="24"/>
              </w:rPr>
              <w:t>工业</w:t>
            </w:r>
            <w:r>
              <w:rPr>
                <w:color w:val="000000" w:themeColor="text1"/>
                <w:kern w:val="24"/>
              </w:rPr>
              <w:t>固体废物执行《中华人民共和国固体废物污染环境防治法》（2020年9月1日起施行）中第二十条第一款：产生、收集、贮存、运输、利用、处置固体废物的单位和其他生产经营者</w:t>
            </w:r>
            <w:r>
              <w:rPr>
                <w:rFonts w:hint="eastAsia" w:ascii="宋体" w:hAnsi="宋体" w:cs="宋体"/>
                <w:color w:val="000000" w:themeColor="text1"/>
                <w:kern w:val="24"/>
              </w:rPr>
              <w:t>，</w:t>
            </w:r>
            <w:r>
              <w:rPr>
                <w:color w:val="000000" w:themeColor="text1"/>
                <w:kern w:val="24"/>
              </w:rPr>
              <w:t>应当采取防扬散、防流失、防渗漏或者其他防止污染环境的措施</w:t>
            </w:r>
            <w:r>
              <w:rPr>
                <w:rFonts w:hint="eastAsia"/>
                <w:color w:val="000000" w:themeColor="text1"/>
                <w:kern w:val="24"/>
              </w:rPr>
              <w:t>，</w:t>
            </w:r>
            <w:r>
              <w:rPr>
                <w:color w:val="000000" w:themeColor="text1"/>
                <w:kern w:val="24"/>
              </w:rPr>
              <w:t>不得擅自倾倒、堆放、丢弃、遗撒固体废物。</w:t>
            </w:r>
          </w:p>
          <w:p w14:paraId="4B73ECFC">
            <w:pPr>
              <w:ind w:firstLine="480"/>
              <w:rPr>
                <w:color w:val="000000" w:themeColor="text1"/>
              </w:rPr>
            </w:pPr>
            <w:r>
              <w:rPr>
                <w:rFonts w:hint="eastAsia"/>
                <w:color w:val="000000" w:themeColor="text1"/>
              </w:rPr>
              <w:t>（2）生活垃圾处置参照执行《中华人民共和国固体废物污染环境防治法》（2020年9月1日起施行）“第四章生活垃圾”的相关规定。</w:t>
            </w:r>
          </w:p>
          <w:p w14:paraId="752C44E4">
            <w:pPr>
              <w:ind w:firstLine="480"/>
              <w:rPr>
                <w:color w:val="000000" w:themeColor="text1"/>
              </w:rPr>
            </w:pPr>
            <w:r>
              <w:rPr>
                <w:rFonts w:hint="eastAsia"/>
                <w:color w:val="000000" w:themeColor="text1"/>
              </w:rPr>
              <w:t>（3）危险废物执行《危险废物贮存污染控制标准》（GB18597-2023）中相关要求。</w:t>
            </w:r>
          </w:p>
        </w:tc>
      </w:tr>
      <w:tr w14:paraId="6E0ED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780" w:type="dxa"/>
            <w:tcBorders>
              <w:tl2br w:val="nil"/>
              <w:tr2bl w:val="nil"/>
            </w:tcBorders>
            <w:shd w:val="clear" w:color="auto" w:fill="auto"/>
            <w:vAlign w:val="center"/>
          </w:tcPr>
          <w:p w14:paraId="7D517BEB">
            <w:pPr>
              <w:pStyle w:val="35"/>
              <w:rPr>
                <w:color w:val="000000" w:themeColor="text1"/>
                <w:sz w:val="24"/>
                <w:szCs w:val="24"/>
              </w:rPr>
            </w:pPr>
            <w:r>
              <w:rPr>
                <w:rFonts w:hint="eastAsia"/>
                <w:color w:val="000000" w:themeColor="text1"/>
                <w:sz w:val="24"/>
                <w:szCs w:val="24"/>
              </w:rPr>
              <w:t>总量</w:t>
            </w:r>
          </w:p>
          <w:p w14:paraId="2752C858">
            <w:pPr>
              <w:pStyle w:val="35"/>
              <w:rPr>
                <w:color w:val="000000" w:themeColor="text1"/>
                <w:sz w:val="24"/>
                <w:szCs w:val="24"/>
              </w:rPr>
            </w:pPr>
            <w:r>
              <w:rPr>
                <w:rFonts w:hint="eastAsia"/>
                <w:color w:val="000000" w:themeColor="text1"/>
                <w:sz w:val="24"/>
                <w:szCs w:val="24"/>
              </w:rPr>
              <w:t>控制</w:t>
            </w:r>
          </w:p>
          <w:p w14:paraId="6218D08F">
            <w:pPr>
              <w:pStyle w:val="35"/>
              <w:rPr>
                <w:color w:val="000000" w:themeColor="text1"/>
              </w:rPr>
            </w:pPr>
            <w:r>
              <w:rPr>
                <w:rFonts w:hint="eastAsia"/>
                <w:color w:val="000000" w:themeColor="text1"/>
                <w:sz w:val="24"/>
                <w:szCs w:val="24"/>
              </w:rPr>
              <w:t>指标</w:t>
            </w:r>
          </w:p>
        </w:tc>
        <w:tc>
          <w:tcPr>
            <w:tcW w:w="8291" w:type="dxa"/>
            <w:tcBorders>
              <w:tl2br w:val="nil"/>
              <w:tr2bl w:val="nil"/>
            </w:tcBorders>
            <w:shd w:val="clear" w:color="auto" w:fill="auto"/>
            <w:vAlign w:val="center"/>
          </w:tcPr>
          <w:p w14:paraId="12BC49D6">
            <w:pPr>
              <w:ind w:firstLine="480"/>
              <w:rPr>
                <w:color w:val="000000" w:themeColor="text1"/>
              </w:rPr>
            </w:pPr>
            <w:r>
              <w:rPr>
                <w:color w:val="000000" w:themeColor="text1"/>
              </w:rPr>
              <w:t>根据</w:t>
            </w:r>
            <w:r>
              <w:rPr>
                <w:rFonts w:hint="eastAsia"/>
                <w:color w:val="000000" w:themeColor="text1"/>
              </w:rPr>
              <w:t>国家总量控制相关要求</w:t>
            </w:r>
            <w:r>
              <w:rPr>
                <w:color w:val="000000" w:themeColor="text1"/>
              </w:rPr>
              <w:t>，同时根据河北省环保厅的要求，以及项目厂址区域环境质量现状、外排污染物特征，确定总量控制因子为：</w:t>
            </w:r>
          </w:p>
          <w:p w14:paraId="6BA75196">
            <w:pPr>
              <w:ind w:firstLine="480"/>
              <w:rPr>
                <w:color w:val="000000" w:themeColor="text1"/>
              </w:rPr>
            </w:pPr>
            <w:r>
              <w:rPr>
                <w:color w:val="000000" w:themeColor="text1"/>
              </w:rPr>
              <w:t>废气：SO</w:t>
            </w:r>
            <w:r>
              <w:rPr>
                <w:color w:val="000000" w:themeColor="text1"/>
                <w:vertAlign w:val="subscript"/>
              </w:rPr>
              <w:t>2</w:t>
            </w:r>
            <w:r>
              <w:rPr>
                <w:color w:val="000000" w:themeColor="text1"/>
              </w:rPr>
              <w:t>、NO</w:t>
            </w:r>
            <w:r>
              <w:rPr>
                <w:color w:val="000000" w:themeColor="text1"/>
                <w:vertAlign w:val="subscript"/>
              </w:rPr>
              <w:t>X</w:t>
            </w:r>
            <w:r>
              <w:rPr>
                <w:color w:val="000000" w:themeColor="text1"/>
              </w:rPr>
              <w:t>；</w:t>
            </w:r>
          </w:p>
          <w:p w14:paraId="0F452800">
            <w:pPr>
              <w:ind w:firstLine="480"/>
              <w:rPr>
                <w:color w:val="000000" w:themeColor="text1"/>
              </w:rPr>
            </w:pPr>
            <w:r>
              <w:rPr>
                <w:color w:val="000000" w:themeColor="text1"/>
              </w:rPr>
              <w:t>废水：COD、氨氮</w:t>
            </w:r>
            <w:r>
              <w:rPr>
                <w:rFonts w:hint="eastAsia"/>
                <w:color w:val="000000" w:themeColor="text1"/>
              </w:rPr>
              <w:t>、总氮</w:t>
            </w:r>
            <w:r>
              <w:rPr>
                <w:color w:val="000000" w:themeColor="text1"/>
              </w:rPr>
              <w:t>；</w:t>
            </w:r>
          </w:p>
          <w:p w14:paraId="1FACD829">
            <w:pPr>
              <w:ind w:firstLine="480"/>
              <w:rPr>
                <w:color w:val="000000" w:themeColor="text1"/>
              </w:rPr>
            </w:pPr>
            <w:r>
              <w:rPr>
                <w:color w:val="000000" w:themeColor="text1"/>
              </w:rPr>
              <w:t>其他污染物：</w:t>
            </w:r>
            <w:r>
              <w:rPr>
                <w:rFonts w:hint="eastAsia"/>
                <w:color w:val="000000" w:themeColor="text1"/>
              </w:rPr>
              <w:t>颗粒物、汞。</w:t>
            </w:r>
          </w:p>
          <w:p w14:paraId="5ED0C3F5">
            <w:pPr>
              <w:ind w:firstLine="480"/>
              <w:rPr>
                <w:color w:val="000000" w:themeColor="text1"/>
              </w:rPr>
            </w:pPr>
            <w:r>
              <w:rPr>
                <w:color w:val="000000" w:themeColor="text1"/>
              </w:rPr>
              <w:t>根据《关于印发&lt;建设项目主要污染物排放总量指标审核及管理暂行办法&gt; 的通知》（环发[2014]197号）中指标审核规定</w:t>
            </w:r>
            <w:r>
              <w:rPr>
                <w:rFonts w:hint="eastAsia"/>
                <w:color w:val="000000" w:themeColor="text1"/>
              </w:rPr>
              <w:t>“火电、钢铁、水泥、造纸、印染行业建设项目所需替代的主要污染物排放总量指标采用绩效方法核定，其他行业依照国家或地方污染物排放标准及单位产品基准排水量（行业最高允许排水量）、烟气量等予以核定”。</w:t>
            </w:r>
            <w:r>
              <w:rPr>
                <w:color w:val="000000" w:themeColor="text1"/>
              </w:rPr>
              <w:t>项目污染</w:t>
            </w:r>
            <w:r>
              <w:rPr>
                <w:rFonts w:hint="eastAsia"/>
                <w:color w:val="000000" w:themeColor="text1"/>
              </w:rPr>
              <w:t>物</w:t>
            </w:r>
            <w:r>
              <w:rPr>
                <w:color w:val="000000" w:themeColor="text1"/>
              </w:rPr>
              <w:t>总量指标按照排放标准进行核定。</w:t>
            </w:r>
          </w:p>
          <w:p w14:paraId="1B40AB4E">
            <w:pPr>
              <w:ind w:firstLine="480"/>
              <w:rPr>
                <w:color w:val="000000" w:themeColor="text1"/>
              </w:rPr>
            </w:pPr>
            <w:r>
              <w:rPr>
                <w:color w:val="000000" w:themeColor="text1"/>
              </w:rPr>
              <w:t>根据排放的污染物种类和特点</w:t>
            </w:r>
            <w:r>
              <w:rPr>
                <w:rFonts w:hint="eastAsia"/>
                <w:color w:val="000000" w:themeColor="text1"/>
              </w:rPr>
              <w:t>，本项目建成后，污染物总量控制指标为：</w:t>
            </w:r>
          </w:p>
          <w:p w14:paraId="7A82DFA4">
            <w:pPr>
              <w:ind w:firstLine="480"/>
              <w:rPr>
                <w:color w:val="000000" w:themeColor="text1"/>
              </w:rPr>
            </w:pPr>
            <w:r>
              <w:rPr>
                <w:rFonts w:hint="eastAsia"/>
                <w:color w:val="000000" w:themeColor="text1"/>
              </w:rPr>
              <w:t>（1）废水</w:t>
            </w:r>
          </w:p>
          <w:p w14:paraId="66476B36">
            <w:pPr>
              <w:ind w:firstLine="480"/>
              <w:rPr>
                <w:color w:val="000000" w:themeColor="text1"/>
              </w:rPr>
            </w:pPr>
            <w:r>
              <w:rPr>
                <w:rFonts w:hint="eastAsia"/>
                <w:color w:val="000000" w:themeColor="text1"/>
              </w:rPr>
              <w:t>本项目热风炉冷却过程排污水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不外排；生活污水排入市政污水管网，最终进入曹妃甸工业区装备制造区污水处理站处理，区域总量不增加，</w:t>
            </w:r>
            <w:r>
              <w:rPr>
                <w:rFonts w:hint="eastAsia"/>
                <w:bCs/>
                <w:color w:val="000000" w:themeColor="text1"/>
              </w:rPr>
              <w:t>故</w:t>
            </w:r>
            <w:r>
              <w:rPr>
                <w:rFonts w:hint="eastAsia"/>
                <w:color w:val="000000" w:themeColor="text1"/>
              </w:rPr>
              <w:t>COD、氨氮、总氮的总量控制建议指标为：</w:t>
            </w:r>
            <w:r>
              <w:rPr>
                <w:snapToGrid w:val="0"/>
                <w:color w:val="000000" w:themeColor="text1"/>
                <w:kern w:val="0"/>
              </w:rPr>
              <w:t>COD</w:t>
            </w:r>
            <w:r>
              <w:rPr>
                <w:color w:val="000000" w:themeColor="text1"/>
              </w:rPr>
              <w:t>：</w:t>
            </w:r>
            <w:r>
              <w:rPr>
                <w:rFonts w:hint="eastAsia"/>
                <w:color w:val="000000" w:themeColor="text1"/>
                <w:kern w:val="0"/>
              </w:rPr>
              <w:t>0</w:t>
            </w:r>
            <w:r>
              <w:rPr>
                <w:color w:val="000000" w:themeColor="text1"/>
              </w:rPr>
              <w:t>t/a</w:t>
            </w:r>
            <w:r>
              <w:rPr>
                <w:rFonts w:hint="eastAsia"/>
                <w:color w:val="000000" w:themeColor="text1"/>
              </w:rPr>
              <w:t>、氨氮</w:t>
            </w:r>
            <w:r>
              <w:rPr>
                <w:color w:val="000000" w:themeColor="text1"/>
              </w:rPr>
              <w:t>：</w:t>
            </w:r>
            <w:r>
              <w:rPr>
                <w:rFonts w:hint="eastAsia"/>
                <w:color w:val="000000" w:themeColor="text1"/>
              </w:rPr>
              <w:t>0</w:t>
            </w:r>
            <w:r>
              <w:rPr>
                <w:color w:val="000000" w:themeColor="text1"/>
              </w:rPr>
              <w:t>t/a</w:t>
            </w:r>
            <w:r>
              <w:rPr>
                <w:rFonts w:hint="eastAsia"/>
                <w:color w:val="000000" w:themeColor="text1"/>
              </w:rPr>
              <w:t>、总氮：0t/a。</w:t>
            </w:r>
          </w:p>
          <w:p w14:paraId="597735A6">
            <w:pPr>
              <w:ind w:firstLine="480"/>
              <w:rPr>
                <w:color w:val="000000" w:themeColor="text1"/>
              </w:rPr>
            </w:pPr>
            <w:r>
              <w:rPr>
                <w:rFonts w:hint="eastAsia"/>
                <w:color w:val="000000" w:themeColor="text1"/>
              </w:rPr>
              <w:t>（2）</w:t>
            </w:r>
            <w:r>
              <w:rPr>
                <w:color w:val="000000" w:themeColor="text1"/>
              </w:rPr>
              <w:t>废气</w:t>
            </w:r>
          </w:p>
          <w:p w14:paraId="353B0B8D">
            <w:pPr>
              <w:spacing w:line="360" w:lineRule="auto"/>
              <w:ind w:firstLine="480"/>
              <w:rPr>
                <w:color w:val="000000" w:themeColor="text1"/>
              </w:rPr>
            </w:pPr>
            <w:r>
              <w:rPr>
                <w:rFonts w:hint="eastAsia"/>
                <w:color w:val="000000" w:themeColor="text1"/>
              </w:rPr>
              <w:t>本项目厂房不供暖，烘干工艺中采用热风炉燃烧自产生物质能源颗粒提供热源，生物质能源颗粒年用量为328t/a。</w:t>
            </w:r>
          </w:p>
          <w:p w14:paraId="2571F64B">
            <w:pPr>
              <w:pStyle w:val="15"/>
              <w:spacing w:after="0" w:line="360" w:lineRule="auto"/>
              <w:ind w:left="0" w:leftChars="0" w:right="0" w:rightChars="0" w:firstLine="480"/>
              <w:rPr>
                <w:color w:val="000000" w:themeColor="text1"/>
                <w:kern w:val="0"/>
              </w:rPr>
            </w:pPr>
            <w:r>
              <w:rPr>
                <w:rFonts w:hint="eastAsia"/>
                <w:snapToGrid w:val="0"/>
                <w:color w:val="000000" w:themeColor="text1"/>
                <w:kern w:val="0"/>
              </w:rPr>
              <w:t>燃烧废气量参照</w:t>
            </w:r>
            <w:r>
              <w:rPr>
                <w:color w:val="000000" w:themeColor="text1"/>
              </w:rPr>
              <w:t>《排放源统计调查产排污核算方法和系数手册》附表1工业行业产排污系数手册</w:t>
            </w:r>
            <w:r>
              <w:rPr>
                <w:rFonts w:hint="eastAsia"/>
                <w:color w:val="000000" w:themeColor="text1"/>
              </w:rPr>
              <w:t>33-37，431-434机械行业系数手册：14涂装</w:t>
            </w:r>
            <w:r>
              <w:rPr>
                <w:color w:val="000000" w:themeColor="text1"/>
              </w:rPr>
              <w:t>“原料名称生物质-工艺名称</w:t>
            </w:r>
            <w:r>
              <w:rPr>
                <w:rFonts w:hint="eastAsia"/>
                <w:color w:val="000000" w:themeColor="text1"/>
              </w:rPr>
              <w:t>生物质工业炉窑</w:t>
            </w:r>
            <w:r>
              <w:rPr>
                <w:color w:val="000000" w:themeColor="text1"/>
              </w:rPr>
              <w:t>”污染物产污系数</w:t>
            </w:r>
            <w:r>
              <w:rPr>
                <w:rFonts w:hint="eastAsia"/>
                <w:color w:val="000000" w:themeColor="text1"/>
              </w:rPr>
              <w:t>：废气量为</w:t>
            </w:r>
            <w:r>
              <w:rPr>
                <w:rFonts w:hint="eastAsia"/>
                <w:snapToGrid w:val="0"/>
                <w:color w:val="000000" w:themeColor="text1"/>
                <w:kern w:val="0"/>
              </w:rPr>
              <w:t>6240</w:t>
            </w:r>
            <w:r>
              <w:rPr>
                <w:rFonts w:hint="eastAsia"/>
                <w:color w:val="000000" w:themeColor="text1"/>
                <w:kern w:val="0"/>
              </w:rPr>
              <w:t>m</w:t>
            </w:r>
            <w:r>
              <w:rPr>
                <w:rFonts w:hint="eastAsia"/>
                <w:color w:val="000000" w:themeColor="text1"/>
                <w:kern w:val="0"/>
                <w:vertAlign w:val="superscript"/>
              </w:rPr>
              <w:t>3</w:t>
            </w:r>
            <w:r>
              <w:rPr>
                <w:color w:val="000000" w:themeColor="text1"/>
                <w:kern w:val="0"/>
              </w:rPr>
              <w:t>/</w:t>
            </w:r>
            <w:r>
              <w:rPr>
                <w:rFonts w:hint="eastAsia"/>
                <w:color w:val="000000" w:themeColor="text1"/>
                <w:kern w:val="0"/>
              </w:rPr>
              <w:t>t-原料。</w:t>
            </w:r>
          </w:p>
          <w:p w14:paraId="65374DFD">
            <w:pPr>
              <w:pStyle w:val="15"/>
              <w:spacing w:after="0" w:line="360" w:lineRule="auto"/>
              <w:ind w:left="0" w:leftChars="0" w:right="0" w:rightChars="0" w:firstLine="480"/>
              <w:rPr>
                <w:color w:val="000000" w:themeColor="text1"/>
                <w:kern w:val="0"/>
              </w:rPr>
            </w:pPr>
            <w:r>
              <w:rPr>
                <w:rFonts w:hint="eastAsia"/>
                <w:color w:val="000000" w:themeColor="text1"/>
                <w:kern w:val="0"/>
              </w:rPr>
              <w:t>废气量=</w:t>
            </w:r>
            <w:r>
              <w:rPr>
                <w:rFonts w:hint="eastAsia"/>
                <w:color w:val="000000" w:themeColor="text1"/>
              </w:rPr>
              <w:t>328</w:t>
            </w:r>
            <w:r>
              <w:rPr>
                <w:rStyle w:val="27"/>
                <w:b w:val="0"/>
                <w:color w:val="000000" w:themeColor="text1"/>
              </w:rPr>
              <w:t>t/a</w:t>
            </w:r>
            <w:r>
              <w:rPr>
                <w:color w:val="000000" w:themeColor="text1"/>
              </w:rPr>
              <w:t>×</w:t>
            </w:r>
            <w:r>
              <w:rPr>
                <w:rFonts w:hint="eastAsia"/>
                <w:snapToGrid w:val="0"/>
                <w:color w:val="000000" w:themeColor="text1"/>
                <w:kern w:val="0"/>
              </w:rPr>
              <w:t>6240</w:t>
            </w:r>
            <w:r>
              <w:rPr>
                <w:rFonts w:hint="eastAsia"/>
                <w:color w:val="000000" w:themeColor="text1"/>
                <w:kern w:val="0"/>
              </w:rPr>
              <w:t>Nm</w:t>
            </w:r>
            <w:r>
              <w:rPr>
                <w:rFonts w:hint="eastAsia"/>
                <w:color w:val="000000" w:themeColor="text1"/>
                <w:kern w:val="0"/>
                <w:vertAlign w:val="superscript"/>
              </w:rPr>
              <w:t>3</w:t>
            </w:r>
            <w:r>
              <w:rPr>
                <w:color w:val="000000" w:themeColor="text1"/>
                <w:kern w:val="0"/>
              </w:rPr>
              <w:t>/</w:t>
            </w:r>
            <w:r>
              <w:rPr>
                <w:rFonts w:hint="eastAsia"/>
                <w:color w:val="000000" w:themeColor="text1"/>
                <w:kern w:val="0"/>
              </w:rPr>
              <w:t>t-原料=2046720m</w:t>
            </w:r>
            <w:r>
              <w:rPr>
                <w:rFonts w:hint="eastAsia"/>
                <w:color w:val="000000" w:themeColor="text1"/>
                <w:kern w:val="0"/>
                <w:vertAlign w:val="superscript"/>
              </w:rPr>
              <w:t>3</w:t>
            </w:r>
            <w:r>
              <w:rPr>
                <w:rFonts w:hint="eastAsia"/>
                <w:color w:val="000000" w:themeColor="text1"/>
                <w:kern w:val="0"/>
              </w:rPr>
              <w:t>/a。</w:t>
            </w:r>
          </w:p>
          <w:p w14:paraId="0E95D3EF">
            <w:pPr>
              <w:spacing w:line="360" w:lineRule="auto"/>
              <w:ind w:firstLine="480"/>
              <w:rPr>
                <w:color w:val="000000" w:themeColor="text1"/>
              </w:rPr>
            </w:pPr>
            <w:r>
              <w:rPr>
                <w:rFonts w:hint="eastAsia"/>
                <w:color w:val="000000" w:themeColor="text1"/>
              </w:rPr>
              <w:t>由于热风炉燃料燃烧废气包含在烘干废气中，此处不再重复计算颗粒物的总量控制指标。</w:t>
            </w:r>
          </w:p>
          <w:p w14:paraId="4D08AC65">
            <w:pPr>
              <w:spacing w:line="360" w:lineRule="auto"/>
              <w:ind w:firstLine="460"/>
              <w:rPr>
                <w:color w:val="000000" w:themeColor="text1"/>
              </w:rPr>
            </w:pP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rPr>
              <w:t>、</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、汞</w:t>
            </w:r>
            <w:r>
              <w:rPr>
                <w:rFonts w:hint="eastAsia"/>
                <w:color w:val="000000" w:themeColor="text1"/>
              </w:rPr>
              <w:t>有组织排放执行标准分别为</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、300mg/m</w:t>
            </w:r>
            <w:r>
              <w:rPr>
                <w:rFonts w:hint="eastAsia"/>
                <w:color w:val="000000" w:themeColor="text1"/>
                <w:spacing w:val="-5"/>
                <w:vertAlign w:val="superscript"/>
              </w:rPr>
              <w:t>3</w:t>
            </w:r>
            <w:r>
              <w:rPr>
                <w:rFonts w:hint="eastAsia"/>
                <w:color w:val="000000" w:themeColor="text1"/>
              </w:rPr>
              <w:t>、0.010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，则</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rPr>
              <w:t>、</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、汞</w:t>
            </w:r>
            <w:r>
              <w:rPr>
                <w:rFonts w:hint="eastAsia"/>
                <w:color w:val="000000" w:themeColor="text1"/>
              </w:rPr>
              <w:t>总量控制指标为：</w:t>
            </w:r>
          </w:p>
          <w:p w14:paraId="7BE6D4D4">
            <w:pPr>
              <w:pStyle w:val="6"/>
              <w:spacing w:line="360" w:lineRule="auto"/>
              <w:ind w:firstLine="480"/>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snapToGrid w:val="0"/>
                <w:color w:val="000000" w:themeColor="text1"/>
                <w:kern w:val="0"/>
              </w:rPr>
              <w:t>×</w:t>
            </w:r>
            <w:r>
              <w:rPr>
                <w:rFonts w:hint="eastAsia"/>
                <w:color w:val="000000" w:themeColor="text1"/>
              </w:rPr>
              <w:t>200</w:t>
            </w:r>
            <w:r>
              <w:rPr>
                <w:rFonts w:hint="eastAsia"/>
                <w:snapToGrid w:val="0"/>
                <w:color w:val="000000" w:themeColor="text1"/>
                <w:kern w:val="0"/>
              </w:rPr>
              <w:t>mg/m</w:t>
            </w:r>
            <w:r>
              <w:rPr>
                <w:rFonts w:hint="eastAsia"/>
                <w:snapToGrid w:val="0"/>
                <w:color w:val="000000" w:themeColor="text1"/>
                <w:kern w:val="0"/>
                <w:vertAlign w:val="superscript"/>
              </w:rPr>
              <w:t>3</w:t>
            </w:r>
            <w:r>
              <w:rPr>
                <w:snapToGrid w:val="0"/>
                <w:color w:val="000000" w:themeColor="text1"/>
                <w:kern w:val="0"/>
              </w:rPr>
              <w:t>×</w:t>
            </w:r>
            <w:r>
              <w:rPr>
                <w:rFonts w:hint="eastAsia"/>
                <w:snapToGrid w:val="0"/>
                <w:color w:val="000000" w:themeColor="text1"/>
                <w:kern w:val="0"/>
              </w:rPr>
              <w:t>10</w:t>
            </w:r>
            <w:r>
              <w:rPr>
                <w:rFonts w:hint="eastAsia"/>
                <w:snapToGrid w:val="0"/>
                <w:color w:val="000000" w:themeColor="text1"/>
                <w:kern w:val="0"/>
                <w:vertAlign w:val="superscript"/>
              </w:rPr>
              <w:t>-9</w:t>
            </w:r>
            <w:r>
              <w:rPr>
                <w:rFonts w:hint="eastAsia"/>
                <w:snapToGrid w:val="0"/>
                <w:color w:val="000000" w:themeColor="text1"/>
                <w:kern w:val="0"/>
              </w:rPr>
              <w:t>=0.409</w:t>
            </w:r>
            <w:r>
              <w:rPr>
                <w:snapToGrid w:val="0"/>
                <w:color w:val="000000" w:themeColor="text1"/>
                <w:kern w:val="0"/>
              </w:rPr>
              <w:t>t/a</w:t>
            </w:r>
          </w:p>
          <w:p w14:paraId="674C7057">
            <w:pPr>
              <w:pStyle w:val="6"/>
              <w:spacing w:line="360" w:lineRule="auto"/>
              <w:ind w:firstLine="480"/>
              <w:rPr>
                <w:color w:val="000000" w:themeColor="text1"/>
              </w:rPr>
            </w:pPr>
            <w:r>
              <w:rPr>
                <w:rFonts w:hint="eastAsia"/>
                <w:color w:val="000000" w:themeColor="text1"/>
              </w:rPr>
              <w:t>NO</w:t>
            </w:r>
            <w:r>
              <w:rPr>
                <w:rFonts w:hint="eastAsia"/>
                <w:color w:val="000000" w:themeColor="text1"/>
                <w:vertAlign w:val="subscript"/>
              </w:rPr>
              <w:t>X</w:t>
            </w:r>
            <w:r>
              <w:rPr>
                <w:rFonts w:hint="eastAsia"/>
                <w:color w:val="000000" w:themeColor="text1"/>
              </w:rPr>
              <w:t>：</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snapToGrid w:val="0"/>
                <w:color w:val="000000" w:themeColor="text1"/>
                <w:kern w:val="0"/>
              </w:rPr>
              <w:t>×</w:t>
            </w:r>
            <w:r>
              <w:rPr>
                <w:rFonts w:hint="eastAsia"/>
                <w:color w:val="000000" w:themeColor="text1"/>
              </w:rPr>
              <w:t>300</w:t>
            </w:r>
            <w:r>
              <w:rPr>
                <w:rFonts w:hint="eastAsia"/>
                <w:snapToGrid w:val="0"/>
                <w:color w:val="000000" w:themeColor="text1"/>
                <w:kern w:val="0"/>
              </w:rPr>
              <w:t>mg/m</w:t>
            </w:r>
            <w:r>
              <w:rPr>
                <w:rFonts w:hint="eastAsia"/>
                <w:snapToGrid w:val="0"/>
                <w:color w:val="000000" w:themeColor="text1"/>
                <w:kern w:val="0"/>
                <w:vertAlign w:val="superscript"/>
              </w:rPr>
              <w:t>3</w:t>
            </w:r>
            <w:r>
              <w:rPr>
                <w:snapToGrid w:val="0"/>
                <w:color w:val="000000" w:themeColor="text1"/>
                <w:kern w:val="0"/>
              </w:rPr>
              <w:t>×</w:t>
            </w:r>
            <w:r>
              <w:rPr>
                <w:rFonts w:hint="eastAsia"/>
                <w:snapToGrid w:val="0"/>
                <w:color w:val="000000" w:themeColor="text1"/>
                <w:kern w:val="0"/>
              </w:rPr>
              <w:t>10</w:t>
            </w:r>
            <w:r>
              <w:rPr>
                <w:rFonts w:hint="eastAsia"/>
                <w:snapToGrid w:val="0"/>
                <w:color w:val="000000" w:themeColor="text1"/>
                <w:kern w:val="0"/>
                <w:vertAlign w:val="superscript"/>
              </w:rPr>
              <w:t>-9</w:t>
            </w:r>
            <w:r>
              <w:rPr>
                <w:rFonts w:hint="eastAsia"/>
                <w:snapToGrid w:val="0"/>
                <w:color w:val="000000" w:themeColor="text1"/>
                <w:kern w:val="0"/>
              </w:rPr>
              <w:t>=0.614</w:t>
            </w:r>
            <w:r>
              <w:rPr>
                <w:snapToGrid w:val="0"/>
                <w:color w:val="000000" w:themeColor="text1"/>
                <w:kern w:val="0"/>
              </w:rPr>
              <w:t>t/a</w:t>
            </w:r>
          </w:p>
          <w:p w14:paraId="7F728E85">
            <w:pPr>
              <w:ind w:firstLine="480"/>
              <w:rPr>
                <w:color w:val="000000" w:themeColor="text1"/>
              </w:rPr>
            </w:pPr>
            <w:r>
              <w:rPr>
                <w:rFonts w:hint="eastAsia"/>
                <w:color w:val="000000" w:themeColor="text1"/>
              </w:rPr>
              <w:t>汞：</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snapToGrid w:val="0"/>
                <w:color w:val="000000" w:themeColor="text1"/>
                <w:kern w:val="0"/>
              </w:rPr>
              <w:t>×</w:t>
            </w:r>
            <w:r>
              <w:rPr>
                <w:rFonts w:hint="eastAsia"/>
                <w:color w:val="000000" w:themeColor="text1"/>
              </w:rPr>
              <w:t>0.010</w:t>
            </w:r>
            <w:r>
              <w:rPr>
                <w:rFonts w:hint="eastAsia"/>
                <w:snapToGrid w:val="0"/>
                <w:color w:val="000000" w:themeColor="text1"/>
                <w:kern w:val="0"/>
              </w:rPr>
              <w:t>mg/m</w:t>
            </w:r>
            <w:r>
              <w:rPr>
                <w:rFonts w:hint="eastAsia"/>
                <w:snapToGrid w:val="0"/>
                <w:color w:val="000000" w:themeColor="text1"/>
                <w:kern w:val="0"/>
                <w:vertAlign w:val="superscript"/>
              </w:rPr>
              <w:t>3</w:t>
            </w:r>
            <w:r>
              <w:rPr>
                <w:snapToGrid w:val="0"/>
                <w:color w:val="000000" w:themeColor="text1"/>
                <w:kern w:val="0"/>
              </w:rPr>
              <w:t>×</w:t>
            </w:r>
            <w:r>
              <w:rPr>
                <w:rFonts w:hint="eastAsia"/>
                <w:snapToGrid w:val="0"/>
                <w:color w:val="000000" w:themeColor="text1"/>
                <w:kern w:val="0"/>
              </w:rPr>
              <w:t>10</w:t>
            </w:r>
            <w:r>
              <w:rPr>
                <w:rFonts w:hint="eastAsia"/>
                <w:snapToGrid w:val="0"/>
                <w:color w:val="000000" w:themeColor="text1"/>
                <w:kern w:val="0"/>
                <w:vertAlign w:val="superscript"/>
              </w:rPr>
              <w:t>-9</w:t>
            </w:r>
            <w:r>
              <w:rPr>
                <w:rFonts w:hint="eastAsia"/>
                <w:snapToGrid w:val="0"/>
                <w:color w:val="000000" w:themeColor="text1"/>
                <w:kern w:val="0"/>
              </w:rPr>
              <w:t>=2.047</w:t>
            </w:r>
            <w:r>
              <w:rPr>
                <w:color w:val="000000" w:themeColor="text1"/>
              </w:rPr>
              <w:t>×</w:t>
            </w:r>
            <w:r>
              <w:rPr>
                <w:rFonts w:hint="eastAsia"/>
                <w:color w:val="000000" w:themeColor="text1"/>
              </w:rPr>
              <w:t>10</w:t>
            </w:r>
            <w:r>
              <w:rPr>
                <w:rFonts w:hint="eastAsia"/>
                <w:color w:val="000000" w:themeColor="text1"/>
                <w:vertAlign w:val="superscript"/>
              </w:rPr>
              <w:t>-5</w:t>
            </w:r>
            <w:r>
              <w:rPr>
                <w:snapToGrid w:val="0"/>
                <w:color w:val="000000" w:themeColor="text1"/>
                <w:kern w:val="0"/>
              </w:rPr>
              <w:t>t/a</w:t>
            </w:r>
          </w:p>
          <w:p w14:paraId="781F85EA">
            <w:pPr>
              <w:ind w:firstLine="480"/>
              <w:rPr>
                <w:color w:val="000000" w:themeColor="text1"/>
              </w:rPr>
            </w:pPr>
            <w:r>
              <w:rPr>
                <w:rFonts w:hint="eastAsia"/>
                <w:color w:val="000000" w:themeColor="text1"/>
              </w:rPr>
              <w:t>（3）其他污染物</w:t>
            </w:r>
          </w:p>
          <w:p w14:paraId="0ED01846">
            <w:pPr>
              <w:ind w:firstLine="480"/>
              <w:rPr>
                <w:color w:val="000000" w:themeColor="text1"/>
              </w:rPr>
            </w:pPr>
            <w:r>
              <w:rPr>
                <w:rFonts w:hint="eastAsia"/>
                <w:color w:val="000000" w:themeColor="text1"/>
              </w:rPr>
              <w:t>本项目其他污染物为颗粒物，根据排放标准和废气量核算总量控制指标。</w:t>
            </w:r>
          </w:p>
          <w:p w14:paraId="55F36917">
            <w:pPr>
              <w:ind w:firstLine="480"/>
              <w:rPr>
                <w:color w:val="000000" w:themeColor="text1"/>
              </w:rPr>
            </w:pPr>
            <w:r>
              <w:rPr>
                <w:rFonts w:hint="eastAsia"/>
                <w:color w:val="000000" w:themeColor="text1"/>
              </w:rPr>
              <w:t>本项目有组织废气为</w:t>
            </w:r>
            <w:r>
              <w:rPr>
                <w:color w:val="000000" w:themeColor="text1"/>
              </w:rPr>
              <w:t>烘干废气</w:t>
            </w:r>
            <w:r>
              <w:rPr>
                <w:rFonts w:hint="eastAsia"/>
                <w:color w:val="000000" w:themeColor="text1"/>
              </w:rPr>
              <w:t>、中转仓落料及入料、制粒、筛分及筛下料落料、成品网状料仓入料及冷却、成品皮带输送机落料、打包机包装废气。</w:t>
            </w:r>
          </w:p>
          <w:p w14:paraId="1FE094DC">
            <w:pPr>
              <w:ind w:firstLine="480"/>
              <w:rPr>
                <w:color w:val="000000" w:themeColor="text1"/>
              </w:rPr>
            </w:pPr>
            <w:r>
              <w:rPr>
                <w:color w:val="000000" w:themeColor="text1"/>
              </w:rPr>
              <w:t>烘干废气</w:t>
            </w:r>
            <w:r>
              <w:rPr>
                <w:rFonts w:hint="eastAsia"/>
                <w:color w:val="000000" w:themeColor="text1"/>
              </w:rPr>
              <w:t>经“沙克龙除尘器+布袋除尘器”（风机风量20000m</w:t>
            </w:r>
            <w:r>
              <w:rPr>
                <w:rFonts w:hint="eastAsia"/>
                <w:color w:val="000000" w:themeColor="text1"/>
                <w:vertAlign w:val="superscript"/>
              </w:rPr>
              <w:t>3</w:t>
            </w:r>
            <w:r>
              <w:rPr>
                <w:rFonts w:hint="eastAsia"/>
                <w:color w:val="000000" w:themeColor="text1"/>
              </w:rPr>
              <w:t>/h）处理后由1根15m高排气筒排放。制粒废气经生物质颗粒机自带的旋风除尘器预处理后，同中转仓落料及入料、筛分及筛下料落料、成品网状料仓入料及冷却、成品皮带输送机落料、打包机包装废气共用1台布袋除尘器（风机风量35000m</w:t>
            </w:r>
            <w:r>
              <w:rPr>
                <w:rFonts w:hint="eastAsia"/>
                <w:color w:val="000000" w:themeColor="text1"/>
                <w:vertAlign w:val="superscript"/>
              </w:rPr>
              <w:t>3</w:t>
            </w:r>
            <w:r>
              <w:rPr>
                <w:rFonts w:hint="eastAsia"/>
                <w:color w:val="000000" w:themeColor="text1"/>
              </w:rPr>
              <w:t>/h）处理后由1根15m高排气筒排放。</w:t>
            </w:r>
          </w:p>
          <w:p w14:paraId="1AFE30A9">
            <w:pPr>
              <w:ind w:firstLine="480"/>
              <w:rPr>
                <w:color w:val="000000" w:themeColor="text1"/>
              </w:rPr>
            </w:pPr>
            <w:r>
              <w:rPr>
                <w:rFonts w:hint="eastAsia"/>
                <w:color w:val="000000" w:themeColor="text1"/>
              </w:rPr>
              <w:t>烘干工序工作时间为1800h/a，烘干废气颗粒物有组织排放执行标准为</w:t>
            </w:r>
            <w:r>
              <w:rPr>
                <w:rFonts w:hint="eastAsia"/>
                <w:color w:val="000000" w:themeColor="text1"/>
                <w:spacing w:val="-5"/>
              </w:rPr>
              <w:t>30mg/m</w:t>
            </w:r>
            <w:r>
              <w:rPr>
                <w:rFonts w:hint="eastAsia"/>
                <w:color w:val="000000" w:themeColor="text1"/>
                <w:spacing w:val="-5"/>
                <w:vertAlign w:val="superscript"/>
              </w:rPr>
              <w:t>3</w:t>
            </w:r>
            <w:r>
              <w:rPr>
                <w:rFonts w:hint="eastAsia"/>
                <w:color w:val="000000" w:themeColor="text1"/>
              </w:rPr>
              <w:t>；中转仓落料及入料、制粒、筛分及筛下料落料、成品网状料仓入料及冷却、成品皮带输送机落料、打包机包装工序最高工作</w:t>
            </w:r>
            <w:r>
              <w:rPr>
                <w:rFonts w:hint="eastAsia"/>
                <w:color w:val="000000" w:themeColor="text1"/>
                <w:spacing w:val="-3"/>
              </w:rPr>
              <w:t>时间为</w:t>
            </w:r>
            <w:r>
              <w:rPr>
                <w:rFonts w:hint="eastAsia"/>
                <w:color w:val="000000" w:themeColor="text1"/>
              </w:rPr>
              <w:t>1600h/a</w:t>
            </w:r>
            <w:r>
              <w:rPr>
                <w:rFonts w:hint="eastAsia"/>
                <w:color w:val="000000" w:themeColor="text1"/>
                <w:spacing w:val="-3"/>
              </w:rPr>
              <w:t>，</w:t>
            </w:r>
            <w:r>
              <w:rPr>
                <w:color w:val="000000" w:themeColor="text1"/>
                <w:spacing w:val="-3"/>
              </w:rPr>
              <w:t>颗粒物有组织排放</w:t>
            </w:r>
            <w:r>
              <w:rPr>
                <w:rFonts w:hint="eastAsia"/>
                <w:color w:val="000000" w:themeColor="text1"/>
                <w:spacing w:val="-3"/>
              </w:rPr>
              <w:t>执行标准为</w:t>
            </w:r>
            <w:r>
              <w:rPr>
                <w:color w:val="000000" w:themeColor="text1"/>
                <w:spacing w:val="-32"/>
              </w:rPr>
              <w:t xml:space="preserve"> </w:t>
            </w:r>
            <w:r>
              <w:rPr>
                <w:rFonts w:eastAsia="Times New Roman"/>
                <w:color w:val="000000" w:themeColor="text1"/>
                <w:spacing w:val="-3"/>
              </w:rPr>
              <w:t>1</w:t>
            </w:r>
            <w:r>
              <w:rPr>
                <w:rFonts w:hint="eastAsia"/>
                <w:color w:val="000000" w:themeColor="text1"/>
                <w:spacing w:val="-3"/>
              </w:rPr>
              <w:t>2</w:t>
            </w:r>
            <w:r>
              <w:rPr>
                <w:rFonts w:eastAsia="Times New Roman"/>
                <w:color w:val="000000" w:themeColor="text1"/>
                <w:spacing w:val="-3"/>
              </w:rPr>
              <w:t>0mg/m</w:t>
            </w:r>
            <w:r>
              <w:rPr>
                <w:rFonts w:eastAsia="Times New Roman"/>
                <w:color w:val="000000" w:themeColor="text1"/>
                <w:spacing w:val="-3"/>
                <w:position w:val="8"/>
                <w:sz w:val="15"/>
                <w:szCs w:val="15"/>
              </w:rPr>
              <w:t>3</w:t>
            </w:r>
            <w:r>
              <w:rPr>
                <w:rFonts w:eastAsia="Times New Roman"/>
                <w:color w:val="000000" w:themeColor="text1"/>
                <w:spacing w:val="-9"/>
                <w:position w:val="8"/>
                <w:sz w:val="15"/>
                <w:szCs w:val="15"/>
              </w:rPr>
              <w:t xml:space="preserve"> </w:t>
            </w:r>
            <w:r>
              <w:rPr>
                <w:rFonts w:hint="eastAsia"/>
                <w:color w:val="000000" w:themeColor="text1"/>
                <w:spacing w:val="-3"/>
              </w:rPr>
              <w:t>、</w:t>
            </w:r>
            <w:r>
              <w:rPr>
                <w:rFonts w:hint="eastAsia"/>
                <w:color w:val="000000" w:themeColor="text1"/>
              </w:rPr>
              <w:t>排放速率3.5kg/h</w:t>
            </w:r>
            <w:r>
              <w:rPr>
                <w:rFonts w:hint="eastAsia"/>
                <w:color w:val="000000" w:themeColor="text1"/>
                <w:spacing w:val="-3"/>
              </w:rPr>
              <w:t>，则</w:t>
            </w:r>
            <w:r>
              <w:rPr>
                <w:rFonts w:hint="eastAsia"/>
                <w:color w:val="000000" w:themeColor="text1"/>
                <w:kern w:val="0"/>
                <w:szCs w:val="21"/>
              </w:rPr>
              <w:t>颗粒物的总量控制指标为：</w:t>
            </w:r>
          </w:p>
          <w:p w14:paraId="2F6DDAF5">
            <w:pPr>
              <w:spacing w:line="360" w:lineRule="auto"/>
              <w:ind w:firstLine="480"/>
              <w:rPr>
                <w:snapToGrid w:val="0"/>
                <w:color w:val="000000" w:themeColor="text1"/>
                <w:kern w:val="0"/>
                <w:vertAlign w:val="superscript"/>
              </w:rPr>
            </w:pPr>
            <w:r>
              <w:rPr>
                <w:rFonts w:hint="eastAsia"/>
                <w:snapToGrid w:val="0"/>
                <w:color w:val="000000" w:themeColor="text1"/>
                <w:kern w:val="0"/>
              </w:rPr>
              <w:t>20000m</w:t>
            </w:r>
            <w:r>
              <w:rPr>
                <w:rFonts w:hint="eastAsia"/>
                <w:snapToGrid w:val="0"/>
                <w:color w:val="000000" w:themeColor="text1"/>
                <w:kern w:val="0"/>
                <w:vertAlign w:val="superscript"/>
              </w:rPr>
              <w:t>3</w:t>
            </w:r>
            <w:r>
              <w:rPr>
                <w:rFonts w:hint="eastAsia"/>
                <w:snapToGrid w:val="0"/>
                <w:color w:val="000000" w:themeColor="text1"/>
                <w:kern w:val="0"/>
              </w:rPr>
              <w:t>/h</w:t>
            </w:r>
            <w:r>
              <w:rPr>
                <w:snapToGrid w:val="0"/>
                <w:color w:val="000000" w:themeColor="text1"/>
                <w:kern w:val="0"/>
              </w:rPr>
              <w:t>×</w:t>
            </w:r>
            <w:r>
              <w:rPr>
                <w:rFonts w:hint="eastAsia"/>
                <w:color w:val="000000" w:themeColor="text1"/>
              </w:rPr>
              <w:t>1800h/a</w:t>
            </w:r>
            <w:r>
              <w:rPr>
                <w:snapToGrid w:val="0"/>
                <w:color w:val="000000" w:themeColor="text1"/>
                <w:kern w:val="0"/>
              </w:rPr>
              <w:t>×</w:t>
            </w:r>
            <w:r>
              <w:rPr>
                <w:rFonts w:hint="eastAsia"/>
                <w:snapToGrid w:val="0"/>
                <w:color w:val="000000" w:themeColor="text1"/>
                <w:kern w:val="0"/>
              </w:rPr>
              <w:t>30mg/m</w:t>
            </w:r>
            <w:r>
              <w:rPr>
                <w:rFonts w:hint="eastAsia"/>
                <w:snapToGrid w:val="0"/>
                <w:color w:val="000000" w:themeColor="text1"/>
                <w:kern w:val="0"/>
                <w:vertAlign w:val="superscript"/>
              </w:rPr>
              <w:t>3</w:t>
            </w:r>
            <w:r>
              <w:rPr>
                <w:snapToGrid w:val="0"/>
                <w:color w:val="000000" w:themeColor="text1"/>
                <w:kern w:val="0"/>
              </w:rPr>
              <w:t>×10</w:t>
            </w:r>
            <w:r>
              <w:rPr>
                <w:snapToGrid w:val="0"/>
                <w:color w:val="000000" w:themeColor="text1"/>
                <w:kern w:val="0"/>
                <w:vertAlign w:val="superscript"/>
              </w:rPr>
              <w:t>-9</w:t>
            </w:r>
            <w:r>
              <w:rPr>
                <w:rFonts w:hint="eastAsia"/>
                <w:snapToGrid w:val="0"/>
                <w:color w:val="000000" w:themeColor="text1"/>
                <w:kern w:val="0"/>
              </w:rPr>
              <w:t>+</w:t>
            </w:r>
            <w:r>
              <w:rPr>
                <w:rFonts w:hint="eastAsia"/>
                <w:color w:val="000000" w:themeColor="text1"/>
              </w:rPr>
              <w:t>3.5kg/h</w:t>
            </w:r>
            <w:r>
              <w:rPr>
                <w:snapToGrid w:val="0"/>
                <w:color w:val="000000" w:themeColor="text1"/>
                <w:kern w:val="0"/>
              </w:rPr>
              <w:t>×</w:t>
            </w:r>
            <w:r>
              <w:rPr>
                <w:rFonts w:hint="eastAsia"/>
                <w:color w:val="000000" w:themeColor="text1"/>
              </w:rPr>
              <w:t>1600h/a</w:t>
            </w:r>
            <w:r>
              <w:rPr>
                <w:snapToGrid w:val="0"/>
                <w:color w:val="000000" w:themeColor="text1"/>
                <w:kern w:val="0"/>
              </w:rPr>
              <w:t>×10</w:t>
            </w:r>
            <w:r>
              <w:rPr>
                <w:snapToGrid w:val="0"/>
                <w:color w:val="000000" w:themeColor="text1"/>
                <w:kern w:val="0"/>
                <w:vertAlign w:val="superscript"/>
              </w:rPr>
              <w:t>-</w:t>
            </w:r>
            <w:r>
              <w:rPr>
                <w:rFonts w:hint="eastAsia"/>
                <w:snapToGrid w:val="0"/>
                <w:color w:val="000000" w:themeColor="text1"/>
                <w:kern w:val="0"/>
                <w:vertAlign w:val="superscript"/>
              </w:rPr>
              <w:t>3</w:t>
            </w:r>
          </w:p>
          <w:p w14:paraId="424C5242">
            <w:pPr>
              <w:spacing w:line="360" w:lineRule="auto"/>
              <w:ind w:firstLine="0" w:firstLineChars="0"/>
              <w:rPr>
                <w:snapToGrid w:val="0"/>
                <w:color w:val="000000" w:themeColor="text1"/>
                <w:kern w:val="0"/>
              </w:rPr>
            </w:pPr>
            <w:r>
              <w:rPr>
                <w:snapToGrid w:val="0"/>
                <w:color w:val="000000" w:themeColor="text1"/>
                <w:kern w:val="0"/>
              </w:rPr>
              <w:t>=</w:t>
            </w:r>
            <w:r>
              <w:rPr>
                <w:rFonts w:hint="eastAsia"/>
                <w:snapToGrid w:val="0"/>
                <w:color w:val="000000" w:themeColor="text1"/>
                <w:kern w:val="0"/>
              </w:rPr>
              <w:t>6.680t/a</w:t>
            </w:r>
          </w:p>
          <w:p w14:paraId="0EB78F59">
            <w:pPr>
              <w:pStyle w:val="6"/>
              <w:spacing w:line="360" w:lineRule="auto"/>
              <w:ind w:firstLine="480"/>
              <w:rPr>
                <w:snapToGrid w:val="0"/>
                <w:color w:val="000000" w:themeColor="text1"/>
                <w:kern w:val="0"/>
              </w:rPr>
            </w:pPr>
            <w:r>
              <w:rPr>
                <w:rFonts w:hint="eastAsia"/>
                <w:snapToGrid w:val="0"/>
                <w:color w:val="000000" w:themeColor="text1"/>
                <w:kern w:val="0"/>
              </w:rPr>
              <w:t>综上所述，本项目总量控制</w:t>
            </w:r>
            <w:r>
              <w:rPr>
                <w:rFonts w:hint="eastAsia"/>
                <w:color w:val="000000" w:themeColor="text1"/>
              </w:rPr>
              <w:t>指标为：COD：0</w:t>
            </w:r>
            <w:r>
              <w:rPr>
                <w:rFonts w:hint="eastAsia"/>
                <w:snapToGrid w:val="0"/>
                <w:color w:val="000000" w:themeColor="text1"/>
                <w:kern w:val="0"/>
              </w:rPr>
              <w:t>t/a</w:t>
            </w:r>
            <w:r>
              <w:rPr>
                <w:rFonts w:hint="eastAsia"/>
                <w:color w:val="000000" w:themeColor="text1"/>
              </w:rPr>
              <w:t>、</w:t>
            </w:r>
            <w:r>
              <w:rPr>
                <w:rFonts w:hint="eastAsia"/>
                <w:snapToGrid w:val="0"/>
                <w:color w:val="000000" w:themeColor="text1"/>
                <w:kern w:val="0"/>
              </w:rPr>
              <w:t>氨氮</w:t>
            </w:r>
            <w:r>
              <w:rPr>
                <w:rFonts w:hint="eastAsia"/>
                <w:color w:val="000000" w:themeColor="text1"/>
              </w:rPr>
              <w:t>：0</w:t>
            </w:r>
            <w:r>
              <w:rPr>
                <w:rFonts w:hint="eastAsia"/>
                <w:snapToGrid w:val="0"/>
                <w:color w:val="000000" w:themeColor="text1"/>
                <w:kern w:val="0"/>
              </w:rPr>
              <w:t>t/a、总氮</w:t>
            </w:r>
            <w:r>
              <w:rPr>
                <w:rFonts w:hint="eastAsia"/>
                <w:color w:val="000000" w:themeColor="text1"/>
              </w:rPr>
              <w:t>：0</w:t>
            </w:r>
            <w:r>
              <w:rPr>
                <w:rFonts w:hint="eastAsia"/>
                <w:snapToGrid w:val="0"/>
                <w:color w:val="000000" w:themeColor="text1"/>
                <w:kern w:val="0"/>
              </w:rPr>
              <w:t>t/a、</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snapToGrid w:val="0"/>
                <w:color w:val="000000" w:themeColor="text1"/>
                <w:kern w:val="0"/>
              </w:rPr>
              <w:t>0.409</w:t>
            </w:r>
            <w:r>
              <w:rPr>
                <w:snapToGrid w:val="0"/>
                <w:color w:val="000000" w:themeColor="text1"/>
                <w:kern w:val="0"/>
              </w:rPr>
              <w:t>t/a</w:t>
            </w:r>
            <w:r>
              <w:rPr>
                <w:rFonts w:hint="eastAsia"/>
                <w:color w:val="000000" w:themeColor="text1"/>
              </w:rPr>
              <w:t>、NO</w:t>
            </w:r>
            <w:r>
              <w:rPr>
                <w:rFonts w:hint="eastAsia"/>
                <w:color w:val="000000" w:themeColor="text1"/>
                <w:vertAlign w:val="subscript"/>
              </w:rPr>
              <w:t>X</w:t>
            </w:r>
            <w:r>
              <w:rPr>
                <w:rFonts w:hint="eastAsia"/>
                <w:color w:val="000000" w:themeColor="text1"/>
              </w:rPr>
              <w:t>：</w:t>
            </w:r>
            <w:r>
              <w:rPr>
                <w:rFonts w:hint="eastAsia"/>
                <w:snapToGrid w:val="0"/>
                <w:color w:val="000000" w:themeColor="text1"/>
                <w:kern w:val="0"/>
              </w:rPr>
              <w:t>0.614</w:t>
            </w:r>
            <w:r>
              <w:rPr>
                <w:snapToGrid w:val="0"/>
                <w:color w:val="000000" w:themeColor="text1"/>
                <w:kern w:val="0"/>
              </w:rPr>
              <w:t>t/a</w:t>
            </w:r>
            <w:r>
              <w:rPr>
                <w:rFonts w:hint="eastAsia"/>
                <w:color w:val="000000" w:themeColor="text1"/>
              </w:rPr>
              <w:t>、颗粒物：6.680</w:t>
            </w:r>
            <w:r>
              <w:rPr>
                <w:rFonts w:hint="eastAsia"/>
                <w:snapToGrid w:val="0"/>
                <w:color w:val="000000" w:themeColor="text1"/>
                <w:kern w:val="0"/>
              </w:rPr>
              <w:t>t/a、汞：2.047</w:t>
            </w:r>
            <w:r>
              <w:rPr>
                <w:color w:val="000000" w:themeColor="text1"/>
              </w:rPr>
              <w:t>×</w:t>
            </w:r>
            <w:r>
              <w:rPr>
                <w:rFonts w:hint="eastAsia"/>
                <w:color w:val="000000" w:themeColor="text1"/>
              </w:rPr>
              <w:t>10</w:t>
            </w:r>
            <w:r>
              <w:rPr>
                <w:rFonts w:hint="eastAsia"/>
                <w:color w:val="000000" w:themeColor="text1"/>
                <w:vertAlign w:val="superscript"/>
              </w:rPr>
              <w:t>-5</w:t>
            </w:r>
            <w:r>
              <w:rPr>
                <w:snapToGrid w:val="0"/>
                <w:color w:val="000000" w:themeColor="text1"/>
                <w:kern w:val="0"/>
              </w:rPr>
              <w:t>t/a</w:t>
            </w:r>
            <w:r>
              <w:rPr>
                <w:rFonts w:hint="eastAsia"/>
                <w:snapToGrid w:val="0"/>
                <w:color w:val="000000" w:themeColor="text1"/>
                <w:kern w:val="0"/>
              </w:rPr>
              <w:t>。</w:t>
            </w:r>
          </w:p>
          <w:p w14:paraId="55177171">
            <w:pPr>
              <w:pStyle w:val="6"/>
              <w:spacing w:line="360" w:lineRule="auto"/>
              <w:ind w:firstLine="480"/>
              <w:rPr>
                <w:snapToGrid w:val="0"/>
                <w:color w:val="000000" w:themeColor="text1"/>
                <w:kern w:val="0"/>
              </w:rPr>
            </w:pPr>
          </w:p>
          <w:p w14:paraId="025475FE">
            <w:pPr>
              <w:pStyle w:val="6"/>
              <w:spacing w:line="360" w:lineRule="auto"/>
              <w:ind w:firstLine="480"/>
              <w:rPr>
                <w:snapToGrid w:val="0"/>
                <w:color w:val="000000" w:themeColor="text1"/>
                <w:kern w:val="0"/>
              </w:rPr>
            </w:pPr>
          </w:p>
          <w:p w14:paraId="0863C438">
            <w:pPr>
              <w:pStyle w:val="6"/>
              <w:spacing w:line="360" w:lineRule="auto"/>
              <w:ind w:firstLine="480"/>
              <w:rPr>
                <w:snapToGrid w:val="0"/>
                <w:color w:val="000000" w:themeColor="text1"/>
                <w:kern w:val="0"/>
              </w:rPr>
            </w:pPr>
          </w:p>
          <w:p w14:paraId="4652F123">
            <w:pPr>
              <w:pStyle w:val="6"/>
              <w:spacing w:line="360" w:lineRule="auto"/>
              <w:ind w:firstLine="480"/>
              <w:rPr>
                <w:snapToGrid w:val="0"/>
                <w:color w:val="000000" w:themeColor="text1"/>
                <w:kern w:val="0"/>
              </w:rPr>
            </w:pPr>
          </w:p>
          <w:p w14:paraId="1E6767F5">
            <w:pPr>
              <w:pStyle w:val="6"/>
              <w:spacing w:line="360" w:lineRule="auto"/>
              <w:ind w:firstLine="480"/>
              <w:rPr>
                <w:snapToGrid w:val="0"/>
                <w:color w:val="000000" w:themeColor="text1"/>
                <w:kern w:val="0"/>
              </w:rPr>
            </w:pPr>
          </w:p>
          <w:p w14:paraId="70D06848">
            <w:pPr>
              <w:pStyle w:val="6"/>
              <w:spacing w:line="360" w:lineRule="auto"/>
              <w:ind w:firstLine="480"/>
              <w:rPr>
                <w:snapToGrid w:val="0"/>
                <w:color w:val="000000" w:themeColor="text1"/>
                <w:kern w:val="0"/>
              </w:rPr>
            </w:pPr>
          </w:p>
          <w:p w14:paraId="4382D027">
            <w:pPr>
              <w:pStyle w:val="6"/>
              <w:spacing w:line="360" w:lineRule="auto"/>
              <w:ind w:firstLine="480"/>
              <w:rPr>
                <w:snapToGrid w:val="0"/>
                <w:color w:val="000000" w:themeColor="text1"/>
                <w:kern w:val="0"/>
              </w:rPr>
            </w:pPr>
          </w:p>
          <w:p w14:paraId="035B88E8">
            <w:pPr>
              <w:pStyle w:val="6"/>
              <w:spacing w:line="360" w:lineRule="auto"/>
              <w:ind w:firstLine="480"/>
              <w:rPr>
                <w:snapToGrid w:val="0"/>
                <w:color w:val="000000" w:themeColor="text1"/>
                <w:kern w:val="0"/>
              </w:rPr>
            </w:pPr>
          </w:p>
          <w:p w14:paraId="586DEA17">
            <w:pPr>
              <w:pStyle w:val="6"/>
              <w:spacing w:line="360" w:lineRule="auto"/>
              <w:ind w:firstLine="480"/>
              <w:rPr>
                <w:snapToGrid w:val="0"/>
                <w:color w:val="000000" w:themeColor="text1"/>
                <w:kern w:val="0"/>
              </w:rPr>
            </w:pPr>
          </w:p>
          <w:p w14:paraId="0E7B8467">
            <w:pPr>
              <w:pStyle w:val="6"/>
              <w:spacing w:line="360" w:lineRule="auto"/>
              <w:ind w:firstLine="0" w:firstLineChars="0"/>
              <w:rPr>
                <w:snapToGrid w:val="0"/>
                <w:color w:val="000000" w:themeColor="text1"/>
                <w:kern w:val="0"/>
              </w:rPr>
            </w:pPr>
          </w:p>
          <w:p w14:paraId="4C05C7EB">
            <w:pPr>
              <w:wordWrap w:val="0"/>
              <w:spacing w:line="20" w:lineRule="exact"/>
              <w:ind w:firstLine="0" w:firstLineChars="0"/>
              <w:rPr>
                <w:color w:val="000000" w:themeColor="text1"/>
              </w:rPr>
            </w:pPr>
          </w:p>
        </w:tc>
      </w:tr>
    </w:tbl>
    <w:p w14:paraId="5E1C8C2D">
      <w:pPr>
        <w:ind w:firstLine="600"/>
        <w:rPr>
          <w:rFonts w:ascii="黑体" w:hAnsi="黑体" w:eastAsia="黑体"/>
          <w:snapToGrid w:val="0"/>
          <w:color w:val="000000" w:themeColor="text1"/>
          <w:sz w:val="30"/>
          <w:szCs w:val="30"/>
        </w:rPr>
        <w:sectPr>
          <w:pgSz w:w="11906" w:h="16838"/>
          <w:pgMar w:top="1440" w:right="1247" w:bottom="1440" w:left="1417" w:header="851" w:footer="992" w:gutter="0"/>
          <w:cols w:space="425" w:num="1"/>
          <w:docGrid w:type="lines" w:linePitch="312" w:charSpace="0"/>
        </w:sectPr>
      </w:pPr>
    </w:p>
    <w:p w14:paraId="209A091F">
      <w:pPr>
        <w:pStyle w:val="2"/>
        <w:rPr>
          <w:color w:val="000000" w:themeColor="text1"/>
        </w:rPr>
      </w:pPr>
      <w:bookmarkStart w:id="5" w:name="_Toc20846"/>
      <w:r>
        <w:rPr>
          <w:rFonts w:hint="eastAsia"/>
          <w:color w:val="000000" w:themeColor="text1"/>
        </w:rPr>
        <w:t>四、主要环境影响和保护措施</w:t>
      </w:r>
      <w:bookmarkEnd w:id="5"/>
    </w:p>
    <w:tbl>
      <w:tblPr>
        <w:tblStyle w:val="24"/>
        <w:tblW w:w="907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05"/>
        <w:gridCol w:w="8466"/>
      </w:tblGrid>
      <w:tr w14:paraId="70D816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574" w:hRule="atLeast"/>
          <w:jc w:val="center"/>
        </w:trPr>
        <w:tc>
          <w:tcPr>
            <w:tcW w:w="605" w:type="dxa"/>
            <w:tcBorders>
              <w:tl2br w:val="nil"/>
              <w:tr2bl w:val="nil"/>
            </w:tcBorders>
            <w:shd w:val="clear" w:color="auto" w:fill="auto"/>
            <w:tcMar>
              <w:left w:w="28" w:type="dxa"/>
              <w:right w:w="28" w:type="dxa"/>
            </w:tcMar>
            <w:vAlign w:val="center"/>
          </w:tcPr>
          <w:p w14:paraId="0BB7C696">
            <w:pPr>
              <w:pStyle w:val="35"/>
              <w:rPr>
                <w:color w:val="000000" w:themeColor="text1"/>
                <w:sz w:val="24"/>
                <w:szCs w:val="24"/>
              </w:rPr>
            </w:pPr>
            <w:r>
              <w:rPr>
                <w:color w:val="000000" w:themeColor="text1"/>
                <w:sz w:val="24"/>
                <w:szCs w:val="24"/>
              </w:rPr>
              <w:t>施工</w:t>
            </w:r>
          </w:p>
          <w:p w14:paraId="1AA8E702">
            <w:pPr>
              <w:pStyle w:val="35"/>
              <w:rPr>
                <w:color w:val="000000" w:themeColor="text1"/>
                <w:sz w:val="24"/>
                <w:szCs w:val="24"/>
              </w:rPr>
            </w:pPr>
            <w:r>
              <w:rPr>
                <w:color w:val="000000" w:themeColor="text1"/>
                <w:sz w:val="24"/>
                <w:szCs w:val="24"/>
              </w:rPr>
              <w:t>期环</w:t>
            </w:r>
          </w:p>
          <w:p w14:paraId="413F7B25">
            <w:pPr>
              <w:pStyle w:val="35"/>
              <w:rPr>
                <w:color w:val="000000" w:themeColor="text1"/>
                <w:sz w:val="24"/>
                <w:szCs w:val="24"/>
              </w:rPr>
            </w:pPr>
            <w:r>
              <w:rPr>
                <w:color w:val="000000" w:themeColor="text1"/>
                <w:sz w:val="24"/>
                <w:szCs w:val="24"/>
              </w:rPr>
              <w:t>境保</w:t>
            </w:r>
          </w:p>
          <w:p w14:paraId="5AD8A7D5">
            <w:pPr>
              <w:pStyle w:val="35"/>
              <w:rPr>
                <w:color w:val="000000" w:themeColor="text1"/>
                <w:sz w:val="24"/>
                <w:szCs w:val="24"/>
              </w:rPr>
            </w:pPr>
            <w:r>
              <w:rPr>
                <w:color w:val="000000" w:themeColor="text1"/>
                <w:sz w:val="24"/>
                <w:szCs w:val="24"/>
              </w:rPr>
              <w:t>护措</w:t>
            </w:r>
          </w:p>
          <w:p w14:paraId="7B11C49F">
            <w:pPr>
              <w:pStyle w:val="35"/>
              <w:rPr>
                <w:bCs/>
                <w:color w:val="000000" w:themeColor="text1"/>
                <w:kern w:val="2"/>
              </w:rPr>
            </w:pPr>
            <w:r>
              <w:rPr>
                <w:color w:val="000000" w:themeColor="text1"/>
                <w:sz w:val="24"/>
                <w:szCs w:val="24"/>
              </w:rPr>
              <w:t>施</w:t>
            </w:r>
          </w:p>
        </w:tc>
        <w:tc>
          <w:tcPr>
            <w:tcW w:w="8466" w:type="dxa"/>
            <w:tcBorders>
              <w:tl2br w:val="nil"/>
              <w:tr2bl w:val="nil"/>
            </w:tcBorders>
            <w:shd w:val="clear" w:color="auto" w:fill="auto"/>
            <w:vAlign w:val="center"/>
          </w:tcPr>
          <w:p w14:paraId="0E515A4E">
            <w:pPr>
              <w:ind w:firstLine="484"/>
              <w:rPr>
                <w:color w:val="000000" w:themeColor="text1"/>
                <w:spacing w:val="1"/>
              </w:rPr>
            </w:pPr>
            <w:r>
              <w:rPr>
                <w:color w:val="000000" w:themeColor="text1"/>
                <w:spacing w:val="1"/>
              </w:rPr>
              <w:t>本项目租赁现有闲置厂房及堆场建设生产线，无新增建构筑物，无土建施工过程，施工期仅涉及生产设备、设施的安装过程。</w:t>
            </w:r>
          </w:p>
          <w:p w14:paraId="1045AD31">
            <w:pPr>
              <w:ind w:firstLine="484"/>
              <w:rPr>
                <w:color w:val="000000" w:themeColor="text1"/>
                <w:spacing w:val="1"/>
              </w:rPr>
            </w:pPr>
            <w:r>
              <w:rPr>
                <w:color w:val="000000" w:themeColor="text1"/>
                <w:spacing w:val="1"/>
              </w:rPr>
              <w:t>施工期环境影响主要表现为生产设备、设施安装过程产生的噪声以及废包装等固体废物。设备安装过程均在厂房内进行，经过封闭厂房（单层</w:t>
            </w:r>
            <w:r>
              <w:rPr>
                <w:color w:val="000000" w:themeColor="text1"/>
              </w:rPr>
              <w:t>彩钢结构+1m砖混基础墙</w:t>
            </w:r>
            <w:r>
              <w:rPr>
                <w:color w:val="000000" w:themeColor="text1"/>
                <w:spacing w:val="1"/>
              </w:rPr>
              <w:t>）隔声后，噪声对项目所在区域声环境影响较小，且本项目施工期较短，工程量较小，声环境影响会随着施工期的结束而消失。施工期的建筑垃圾不得随意丢弃，应分类进行综合利用和妥善处置；施工人员生活垃圾定时清运至环卫部门指定地点统一处理。</w:t>
            </w:r>
          </w:p>
          <w:p w14:paraId="5433247C">
            <w:pPr>
              <w:ind w:firstLine="480"/>
              <w:rPr>
                <w:color w:val="000000" w:themeColor="text1"/>
              </w:rPr>
            </w:pPr>
            <w:r>
              <w:rPr>
                <w:iCs/>
                <w:color w:val="000000" w:themeColor="text1"/>
              </w:rPr>
              <w:t>本项目厂界外500m范围内无环境</w:t>
            </w:r>
            <w:r>
              <w:rPr>
                <w:color w:val="000000" w:themeColor="text1"/>
                <w:spacing w:val="1"/>
              </w:rPr>
              <w:t>敏感保护目标，采取上述预防措施，施工期基本不会对周边环境造成影响</w:t>
            </w:r>
            <w:r>
              <w:rPr>
                <w:color w:val="000000" w:themeColor="text1"/>
              </w:rPr>
              <w:t>。</w:t>
            </w:r>
          </w:p>
          <w:p w14:paraId="0D1229C4">
            <w:pPr>
              <w:ind w:firstLine="480"/>
              <w:rPr>
                <w:color w:val="000000" w:themeColor="text1"/>
              </w:rPr>
            </w:pPr>
          </w:p>
          <w:p w14:paraId="2D3CE2C4">
            <w:pPr>
              <w:ind w:firstLine="480"/>
              <w:rPr>
                <w:color w:val="000000" w:themeColor="text1"/>
              </w:rPr>
            </w:pPr>
          </w:p>
          <w:p w14:paraId="4F5A1763">
            <w:pPr>
              <w:ind w:firstLine="480"/>
              <w:rPr>
                <w:color w:val="000000" w:themeColor="text1"/>
              </w:rPr>
            </w:pPr>
          </w:p>
          <w:p w14:paraId="340993EB">
            <w:pPr>
              <w:ind w:firstLine="480"/>
              <w:rPr>
                <w:color w:val="000000" w:themeColor="text1"/>
              </w:rPr>
            </w:pPr>
          </w:p>
          <w:p w14:paraId="5468F730">
            <w:pPr>
              <w:ind w:firstLine="480"/>
              <w:rPr>
                <w:color w:val="000000" w:themeColor="text1"/>
              </w:rPr>
            </w:pPr>
          </w:p>
          <w:p w14:paraId="5C8A8434">
            <w:pPr>
              <w:ind w:firstLine="480"/>
              <w:rPr>
                <w:color w:val="000000" w:themeColor="text1"/>
              </w:rPr>
            </w:pPr>
          </w:p>
          <w:p w14:paraId="7D76D3C3">
            <w:pPr>
              <w:ind w:firstLine="480"/>
              <w:rPr>
                <w:color w:val="000000" w:themeColor="text1"/>
              </w:rPr>
            </w:pPr>
          </w:p>
          <w:p w14:paraId="613372A7">
            <w:pPr>
              <w:ind w:firstLine="480"/>
              <w:rPr>
                <w:color w:val="000000" w:themeColor="text1"/>
              </w:rPr>
            </w:pPr>
          </w:p>
          <w:p w14:paraId="19BB78D9">
            <w:pPr>
              <w:ind w:firstLine="480"/>
              <w:rPr>
                <w:color w:val="000000" w:themeColor="text1"/>
              </w:rPr>
            </w:pPr>
          </w:p>
          <w:p w14:paraId="7BCDB224">
            <w:pPr>
              <w:ind w:firstLine="480"/>
              <w:rPr>
                <w:color w:val="000000" w:themeColor="text1"/>
              </w:rPr>
            </w:pPr>
          </w:p>
          <w:p w14:paraId="1521C07D">
            <w:pPr>
              <w:ind w:firstLine="0" w:firstLineChars="0"/>
              <w:rPr>
                <w:color w:val="000000" w:themeColor="text1"/>
              </w:rPr>
            </w:pPr>
          </w:p>
          <w:p w14:paraId="62C3290B">
            <w:pPr>
              <w:ind w:firstLine="480"/>
              <w:rPr>
                <w:color w:val="000000" w:themeColor="text1"/>
              </w:rPr>
            </w:pPr>
          </w:p>
          <w:p w14:paraId="7AFD3AC4">
            <w:pPr>
              <w:ind w:firstLine="480"/>
              <w:rPr>
                <w:color w:val="000000" w:themeColor="text1"/>
              </w:rPr>
            </w:pPr>
          </w:p>
          <w:p w14:paraId="1178A34B">
            <w:pPr>
              <w:ind w:firstLine="480"/>
              <w:rPr>
                <w:color w:val="000000" w:themeColor="text1"/>
              </w:rPr>
            </w:pPr>
          </w:p>
          <w:p w14:paraId="6BB74826">
            <w:pPr>
              <w:ind w:firstLine="480"/>
              <w:rPr>
                <w:color w:val="000000" w:themeColor="text1"/>
              </w:rPr>
            </w:pPr>
          </w:p>
          <w:p w14:paraId="2BBE6608">
            <w:pPr>
              <w:ind w:firstLine="0" w:firstLineChars="0"/>
              <w:rPr>
                <w:color w:val="000000" w:themeColor="text1"/>
              </w:rPr>
            </w:pPr>
          </w:p>
        </w:tc>
      </w:tr>
      <w:tr w14:paraId="4FE36A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574" w:hRule="atLeast"/>
          <w:jc w:val="center"/>
        </w:trPr>
        <w:tc>
          <w:tcPr>
            <w:tcW w:w="605" w:type="dxa"/>
            <w:tcBorders>
              <w:tl2br w:val="nil"/>
              <w:tr2bl w:val="nil"/>
            </w:tcBorders>
            <w:shd w:val="clear" w:color="auto" w:fill="auto"/>
            <w:tcMar>
              <w:left w:w="28" w:type="dxa"/>
              <w:right w:w="28" w:type="dxa"/>
            </w:tcMar>
            <w:vAlign w:val="center"/>
          </w:tcPr>
          <w:p w14:paraId="77642286">
            <w:pPr>
              <w:pStyle w:val="35"/>
              <w:rPr>
                <w:bCs/>
                <w:color w:val="000000" w:themeColor="text1"/>
                <w:kern w:val="2"/>
              </w:rPr>
            </w:pPr>
            <w:r>
              <w:rPr>
                <w:color w:val="000000" w:themeColor="text1"/>
                <w:sz w:val="24"/>
                <w:szCs w:val="24"/>
              </w:rPr>
              <w:t>运营期环境影响和保护措施</w:t>
            </w:r>
          </w:p>
        </w:tc>
        <w:tc>
          <w:tcPr>
            <w:tcW w:w="8466" w:type="dxa"/>
            <w:tcBorders>
              <w:tl2br w:val="nil"/>
              <w:tr2bl w:val="nil"/>
            </w:tcBorders>
            <w:shd w:val="clear" w:color="auto" w:fill="auto"/>
            <w:vAlign w:val="center"/>
          </w:tcPr>
          <w:p w14:paraId="6803C78F">
            <w:pPr>
              <w:spacing w:line="360" w:lineRule="auto"/>
              <w:ind w:firstLine="482"/>
              <w:rPr>
                <w:b/>
                <w:bCs/>
                <w:color w:val="000000" w:themeColor="text1"/>
              </w:rPr>
            </w:pPr>
            <w:r>
              <w:rPr>
                <w:b/>
                <w:bCs/>
                <w:color w:val="000000" w:themeColor="text1"/>
              </w:rPr>
              <w:t>1、废气</w:t>
            </w:r>
          </w:p>
          <w:p w14:paraId="5A373B72">
            <w:pPr>
              <w:adjustRightInd w:val="0"/>
              <w:snapToGrid w:val="0"/>
              <w:spacing w:line="360" w:lineRule="auto"/>
              <w:ind w:firstLine="420" w:firstLineChars="0"/>
              <w:rPr>
                <w:b/>
                <w:color w:val="000000" w:themeColor="text1"/>
              </w:rPr>
            </w:pPr>
            <w:r>
              <w:rPr>
                <w:b/>
                <w:color w:val="000000" w:themeColor="text1"/>
              </w:rPr>
              <w:t>1.1正常工况污染源分析</w:t>
            </w:r>
          </w:p>
          <w:p w14:paraId="691B1BB3">
            <w:pPr>
              <w:spacing w:line="360" w:lineRule="auto"/>
              <w:ind w:firstLine="480"/>
              <w:jc w:val="left"/>
              <w:rPr>
                <w:color w:val="000000" w:themeColor="text1"/>
              </w:rPr>
            </w:pPr>
            <w:r>
              <w:rPr>
                <w:color w:val="000000" w:themeColor="text1"/>
              </w:rPr>
              <w:t>（1）源强核算</w:t>
            </w:r>
          </w:p>
          <w:p w14:paraId="7F39F29E">
            <w:pPr>
              <w:spacing w:line="360" w:lineRule="auto"/>
              <w:ind w:firstLine="480"/>
              <w:jc w:val="left"/>
              <w:rPr>
                <w:color w:val="000000" w:themeColor="text1"/>
              </w:rPr>
            </w:pPr>
            <w:r>
              <w:rPr>
                <w:color w:val="000000" w:themeColor="text1"/>
              </w:rPr>
              <w:t>1）有组织废气源强核算</w:t>
            </w:r>
          </w:p>
          <w:p w14:paraId="6BECCED6">
            <w:pPr>
              <w:spacing w:line="360" w:lineRule="auto"/>
              <w:ind w:firstLine="480"/>
              <w:jc w:val="left"/>
              <w:rPr>
                <w:color w:val="000000" w:themeColor="text1"/>
              </w:rPr>
            </w:pPr>
            <w:r>
              <w:rPr>
                <w:color w:val="000000" w:themeColor="text1"/>
              </w:rPr>
              <w:t>①烘干废气</w:t>
            </w:r>
          </w:p>
          <w:p w14:paraId="20B9DFC7">
            <w:pPr>
              <w:spacing w:line="360" w:lineRule="auto"/>
              <w:ind w:firstLine="480"/>
              <w:jc w:val="left"/>
              <w:rPr>
                <w:color w:val="000000" w:themeColor="text1"/>
              </w:rPr>
            </w:pPr>
            <w:r>
              <w:rPr>
                <w:color w:val="000000" w:themeColor="text1"/>
              </w:rPr>
              <w:t>烘干废气包括热风炉燃料燃烧废气和物料烘干工艺废气。</w:t>
            </w:r>
          </w:p>
          <w:p w14:paraId="4BEA5E61">
            <w:pPr>
              <w:spacing w:line="360" w:lineRule="auto"/>
              <w:ind w:firstLine="480"/>
              <w:jc w:val="left"/>
              <w:rPr>
                <w:color w:val="000000" w:themeColor="text1"/>
              </w:rPr>
            </w:pPr>
            <w:r>
              <w:rPr>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p>
          <w:p w14:paraId="379C7A19">
            <w:pPr>
              <w:spacing w:line="360" w:lineRule="auto"/>
              <w:ind w:firstLine="480"/>
              <w:jc w:val="left"/>
              <w:rPr>
                <w:color w:val="000000" w:themeColor="text1"/>
              </w:rPr>
            </w:pPr>
            <w:r>
              <w:rPr>
                <w:color w:val="000000" w:themeColor="text1"/>
              </w:rPr>
              <w:t>经查阅资料，木材中的硫含量很低，一般在0.01%~0.05%（干燥基，质量百分比）之间，木屑/木材类的生物质中硫主要以有机硫形式存在，少量为无机硫酸盐。本项目生物质原料为原木加工厂产生的原木锯末，热风进口温度为80~1</w:t>
            </w:r>
            <w:r>
              <w:rPr>
                <w:rFonts w:hint="eastAsia"/>
                <w:color w:val="000000" w:themeColor="text1"/>
              </w:rPr>
              <w:t>1</w:t>
            </w:r>
            <w:r>
              <w:rPr>
                <w:color w:val="000000" w:themeColor="text1"/>
              </w:rPr>
              <w:t>0℃，物料</w:t>
            </w:r>
            <w:r>
              <w:rPr>
                <w:rFonts w:hint="eastAsia"/>
                <w:color w:val="000000" w:themeColor="text1"/>
              </w:rPr>
              <w:t>实际</w:t>
            </w:r>
            <w:r>
              <w:rPr>
                <w:color w:val="000000" w:themeColor="text1"/>
              </w:rPr>
              <w:t>温度一般低于热风温度</w:t>
            </w:r>
            <w:r>
              <w:rPr>
                <w:rFonts w:hint="eastAsia"/>
                <w:color w:val="000000" w:themeColor="text1"/>
              </w:rPr>
              <w:t>，</w:t>
            </w:r>
            <w:r>
              <w:rPr>
                <w:color w:val="000000" w:themeColor="text1"/>
              </w:rPr>
              <w:t>而有机硫的分解或氧化需更高温度（﹥200℃），因此，常规烘干中硫化合物挥发或氧化的可能性较低。本项目烘干的主要目的是去除水分，而非热化学分解，因此硫元素大多保留在固体燃料中，后续燃烧时才可能释放。</w:t>
            </w:r>
          </w:p>
          <w:p w14:paraId="3DA04E48">
            <w:pPr>
              <w:spacing w:line="360" w:lineRule="auto"/>
              <w:ind w:firstLine="480"/>
              <w:jc w:val="left"/>
              <w:rPr>
                <w:color w:val="000000" w:themeColor="text1"/>
              </w:rPr>
            </w:pPr>
            <w:r>
              <w:rPr>
                <w:color w:val="000000" w:themeColor="text1"/>
              </w:rPr>
              <w:t>一般情况下，氮氧化物的主要来源为以下几种：热力型NO</w:t>
            </w:r>
            <w:r>
              <w:rPr>
                <w:color w:val="000000" w:themeColor="text1"/>
                <w:vertAlign w:val="subscript"/>
              </w:rPr>
              <w:t>X</w:t>
            </w:r>
            <w:r>
              <w:rPr>
                <w:color w:val="000000" w:themeColor="text1"/>
              </w:rPr>
              <w:t>、快速型NO</w:t>
            </w:r>
            <w:r>
              <w:rPr>
                <w:color w:val="000000" w:themeColor="text1"/>
                <w:vertAlign w:val="subscript"/>
              </w:rPr>
              <w:t>X</w:t>
            </w:r>
            <w:r>
              <w:rPr>
                <w:color w:val="000000" w:themeColor="text1"/>
              </w:rPr>
              <w:t>、燃料型NO</w:t>
            </w:r>
            <w:r>
              <w:rPr>
                <w:color w:val="000000" w:themeColor="text1"/>
                <w:vertAlign w:val="subscript"/>
              </w:rPr>
              <w:t>X</w:t>
            </w:r>
            <w:r>
              <w:rPr>
                <w:color w:val="000000" w:themeColor="text1"/>
              </w:rPr>
              <w:t>等。热力型NO</w:t>
            </w:r>
            <w:r>
              <w:rPr>
                <w:color w:val="000000" w:themeColor="text1"/>
                <w:vertAlign w:val="subscript"/>
              </w:rPr>
              <w:t>X</w:t>
            </w:r>
            <w:r>
              <w:rPr>
                <w:color w:val="000000" w:themeColor="text1"/>
              </w:rPr>
              <w:t>是在高温（通常﹥1200℃）下，氮气（N</w:t>
            </w:r>
            <w:r>
              <w:rPr>
                <w:rFonts w:hint="eastAsia"/>
                <w:color w:val="000000" w:themeColor="text1"/>
                <w:vertAlign w:val="subscript"/>
              </w:rPr>
              <w:t>2</w:t>
            </w:r>
            <w:r>
              <w:rPr>
                <w:color w:val="000000" w:themeColor="text1"/>
              </w:rPr>
              <w:t>）与氧气（O</w:t>
            </w:r>
            <w:r>
              <w:rPr>
                <w:rFonts w:hint="eastAsia"/>
                <w:color w:val="000000" w:themeColor="text1"/>
                <w:vertAlign w:val="subscript"/>
              </w:rPr>
              <w:t>2</w:t>
            </w:r>
            <w:r>
              <w:rPr>
                <w:color w:val="000000" w:themeColor="text1"/>
              </w:rPr>
              <w:t>）反应生成，快速型NO</w:t>
            </w:r>
            <w:r>
              <w:rPr>
                <w:color w:val="000000" w:themeColor="text1"/>
                <w:vertAlign w:val="subscript"/>
              </w:rPr>
              <w:t>X</w:t>
            </w:r>
            <w:r>
              <w:rPr>
                <w:color w:val="000000" w:themeColor="text1"/>
              </w:rPr>
              <w:t>与高温燃烧中的自由基反应相关，烘干温度＜150℃时不足以断裂生物质中C-N键或引发氮的氧化反应，本项目热风进口温度为80~1</w:t>
            </w:r>
            <w:r>
              <w:rPr>
                <w:rFonts w:hint="eastAsia"/>
                <w:color w:val="000000" w:themeColor="text1"/>
              </w:rPr>
              <w:t>1</w:t>
            </w:r>
            <w:r>
              <w:rPr>
                <w:color w:val="000000" w:themeColor="text1"/>
              </w:rPr>
              <w:t>0℃，物料实际温度一般低于热风温度，远低于热力型NO</w:t>
            </w:r>
            <w:r>
              <w:rPr>
                <w:color w:val="000000" w:themeColor="text1"/>
                <w:vertAlign w:val="subscript"/>
              </w:rPr>
              <w:t>X</w:t>
            </w:r>
            <w:r>
              <w:rPr>
                <w:color w:val="000000" w:themeColor="text1"/>
              </w:rPr>
              <w:t>和快速型NO</w:t>
            </w:r>
            <w:r>
              <w:rPr>
                <w:color w:val="000000" w:themeColor="text1"/>
                <w:vertAlign w:val="subscript"/>
              </w:rPr>
              <w:t>X</w:t>
            </w:r>
            <w:r>
              <w:rPr>
                <w:color w:val="000000" w:themeColor="text1"/>
              </w:rPr>
              <w:t>的阈值，因此不会产生这两种NO</w:t>
            </w:r>
            <w:r>
              <w:rPr>
                <w:color w:val="000000" w:themeColor="text1"/>
                <w:vertAlign w:val="subscript"/>
              </w:rPr>
              <w:t>X</w:t>
            </w:r>
            <w:r>
              <w:rPr>
                <w:color w:val="000000" w:themeColor="text1"/>
              </w:rPr>
              <w:t>。燃料型NO</w:t>
            </w:r>
            <w:r>
              <w:rPr>
                <w:color w:val="000000" w:themeColor="text1"/>
                <w:vertAlign w:val="subscript"/>
              </w:rPr>
              <w:t>X</w:t>
            </w:r>
            <w:r>
              <w:rPr>
                <w:color w:val="000000" w:themeColor="text1"/>
              </w:rPr>
              <w:t>来自原料中含氮有机物的热分解或氧化，虽然生物质本身含有少量氮元素（0.5%~3%），但在低温烘干条件下，生物质并未燃烧，含氮有机物不会直接生成NO</w:t>
            </w:r>
            <w:r>
              <w:rPr>
                <w:color w:val="000000" w:themeColor="text1"/>
                <w:vertAlign w:val="subscript"/>
              </w:rPr>
              <w:t>X</w:t>
            </w:r>
            <w:r>
              <w:rPr>
                <w:color w:val="000000" w:themeColor="text1"/>
              </w:rPr>
              <w:t>。同时，虽然本项目烘干过程以混合热风为热源，直接接触物料烘干，烘干系统接触了空气，但由于缺乏高温或催化剂，含氮有机物的氧化效率极低，几乎不会生成NO</w:t>
            </w:r>
            <w:r>
              <w:rPr>
                <w:color w:val="000000" w:themeColor="text1"/>
                <w:vertAlign w:val="subscript"/>
              </w:rPr>
              <w:t>X</w:t>
            </w:r>
            <w:r>
              <w:rPr>
                <w:color w:val="000000" w:themeColor="text1"/>
              </w:rPr>
              <w:t>。</w:t>
            </w:r>
          </w:p>
          <w:p w14:paraId="3EC9B91F">
            <w:pPr>
              <w:spacing w:line="360" w:lineRule="auto"/>
              <w:ind w:firstLine="480"/>
              <w:jc w:val="left"/>
              <w:rPr>
                <w:color w:val="000000" w:themeColor="text1"/>
              </w:rPr>
            </w:pPr>
            <w:r>
              <w:rPr>
                <w:rFonts w:hint="eastAsia"/>
                <w:color w:val="000000" w:themeColor="text1"/>
              </w:rPr>
              <w:t>综上所述，本项目</w:t>
            </w:r>
            <w:r>
              <w:rPr>
                <w:color w:val="000000" w:themeColor="text1"/>
              </w:rPr>
              <w:t>物料烘干工艺废气</w:t>
            </w:r>
            <w:r>
              <w:rPr>
                <w:rFonts w:hint="eastAsia"/>
                <w:color w:val="000000" w:themeColor="text1"/>
              </w:rPr>
              <w:t>中不会产生SO</w:t>
            </w:r>
            <w:r>
              <w:rPr>
                <w:rFonts w:hint="eastAsia"/>
                <w:color w:val="000000" w:themeColor="text1"/>
                <w:vertAlign w:val="subscript"/>
              </w:rPr>
              <w:t>2</w:t>
            </w:r>
            <w:r>
              <w:rPr>
                <w:rFonts w:hint="eastAsia"/>
                <w:color w:val="000000" w:themeColor="text1"/>
              </w:rPr>
              <w:t>和NO</w:t>
            </w:r>
            <w:r>
              <w:rPr>
                <w:rFonts w:hint="eastAsia"/>
                <w:color w:val="000000" w:themeColor="text1"/>
                <w:vertAlign w:val="subscript"/>
              </w:rPr>
              <w:t>X</w:t>
            </w:r>
            <w:r>
              <w:rPr>
                <w:rFonts w:hint="eastAsia"/>
                <w:color w:val="000000" w:themeColor="text1"/>
              </w:rPr>
              <w:t>，仅在</w:t>
            </w:r>
            <w:r>
              <w:rPr>
                <w:color w:val="000000" w:themeColor="text1"/>
              </w:rPr>
              <w:t>热风炉燃料燃烧废气</w:t>
            </w:r>
            <w:r>
              <w:rPr>
                <w:rFonts w:hint="eastAsia"/>
                <w:color w:val="000000" w:themeColor="text1"/>
              </w:rPr>
              <w:t>中产生，</w:t>
            </w:r>
            <w:r>
              <w:rPr>
                <w:color w:val="000000" w:themeColor="text1"/>
              </w:rPr>
              <w:t>物料烘干工艺废气</w:t>
            </w:r>
            <w:r>
              <w:rPr>
                <w:rFonts w:hint="eastAsia"/>
                <w:color w:val="000000" w:themeColor="text1"/>
              </w:rPr>
              <w:t>污染物种类为颗粒物，</w:t>
            </w:r>
            <w:r>
              <w:rPr>
                <w:color w:val="000000" w:themeColor="text1"/>
              </w:rPr>
              <w:t>热风炉燃料燃烧废气</w:t>
            </w:r>
            <w:r>
              <w:rPr>
                <w:rFonts w:hint="eastAsia"/>
                <w:color w:val="000000" w:themeColor="text1"/>
              </w:rPr>
              <w:t>污染物种类为颗粒物、SO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rPr>
              <w:t>、汞、烟气黑度。</w:t>
            </w:r>
          </w:p>
          <w:p w14:paraId="33CD64ED">
            <w:pPr>
              <w:spacing w:line="360" w:lineRule="auto"/>
              <w:ind w:firstLine="480"/>
              <w:jc w:val="left"/>
              <w:rPr>
                <w:color w:val="000000" w:themeColor="text1"/>
              </w:rPr>
            </w:pPr>
            <w:r>
              <w:rPr>
                <w:color w:val="000000" w:themeColor="text1"/>
              </w:rPr>
              <w:t>A、物料烘干</w:t>
            </w:r>
            <w:r>
              <w:rPr>
                <w:rFonts w:hint="eastAsia"/>
                <w:color w:val="000000" w:themeColor="text1"/>
              </w:rPr>
              <w:t>工艺</w:t>
            </w:r>
            <w:r>
              <w:rPr>
                <w:color w:val="000000" w:themeColor="text1"/>
              </w:rPr>
              <w:t>废气源强核算</w:t>
            </w:r>
          </w:p>
          <w:p w14:paraId="7FCF7B76">
            <w:pPr>
              <w:spacing w:line="360" w:lineRule="auto"/>
              <w:ind w:firstLine="480"/>
              <w:jc w:val="left"/>
              <w:rPr>
                <w:color w:val="000000" w:themeColor="text1"/>
              </w:rPr>
            </w:pPr>
            <w:r>
              <w:rPr>
                <w:color w:val="000000" w:themeColor="text1"/>
              </w:rPr>
              <w:t>物料烘干工艺废气</w:t>
            </w:r>
            <w:r>
              <w:rPr>
                <w:rFonts w:hint="eastAsia"/>
                <w:color w:val="000000" w:themeColor="text1"/>
              </w:rPr>
              <w:t>颗粒物产污系数</w:t>
            </w:r>
            <w:r>
              <w:rPr>
                <w:color w:val="000000" w:themeColor="text1"/>
              </w:rPr>
              <w:t>参照《排放源统计调查产排污核算方法和系数手册》附表1工业行业产排污系数手册2542 生物质致密成型燃料加工行业系数表：烘干废气颗粒物产污系数4.01×10</w:t>
            </w:r>
            <w:r>
              <w:rPr>
                <w:color w:val="000000" w:themeColor="text1"/>
                <w:vertAlign w:val="superscript"/>
              </w:rPr>
              <w:t>-3</w:t>
            </w:r>
            <w:r>
              <w:rPr>
                <w:color w:val="000000" w:themeColor="text1"/>
              </w:rPr>
              <w:t>t/t-产品。</w:t>
            </w:r>
          </w:p>
          <w:p w14:paraId="5F2772E7">
            <w:pPr>
              <w:spacing w:line="360" w:lineRule="auto"/>
              <w:ind w:firstLine="480"/>
              <w:jc w:val="left"/>
              <w:rPr>
                <w:color w:val="000000" w:themeColor="text1"/>
              </w:rPr>
            </w:pPr>
            <w:r>
              <w:rPr>
                <w:rFonts w:hint="eastAsia"/>
                <w:color w:val="000000" w:themeColor="text1"/>
              </w:rPr>
              <w:t>本项目产品量为</w:t>
            </w:r>
            <w:r>
              <w:rPr>
                <w:color w:val="000000" w:themeColor="text1"/>
              </w:rPr>
              <w:t>100</w:t>
            </w:r>
            <w:r>
              <w:rPr>
                <w:rFonts w:hint="eastAsia"/>
                <w:color w:val="000000" w:themeColor="text1"/>
              </w:rPr>
              <w:t>00</w:t>
            </w:r>
            <w:r>
              <w:rPr>
                <w:color w:val="000000" w:themeColor="text1"/>
              </w:rPr>
              <w:t>t/a，烘干工序生产时间为</w:t>
            </w:r>
            <w:r>
              <w:rPr>
                <w:rFonts w:hint="eastAsia"/>
                <w:color w:val="000000" w:themeColor="text1"/>
              </w:rPr>
              <w:t>1800h/a</w:t>
            </w:r>
            <w:r>
              <w:rPr>
                <w:color w:val="000000" w:themeColor="text1"/>
              </w:rPr>
              <w:t>，则颗粒物的产生量为40.</w:t>
            </w:r>
            <w:r>
              <w:rPr>
                <w:rFonts w:hint="eastAsia"/>
                <w:color w:val="000000" w:themeColor="text1"/>
              </w:rPr>
              <w:t>100</w:t>
            </w:r>
            <w:r>
              <w:rPr>
                <w:snapToGrid w:val="0"/>
                <w:color w:val="000000" w:themeColor="text1"/>
                <w:kern w:val="0"/>
              </w:rPr>
              <w:t>t/a，</w:t>
            </w:r>
            <w:r>
              <w:rPr>
                <w:color w:val="000000" w:themeColor="text1"/>
              </w:rPr>
              <w:t>产生速率为</w:t>
            </w:r>
            <w:r>
              <w:rPr>
                <w:rFonts w:hint="eastAsia"/>
                <w:color w:val="000000" w:themeColor="text1"/>
              </w:rPr>
              <w:t>22.278</w:t>
            </w:r>
            <w:r>
              <w:rPr>
                <w:color w:val="000000" w:themeColor="text1"/>
              </w:rPr>
              <w:t>kg/h。烘干机设备密闭，经烘干机废气出口设置的集气管道收集后，通过“沙克龙除尘器+布袋除尘器”处理后有组织排放，废气收集效率为100%，处理效率以99.9%计，则颗粒物的收集量为40.</w:t>
            </w:r>
            <w:r>
              <w:rPr>
                <w:rFonts w:hint="eastAsia"/>
                <w:color w:val="000000" w:themeColor="text1"/>
              </w:rPr>
              <w:t>100t</w:t>
            </w:r>
            <w:r>
              <w:rPr>
                <w:color w:val="000000" w:themeColor="text1"/>
              </w:rPr>
              <w:t>/a，速率为22.</w:t>
            </w:r>
            <w:r>
              <w:rPr>
                <w:rFonts w:hint="eastAsia"/>
                <w:color w:val="000000" w:themeColor="text1"/>
              </w:rPr>
              <w:t>278</w:t>
            </w:r>
            <w:r>
              <w:rPr>
                <w:color w:val="000000" w:themeColor="text1"/>
              </w:rPr>
              <w:t>kg/h，排放量为0.040t/a，排放速率为0.022kg/h。</w:t>
            </w:r>
          </w:p>
          <w:p w14:paraId="07F1148D">
            <w:pPr>
              <w:spacing w:line="360" w:lineRule="auto"/>
              <w:ind w:firstLine="480"/>
              <w:jc w:val="left"/>
              <w:rPr>
                <w:color w:val="000000" w:themeColor="text1"/>
              </w:rPr>
            </w:pPr>
            <w:r>
              <w:rPr>
                <w:color w:val="000000" w:themeColor="text1"/>
              </w:rPr>
              <w:t>B、热风炉燃料燃烧废气源强核算</w:t>
            </w:r>
          </w:p>
          <w:p w14:paraId="6EADDF3D">
            <w:pPr>
              <w:spacing w:line="360" w:lineRule="auto"/>
              <w:ind w:firstLine="480"/>
              <w:jc w:val="left"/>
              <w:rPr>
                <w:color w:val="000000" w:themeColor="text1"/>
              </w:rPr>
            </w:pPr>
            <w:r>
              <w:rPr>
                <w:color w:val="000000" w:themeColor="text1"/>
              </w:rPr>
              <w:t>本项目采用1台热风炉为烘干机提供热源，热风炉燃料为自产生物质能源颗粒，生物质能源颗粒用量为</w:t>
            </w:r>
            <w:r>
              <w:rPr>
                <w:rFonts w:hint="eastAsia"/>
                <w:color w:val="000000" w:themeColor="text1"/>
              </w:rPr>
              <w:t>328</w:t>
            </w:r>
            <w:r>
              <w:rPr>
                <w:color w:val="000000" w:themeColor="text1"/>
              </w:rPr>
              <w:t>t/a。</w:t>
            </w:r>
          </w:p>
          <w:p w14:paraId="61D84714">
            <w:pPr>
              <w:spacing w:line="360" w:lineRule="auto"/>
              <w:ind w:firstLine="480"/>
              <w:jc w:val="left"/>
              <w:rPr>
                <w:color w:val="000000" w:themeColor="text1"/>
              </w:rPr>
            </w:pPr>
            <w:r>
              <w:rPr>
                <w:color w:val="000000" w:themeColor="text1"/>
              </w:rPr>
              <w:t>由于《排放源统计调查产排污核算方法和系数手册》附表1工业行业产排污系数手册2542 生物质致密成型燃料加工行业系数表中二氧化硫、氮氧化物的产污系数（二氧化硫</w:t>
            </w:r>
            <w:r>
              <w:rPr>
                <w:rFonts w:hint="eastAsia"/>
                <w:color w:val="000000" w:themeColor="text1"/>
              </w:rPr>
              <w:t>4.80</w:t>
            </w:r>
            <w:r>
              <w:rPr>
                <w:color w:val="000000" w:themeColor="text1"/>
              </w:rPr>
              <w:t>×10</w:t>
            </w:r>
            <w:r>
              <w:rPr>
                <w:color w:val="000000" w:themeColor="text1"/>
                <w:vertAlign w:val="superscript"/>
              </w:rPr>
              <w:t>-</w:t>
            </w:r>
            <w:r>
              <w:rPr>
                <w:rFonts w:hint="eastAsia"/>
                <w:color w:val="000000" w:themeColor="text1"/>
                <w:vertAlign w:val="superscript"/>
              </w:rPr>
              <w:t>4</w:t>
            </w:r>
            <w:r>
              <w:rPr>
                <w:color w:val="000000" w:themeColor="text1"/>
              </w:rPr>
              <w:t>t/t-产品、氮氧化物</w:t>
            </w:r>
            <w:r>
              <w:rPr>
                <w:rFonts w:hint="eastAsia"/>
                <w:color w:val="000000" w:themeColor="text1"/>
              </w:rPr>
              <w:t>6.89</w:t>
            </w:r>
            <w:r>
              <w:rPr>
                <w:color w:val="000000" w:themeColor="text1"/>
              </w:rPr>
              <w:t>×10</w:t>
            </w:r>
            <w:r>
              <w:rPr>
                <w:color w:val="000000" w:themeColor="text1"/>
                <w:vertAlign w:val="superscript"/>
              </w:rPr>
              <w:t>-</w:t>
            </w:r>
            <w:r>
              <w:rPr>
                <w:rFonts w:hint="eastAsia"/>
                <w:color w:val="000000" w:themeColor="text1"/>
                <w:vertAlign w:val="superscript"/>
              </w:rPr>
              <w:t>4</w:t>
            </w:r>
            <w:r>
              <w:rPr>
                <w:color w:val="000000" w:themeColor="text1"/>
              </w:rPr>
              <w:t>t/t-产品）未明确燃料种类，且根据上述分析本项目烘干过程中锯末不会析出二氧化硫、氮氧化物，</w:t>
            </w:r>
            <w:r>
              <w:rPr>
                <w:rFonts w:hint="eastAsia"/>
                <w:color w:val="000000" w:themeColor="text1"/>
              </w:rPr>
              <w:t>燃料</w:t>
            </w:r>
            <w:r>
              <w:rPr>
                <w:color w:val="000000" w:themeColor="text1"/>
              </w:rPr>
              <w:t>燃烧废气污染物产污系数参照《排放源统计调查产排污核算方法和系数手册》附表1工业行业产排污系数手册</w:t>
            </w:r>
            <w:r>
              <w:rPr>
                <w:rFonts w:hint="eastAsia"/>
                <w:color w:val="000000" w:themeColor="text1"/>
              </w:rPr>
              <w:t>33-37，431-434机械行业系数手册：14涂装</w:t>
            </w:r>
            <w:r>
              <w:rPr>
                <w:color w:val="000000" w:themeColor="text1"/>
              </w:rPr>
              <w:t>“原料名称生物质-工艺名称</w:t>
            </w:r>
            <w:r>
              <w:rPr>
                <w:rFonts w:hint="eastAsia"/>
                <w:color w:val="000000" w:themeColor="text1"/>
              </w:rPr>
              <w:t>生物质工业炉窑</w:t>
            </w:r>
            <w:r>
              <w:rPr>
                <w:color w:val="000000" w:themeColor="text1"/>
              </w:rPr>
              <w:t>”污染物产污系数（二氧化硫17S</w:t>
            </w:r>
            <w:r>
              <w:rPr>
                <w:rFonts w:hint="eastAsia"/>
                <w:color w:val="000000" w:themeColor="text1"/>
              </w:rPr>
              <w:t>（根据表25，本项目取值0.85</w:t>
            </w:r>
            <w:r>
              <w:rPr>
                <w:color w:val="000000" w:themeColor="text1"/>
              </w:rPr>
              <w:t>kg/t-原料</w:t>
            </w:r>
            <w:r>
              <w:rPr>
                <w:rFonts w:hint="eastAsia"/>
                <w:color w:val="000000" w:themeColor="text1"/>
              </w:rPr>
              <w:t>）</w:t>
            </w:r>
            <w:r>
              <w:rPr>
                <w:color w:val="000000" w:themeColor="text1"/>
              </w:rPr>
              <w:t>、氮氧化物</w:t>
            </w:r>
            <w:r>
              <w:rPr>
                <w:rFonts w:hint="eastAsia"/>
                <w:color w:val="000000" w:themeColor="text1"/>
              </w:rPr>
              <w:t>1.02</w:t>
            </w:r>
            <w:r>
              <w:rPr>
                <w:color w:val="000000" w:themeColor="text1"/>
              </w:rPr>
              <w:t>kg/t-原料），</w:t>
            </w:r>
            <w:r>
              <w:rPr>
                <w:rFonts w:hint="eastAsia"/>
                <w:color w:val="000000" w:themeColor="text1"/>
              </w:rPr>
              <w:t>同时由于机械行业系数手册中生物质工业炉窑二氧化硫、氮氧化物产污系数大于</w:t>
            </w:r>
            <w:r>
              <w:rPr>
                <w:color w:val="000000" w:themeColor="text1"/>
              </w:rPr>
              <w:t>生物质致密成型燃料加工行业系数表中</w:t>
            </w:r>
            <w:r>
              <w:rPr>
                <w:rFonts w:hint="eastAsia"/>
                <w:color w:val="000000" w:themeColor="text1"/>
              </w:rPr>
              <w:t>产污系数</w:t>
            </w:r>
            <w:r>
              <w:rPr>
                <w:color w:val="000000" w:themeColor="text1"/>
              </w:rPr>
              <w:t>，保守起见，</w:t>
            </w:r>
            <w:r>
              <w:rPr>
                <w:rFonts w:hint="eastAsia"/>
                <w:color w:val="000000" w:themeColor="text1"/>
              </w:rPr>
              <w:t>本项目</w:t>
            </w:r>
            <w:r>
              <w:rPr>
                <w:color w:val="000000" w:themeColor="text1"/>
              </w:rPr>
              <w:t>燃料燃烧废气</w:t>
            </w:r>
            <w:r>
              <w:rPr>
                <w:rFonts w:hint="eastAsia"/>
                <w:color w:val="000000" w:themeColor="text1"/>
              </w:rPr>
              <w:t>颗粒物、二氧化硫、氮氧化物</w:t>
            </w:r>
            <w:r>
              <w:rPr>
                <w:color w:val="000000" w:themeColor="text1"/>
              </w:rPr>
              <w:t>产污系数参照</w:t>
            </w:r>
            <w:r>
              <w:rPr>
                <w:rFonts w:hint="eastAsia"/>
                <w:color w:val="000000" w:themeColor="text1"/>
              </w:rPr>
              <w:t>33-37，431-434机械行业系数手册：14涂装</w:t>
            </w:r>
            <w:r>
              <w:rPr>
                <w:color w:val="000000" w:themeColor="text1"/>
              </w:rPr>
              <w:t>污染物产污系数</w:t>
            </w:r>
            <w:r>
              <w:rPr>
                <w:rFonts w:hint="eastAsia"/>
                <w:color w:val="000000" w:themeColor="text1"/>
              </w:rPr>
              <w:t>，详</w:t>
            </w:r>
            <w:r>
              <w:rPr>
                <w:color w:val="000000" w:themeColor="text1"/>
              </w:rPr>
              <w:t>见下表。</w:t>
            </w:r>
          </w:p>
          <w:p w14:paraId="34DE2FC0">
            <w:pPr>
              <w:spacing w:line="360" w:lineRule="auto"/>
              <w:ind w:firstLine="0" w:firstLineChars="0"/>
              <w:jc w:val="center"/>
              <w:rPr>
                <w:b/>
                <w:bCs/>
                <w:color w:val="000000" w:themeColor="text1"/>
                <w:sz w:val="21"/>
                <w:szCs w:val="21"/>
              </w:rPr>
            </w:pPr>
            <w:r>
              <w:rPr>
                <w:b/>
                <w:bCs/>
                <w:color w:val="000000" w:themeColor="text1"/>
                <w:sz w:val="21"/>
                <w:szCs w:val="21"/>
              </w:rPr>
              <w:t>表2</w:t>
            </w:r>
            <w:r>
              <w:rPr>
                <w:rFonts w:hint="eastAsia"/>
                <w:b/>
                <w:bCs/>
                <w:color w:val="000000" w:themeColor="text1"/>
                <w:sz w:val="21"/>
                <w:szCs w:val="21"/>
              </w:rPr>
              <w:t>5</w:t>
            </w:r>
            <w:r>
              <w:rPr>
                <w:b/>
                <w:bCs/>
                <w:color w:val="000000" w:themeColor="text1"/>
                <w:sz w:val="21"/>
                <w:szCs w:val="21"/>
              </w:rPr>
              <w:t xml:space="preserve">   </w:t>
            </w:r>
            <w:r>
              <w:rPr>
                <w:rFonts w:hint="eastAsia"/>
                <w:b/>
                <w:bCs/>
                <w:color w:val="000000" w:themeColor="text1"/>
                <w:sz w:val="21"/>
                <w:szCs w:val="21"/>
              </w:rPr>
              <w:t>33-37，431-434机械行业系数手册：14涂装</w:t>
            </w:r>
            <w:r>
              <w:rPr>
                <w:b/>
                <w:bCs/>
                <w:color w:val="000000" w:themeColor="text1"/>
                <w:sz w:val="21"/>
                <w:szCs w:val="21"/>
              </w:rPr>
              <w:t>产污系数表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228"/>
              <w:gridCol w:w="1109"/>
              <w:gridCol w:w="1500"/>
              <w:gridCol w:w="1740"/>
              <w:gridCol w:w="1518"/>
            </w:tblGrid>
            <w:tr w14:paraId="75641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81" w:type="pct"/>
                  <w:tcBorders>
                    <w:tl2br w:val="nil"/>
                    <w:tr2bl w:val="nil"/>
                  </w:tcBorders>
                  <w:vAlign w:val="center"/>
                </w:tcPr>
                <w:p w14:paraId="69B86324">
                  <w:pPr>
                    <w:spacing w:line="240" w:lineRule="auto"/>
                    <w:ind w:firstLine="0" w:firstLineChars="0"/>
                    <w:jc w:val="center"/>
                    <w:rPr>
                      <w:b/>
                      <w:bCs/>
                      <w:color w:val="000000" w:themeColor="text1"/>
                      <w:sz w:val="21"/>
                      <w:szCs w:val="21"/>
                    </w:rPr>
                  </w:pPr>
                  <w:r>
                    <w:rPr>
                      <w:b/>
                      <w:bCs/>
                      <w:color w:val="000000" w:themeColor="text1"/>
                      <w:sz w:val="21"/>
                      <w:szCs w:val="21"/>
                    </w:rPr>
                    <w:t>原料名称</w:t>
                  </w:r>
                </w:p>
              </w:tc>
              <w:tc>
                <w:tcPr>
                  <w:tcW w:w="748" w:type="pct"/>
                  <w:tcBorders>
                    <w:tl2br w:val="nil"/>
                    <w:tr2bl w:val="nil"/>
                  </w:tcBorders>
                  <w:vAlign w:val="center"/>
                </w:tcPr>
                <w:p w14:paraId="4591E69B">
                  <w:pPr>
                    <w:spacing w:line="240" w:lineRule="auto"/>
                    <w:ind w:firstLine="0" w:firstLineChars="0"/>
                    <w:jc w:val="center"/>
                    <w:rPr>
                      <w:b/>
                      <w:bCs/>
                      <w:color w:val="000000" w:themeColor="text1"/>
                      <w:sz w:val="21"/>
                      <w:szCs w:val="21"/>
                    </w:rPr>
                  </w:pPr>
                  <w:r>
                    <w:rPr>
                      <w:b/>
                      <w:bCs/>
                      <w:color w:val="000000" w:themeColor="text1"/>
                      <w:sz w:val="21"/>
                      <w:szCs w:val="21"/>
                    </w:rPr>
                    <w:t>工艺名称</w:t>
                  </w:r>
                </w:p>
              </w:tc>
              <w:tc>
                <w:tcPr>
                  <w:tcW w:w="675" w:type="pct"/>
                  <w:tcBorders>
                    <w:tl2br w:val="nil"/>
                    <w:tr2bl w:val="nil"/>
                  </w:tcBorders>
                  <w:vAlign w:val="center"/>
                </w:tcPr>
                <w:p w14:paraId="6A5828AA">
                  <w:pPr>
                    <w:spacing w:line="240" w:lineRule="auto"/>
                    <w:ind w:firstLine="0" w:firstLineChars="0"/>
                    <w:jc w:val="center"/>
                    <w:rPr>
                      <w:b/>
                      <w:bCs/>
                      <w:color w:val="000000" w:themeColor="text1"/>
                      <w:sz w:val="21"/>
                      <w:szCs w:val="21"/>
                    </w:rPr>
                  </w:pPr>
                  <w:r>
                    <w:rPr>
                      <w:b/>
                      <w:bCs/>
                      <w:color w:val="000000" w:themeColor="text1"/>
                      <w:sz w:val="21"/>
                      <w:szCs w:val="21"/>
                    </w:rPr>
                    <w:t>规模等级</w:t>
                  </w:r>
                </w:p>
              </w:tc>
              <w:tc>
                <w:tcPr>
                  <w:tcW w:w="913" w:type="pct"/>
                  <w:tcBorders>
                    <w:tl2br w:val="nil"/>
                    <w:tr2bl w:val="nil"/>
                  </w:tcBorders>
                  <w:vAlign w:val="center"/>
                </w:tcPr>
                <w:p w14:paraId="78B80C23">
                  <w:pPr>
                    <w:spacing w:line="240" w:lineRule="auto"/>
                    <w:ind w:firstLine="0" w:firstLineChars="0"/>
                    <w:jc w:val="center"/>
                    <w:rPr>
                      <w:b/>
                      <w:bCs/>
                      <w:color w:val="000000" w:themeColor="text1"/>
                      <w:sz w:val="21"/>
                      <w:szCs w:val="21"/>
                    </w:rPr>
                  </w:pPr>
                  <w:r>
                    <w:rPr>
                      <w:b/>
                      <w:bCs/>
                      <w:color w:val="000000" w:themeColor="text1"/>
                      <w:sz w:val="21"/>
                      <w:szCs w:val="21"/>
                    </w:rPr>
                    <w:t>污染物指标</w:t>
                  </w:r>
                </w:p>
              </w:tc>
              <w:tc>
                <w:tcPr>
                  <w:tcW w:w="1059" w:type="pct"/>
                  <w:tcBorders>
                    <w:tl2br w:val="nil"/>
                    <w:tr2bl w:val="nil"/>
                  </w:tcBorders>
                  <w:vAlign w:val="center"/>
                </w:tcPr>
                <w:p w14:paraId="415603F2">
                  <w:pPr>
                    <w:spacing w:line="240" w:lineRule="auto"/>
                    <w:ind w:firstLine="0" w:firstLineChars="0"/>
                    <w:jc w:val="center"/>
                    <w:rPr>
                      <w:b/>
                      <w:bCs/>
                      <w:color w:val="000000" w:themeColor="text1"/>
                      <w:sz w:val="21"/>
                      <w:szCs w:val="21"/>
                    </w:rPr>
                  </w:pPr>
                  <w:r>
                    <w:rPr>
                      <w:b/>
                      <w:bCs/>
                      <w:color w:val="000000" w:themeColor="text1"/>
                      <w:sz w:val="21"/>
                      <w:szCs w:val="21"/>
                    </w:rPr>
                    <w:t>单位</w:t>
                  </w:r>
                </w:p>
              </w:tc>
              <w:tc>
                <w:tcPr>
                  <w:tcW w:w="922" w:type="pct"/>
                  <w:tcBorders>
                    <w:tl2br w:val="nil"/>
                    <w:tr2bl w:val="nil"/>
                  </w:tcBorders>
                  <w:vAlign w:val="center"/>
                </w:tcPr>
                <w:p w14:paraId="770E7A72">
                  <w:pPr>
                    <w:spacing w:line="240" w:lineRule="auto"/>
                    <w:ind w:firstLine="0" w:firstLineChars="0"/>
                    <w:jc w:val="center"/>
                    <w:rPr>
                      <w:b/>
                      <w:bCs/>
                      <w:color w:val="000000" w:themeColor="text1"/>
                      <w:sz w:val="21"/>
                      <w:szCs w:val="21"/>
                    </w:rPr>
                  </w:pPr>
                  <w:r>
                    <w:rPr>
                      <w:b/>
                      <w:bCs/>
                      <w:color w:val="000000" w:themeColor="text1"/>
                      <w:sz w:val="21"/>
                      <w:szCs w:val="21"/>
                    </w:rPr>
                    <w:t>产污系数</w:t>
                  </w:r>
                </w:p>
              </w:tc>
            </w:tr>
            <w:tr w14:paraId="51282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restart"/>
                  <w:tcBorders>
                    <w:tl2br w:val="nil"/>
                    <w:tr2bl w:val="nil"/>
                  </w:tcBorders>
                  <w:vAlign w:val="center"/>
                </w:tcPr>
                <w:p w14:paraId="0930C2D2">
                  <w:pPr>
                    <w:spacing w:line="240" w:lineRule="auto"/>
                    <w:ind w:firstLine="0" w:firstLineChars="0"/>
                    <w:jc w:val="center"/>
                    <w:rPr>
                      <w:color w:val="000000" w:themeColor="text1"/>
                      <w:sz w:val="21"/>
                      <w:szCs w:val="21"/>
                    </w:rPr>
                  </w:pPr>
                  <w:r>
                    <w:rPr>
                      <w:color w:val="000000" w:themeColor="text1"/>
                      <w:sz w:val="21"/>
                      <w:szCs w:val="21"/>
                    </w:rPr>
                    <w:t>生物质</w:t>
                  </w:r>
                </w:p>
              </w:tc>
              <w:tc>
                <w:tcPr>
                  <w:tcW w:w="748" w:type="pct"/>
                  <w:vMerge w:val="restart"/>
                  <w:tcBorders>
                    <w:tl2br w:val="nil"/>
                    <w:tr2bl w:val="nil"/>
                  </w:tcBorders>
                  <w:vAlign w:val="center"/>
                </w:tcPr>
                <w:p w14:paraId="3FE27BF2">
                  <w:pPr>
                    <w:spacing w:line="240" w:lineRule="auto"/>
                    <w:ind w:firstLine="0" w:firstLineChars="0"/>
                    <w:jc w:val="center"/>
                    <w:rPr>
                      <w:color w:val="000000" w:themeColor="text1"/>
                      <w:sz w:val="21"/>
                      <w:szCs w:val="21"/>
                    </w:rPr>
                  </w:pPr>
                  <w:r>
                    <w:rPr>
                      <w:rFonts w:hint="eastAsia"/>
                      <w:color w:val="000000" w:themeColor="text1"/>
                      <w:sz w:val="21"/>
                      <w:szCs w:val="21"/>
                    </w:rPr>
                    <w:t>生物质工业炉窑</w:t>
                  </w:r>
                </w:p>
              </w:tc>
              <w:tc>
                <w:tcPr>
                  <w:tcW w:w="675" w:type="pct"/>
                  <w:vMerge w:val="restart"/>
                  <w:tcBorders>
                    <w:tl2br w:val="nil"/>
                    <w:tr2bl w:val="nil"/>
                  </w:tcBorders>
                  <w:vAlign w:val="center"/>
                </w:tcPr>
                <w:p w14:paraId="59995AF4">
                  <w:pPr>
                    <w:spacing w:line="240" w:lineRule="auto"/>
                    <w:ind w:firstLine="0" w:firstLineChars="0"/>
                    <w:jc w:val="center"/>
                    <w:rPr>
                      <w:color w:val="000000" w:themeColor="text1"/>
                      <w:sz w:val="21"/>
                      <w:szCs w:val="21"/>
                    </w:rPr>
                  </w:pPr>
                  <w:r>
                    <w:rPr>
                      <w:color w:val="000000" w:themeColor="text1"/>
                      <w:sz w:val="21"/>
                      <w:szCs w:val="21"/>
                    </w:rPr>
                    <w:t>所有规模</w:t>
                  </w:r>
                </w:p>
              </w:tc>
              <w:tc>
                <w:tcPr>
                  <w:tcW w:w="913" w:type="pct"/>
                  <w:tcBorders>
                    <w:tl2br w:val="nil"/>
                    <w:tr2bl w:val="nil"/>
                  </w:tcBorders>
                  <w:vAlign w:val="center"/>
                </w:tcPr>
                <w:p w14:paraId="7C107E1B">
                  <w:pPr>
                    <w:spacing w:line="240" w:lineRule="auto"/>
                    <w:ind w:firstLine="0" w:firstLineChars="0"/>
                    <w:jc w:val="center"/>
                    <w:rPr>
                      <w:color w:val="000000" w:themeColor="text1"/>
                      <w:sz w:val="21"/>
                      <w:szCs w:val="21"/>
                    </w:rPr>
                  </w:pPr>
                  <w:r>
                    <w:rPr>
                      <w:color w:val="000000" w:themeColor="text1"/>
                      <w:sz w:val="21"/>
                      <w:szCs w:val="21"/>
                    </w:rPr>
                    <w:t>工业废气量</w:t>
                  </w:r>
                </w:p>
              </w:tc>
              <w:tc>
                <w:tcPr>
                  <w:tcW w:w="1059" w:type="pct"/>
                  <w:tcBorders>
                    <w:tl2br w:val="nil"/>
                    <w:tr2bl w:val="nil"/>
                  </w:tcBorders>
                  <w:vAlign w:val="center"/>
                </w:tcPr>
                <w:p w14:paraId="59ED9AFA">
                  <w:pPr>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/t-原料</w:t>
                  </w:r>
                </w:p>
              </w:tc>
              <w:tc>
                <w:tcPr>
                  <w:tcW w:w="922" w:type="pct"/>
                  <w:tcBorders>
                    <w:tl2br w:val="nil"/>
                    <w:tr2bl w:val="nil"/>
                  </w:tcBorders>
                  <w:vAlign w:val="center"/>
                </w:tcPr>
                <w:p w14:paraId="46A5E1EB">
                  <w:pPr>
                    <w:spacing w:line="240" w:lineRule="auto"/>
                    <w:ind w:firstLine="0" w:firstLineChars="0"/>
                    <w:jc w:val="center"/>
                    <w:rPr>
                      <w:color w:val="000000" w:themeColor="text1"/>
                      <w:sz w:val="21"/>
                      <w:szCs w:val="21"/>
                    </w:rPr>
                  </w:pPr>
                  <w:r>
                    <w:rPr>
                      <w:color w:val="000000" w:themeColor="text1"/>
                      <w:sz w:val="21"/>
                      <w:szCs w:val="21"/>
                    </w:rPr>
                    <w:t>6240</w:t>
                  </w:r>
                </w:p>
              </w:tc>
            </w:tr>
            <w:tr w14:paraId="37C14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continue"/>
                  <w:tcBorders>
                    <w:tl2br w:val="nil"/>
                    <w:tr2bl w:val="nil"/>
                  </w:tcBorders>
                  <w:vAlign w:val="center"/>
                </w:tcPr>
                <w:p w14:paraId="60D5AFCA">
                  <w:pPr>
                    <w:spacing w:line="240" w:lineRule="auto"/>
                    <w:ind w:firstLine="0" w:firstLineChars="0"/>
                    <w:jc w:val="center"/>
                    <w:rPr>
                      <w:color w:val="000000" w:themeColor="text1"/>
                      <w:sz w:val="21"/>
                      <w:szCs w:val="21"/>
                    </w:rPr>
                  </w:pPr>
                </w:p>
              </w:tc>
              <w:tc>
                <w:tcPr>
                  <w:tcW w:w="748" w:type="pct"/>
                  <w:vMerge w:val="continue"/>
                  <w:tcBorders>
                    <w:tl2br w:val="nil"/>
                    <w:tr2bl w:val="nil"/>
                  </w:tcBorders>
                  <w:vAlign w:val="center"/>
                </w:tcPr>
                <w:p w14:paraId="35B70A84">
                  <w:pPr>
                    <w:spacing w:line="240" w:lineRule="auto"/>
                    <w:ind w:firstLine="0" w:firstLineChars="0"/>
                    <w:jc w:val="center"/>
                    <w:rPr>
                      <w:color w:val="000000" w:themeColor="text1"/>
                      <w:sz w:val="21"/>
                      <w:szCs w:val="21"/>
                    </w:rPr>
                  </w:pPr>
                </w:p>
              </w:tc>
              <w:tc>
                <w:tcPr>
                  <w:tcW w:w="675" w:type="pct"/>
                  <w:vMerge w:val="continue"/>
                  <w:tcBorders>
                    <w:tl2br w:val="nil"/>
                    <w:tr2bl w:val="nil"/>
                  </w:tcBorders>
                  <w:vAlign w:val="center"/>
                </w:tcPr>
                <w:p w14:paraId="4E04F58E">
                  <w:pPr>
                    <w:spacing w:line="240" w:lineRule="auto"/>
                    <w:ind w:firstLine="0" w:firstLineChars="0"/>
                    <w:jc w:val="center"/>
                    <w:rPr>
                      <w:color w:val="000000" w:themeColor="text1"/>
                      <w:sz w:val="21"/>
                      <w:szCs w:val="21"/>
                    </w:rPr>
                  </w:pPr>
                </w:p>
              </w:tc>
              <w:tc>
                <w:tcPr>
                  <w:tcW w:w="913" w:type="pct"/>
                  <w:tcBorders>
                    <w:tl2br w:val="nil"/>
                    <w:tr2bl w:val="nil"/>
                  </w:tcBorders>
                  <w:shd w:val="clear" w:color="auto" w:fill="auto"/>
                  <w:vAlign w:val="center"/>
                </w:tcPr>
                <w:p w14:paraId="333EAA89">
                  <w:pPr>
                    <w:spacing w:line="240" w:lineRule="auto"/>
                    <w:ind w:firstLine="0" w:firstLineChars="0"/>
                    <w:jc w:val="center"/>
                    <w:rPr>
                      <w:color w:val="000000" w:themeColor="text1"/>
                      <w:sz w:val="21"/>
                      <w:szCs w:val="21"/>
                    </w:rPr>
                  </w:pPr>
                  <w:r>
                    <w:rPr>
                      <w:color w:val="000000" w:themeColor="text1"/>
                      <w:sz w:val="21"/>
                      <w:szCs w:val="21"/>
                    </w:rPr>
                    <w:t>颗粒物</w:t>
                  </w:r>
                </w:p>
              </w:tc>
              <w:tc>
                <w:tcPr>
                  <w:tcW w:w="1059" w:type="pct"/>
                  <w:tcBorders>
                    <w:tl2br w:val="nil"/>
                    <w:tr2bl w:val="nil"/>
                  </w:tcBorders>
                  <w:shd w:val="clear" w:color="auto" w:fill="auto"/>
                  <w:vAlign w:val="center"/>
                </w:tcPr>
                <w:p w14:paraId="5E9708C7">
                  <w:pPr>
                    <w:spacing w:line="240" w:lineRule="auto"/>
                    <w:ind w:firstLine="0" w:firstLineChars="0"/>
                    <w:jc w:val="center"/>
                    <w:rPr>
                      <w:color w:val="000000" w:themeColor="text1"/>
                      <w:sz w:val="21"/>
                      <w:szCs w:val="21"/>
                    </w:rPr>
                  </w:pPr>
                  <w:r>
                    <w:rPr>
                      <w:color w:val="000000" w:themeColor="text1"/>
                      <w:sz w:val="21"/>
                      <w:szCs w:val="21"/>
                    </w:rPr>
                    <w:t>kg/t-原料</w:t>
                  </w:r>
                </w:p>
              </w:tc>
              <w:tc>
                <w:tcPr>
                  <w:tcW w:w="922" w:type="pct"/>
                  <w:tcBorders>
                    <w:tl2br w:val="nil"/>
                    <w:tr2bl w:val="nil"/>
                  </w:tcBorders>
                  <w:shd w:val="clear" w:color="auto" w:fill="auto"/>
                  <w:vAlign w:val="center"/>
                </w:tcPr>
                <w:p w14:paraId="6942B1C9">
                  <w:pPr>
                    <w:spacing w:line="240" w:lineRule="auto"/>
                    <w:ind w:firstLine="0" w:firstLineChars="0"/>
                    <w:jc w:val="center"/>
                    <w:rPr>
                      <w:color w:val="000000" w:themeColor="text1"/>
                      <w:sz w:val="21"/>
                      <w:szCs w:val="21"/>
                    </w:rPr>
                  </w:pPr>
                  <w:r>
                    <w:rPr>
                      <w:rFonts w:hint="eastAsia"/>
                      <w:color w:val="000000" w:themeColor="text1"/>
                      <w:sz w:val="21"/>
                      <w:szCs w:val="21"/>
                    </w:rPr>
                    <w:t>37.6</w:t>
                  </w:r>
                </w:p>
              </w:tc>
            </w:tr>
            <w:tr w14:paraId="188FC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continue"/>
                  <w:tcBorders>
                    <w:tl2br w:val="nil"/>
                    <w:tr2bl w:val="nil"/>
                  </w:tcBorders>
                  <w:vAlign w:val="center"/>
                </w:tcPr>
                <w:p w14:paraId="5B1A9378">
                  <w:pPr>
                    <w:spacing w:line="240" w:lineRule="auto"/>
                    <w:ind w:firstLine="0" w:firstLineChars="0"/>
                    <w:jc w:val="center"/>
                    <w:rPr>
                      <w:color w:val="000000" w:themeColor="text1"/>
                      <w:sz w:val="21"/>
                      <w:szCs w:val="21"/>
                    </w:rPr>
                  </w:pPr>
                </w:p>
              </w:tc>
              <w:tc>
                <w:tcPr>
                  <w:tcW w:w="748" w:type="pct"/>
                  <w:vMerge w:val="continue"/>
                  <w:tcBorders>
                    <w:tl2br w:val="nil"/>
                    <w:tr2bl w:val="nil"/>
                  </w:tcBorders>
                  <w:vAlign w:val="center"/>
                </w:tcPr>
                <w:p w14:paraId="71530C7A">
                  <w:pPr>
                    <w:spacing w:line="240" w:lineRule="auto"/>
                    <w:ind w:firstLine="0" w:firstLineChars="0"/>
                    <w:jc w:val="center"/>
                    <w:rPr>
                      <w:color w:val="000000" w:themeColor="text1"/>
                      <w:sz w:val="21"/>
                      <w:szCs w:val="21"/>
                    </w:rPr>
                  </w:pPr>
                </w:p>
              </w:tc>
              <w:tc>
                <w:tcPr>
                  <w:tcW w:w="675" w:type="pct"/>
                  <w:vMerge w:val="continue"/>
                  <w:tcBorders>
                    <w:tl2br w:val="nil"/>
                    <w:tr2bl w:val="nil"/>
                  </w:tcBorders>
                  <w:vAlign w:val="center"/>
                </w:tcPr>
                <w:p w14:paraId="680D6246">
                  <w:pPr>
                    <w:spacing w:line="240" w:lineRule="auto"/>
                    <w:ind w:firstLine="0" w:firstLineChars="0"/>
                    <w:jc w:val="center"/>
                    <w:rPr>
                      <w:color w:val="000000" w:themeColor="text1"/>
                      <w:sz w:val="21"/>
                      <w:szCs w:val="21"/>
                    </w:rPr>
                  </w:pPr>
                </w:p>
              </w:tc>
              <w:tc>
                <w:tcPr>
                  <w:tcW w:w="913" w:type="pct"/>
                  <w:tcBorders>
                    <w:tl2br w:val="nil"/>
                    <w:tr2bl w:val="nil"/>
                  </w:tcBorders>
                  <w:vAlign w:val="center"/>
                </w:tcPr>
                <w:p w14:paraId="63B2D6FD">
                  <w:pPr>
                    <w:spacing w:line="240" w:lineRule="auto"/>
                    <w:ind w:firstLine="0" w:firstLineChars="0"/>
                    <w:jc w:val="center"/>
                    <w:rPr>
                      <w:color w:val="000000" w:themeColor="text1"/>
                      <w:sz w:val="21"/>
                      <w:szCs w:val="21"/>
                    </w:rPr>
                  </w:pPr>
                  <w:r>
                    <w:rPr>
                      <w:color w:val="000000" w:themeColor="text1"/>
                      <w:sz w:val="21"/>
                      <w:szCs w:val="21"/>
                    </w:rPr>
                    <w:t>二氧化硫</w:t>
                  </w:r>
                </w:p>
              </w:tc>
              <w:tc>
                <w:tcPr>
                  <w:tcW w:w="1059" w:type="pct"/>
                  <w:tcBorders>
                    <w:tl2br w:val="nil"/>
                    <w:tr2bl w:val="nil"/>
                  </w:tcBorders>
                  <w:vAlign w:val="center"/>
                </w:tcPr>
                <w:p w14:paraId="5B778D4F">
                  <w:pPr>
                    <w:spacing w:line="240" w:lineRule="auto"/>
                    <w:ind w:firstLine="0" w:firstLineChars="0"/>
                    <w:jc w:val="center"/>
                    <w:rPr>
                      <w:color w:val="000000" w:themeColor="text1"/>
                      <w:sz w:val="21"/>
                      <w:szCs w:val="21"/>
                    </w:rPr>
                  </w:pPr>
                  <w:r>
                    <w:rPr>
                      <w:color w:val="000000" w:themeColor="text1"/>
                      <w:sz w:val="21"/>
                      <w:szCs w:val="21"/>
                    </w:rPr>
                    <w:t>kg/t-原料</w:t>
                  </w:r>
                </w:p>
              </w:tc>
              <w:tc>
                <w:tcPr>
                  <w:tcW w:w="922" w:type="pct"/>
                  <w:tcBorders>
                    <w:tl2br w:val="nil"/>
                    <w:tr2bl w:val="nil"/>
                  </w:tcBorders>
                  <w:vAlign w:val="center"/>
                </w:tcPr>
                <w:p w14:paraId="23B1CA77">
                  <w:pPr>
                    <w:spacing w:line="240" w:lineRule="auto"/>
                    <w:ind w:firstLine="0" w:firstLineChars="0"/>
                    <w:jc w:val="center"/>
                    <w:rPr>
                      <w:color w:val="000000" w:themeColor="text1"/>
                      <w:sz w:val="21"/>
                      <w:szCs w:val="21"/>
                    </w:rPr>
                  </w:pPr>
                  <w:r>
                    <w:rPr>
                      <w:color w:val="000000" w:themeColor="text1"/>
                      <w:sz w:val="21"/>
                      <w:szCs w:val="21"/>
                    </w:rPr>
                    <w:t>17S</w:t>
                  </w:r>
                  <w:r>
                    <w:rPr>
                      <w:color w:val="000000" w:themeColor="text1"/>
                      <w:sz w:val="21"/>
                      <w:szCs w:val="21"/>
                      <w:vertAlign w:val="superscript"/>
                    </w:rPr>
                    <w:t>①</w:t>
                  </w:r>
                  <w:r>
                    <w:rPr>
                      <w:rFonts w:hint="eastAsia"/>
                      <w:color w:val="000000" w:themeColor="text1"/>
                      <w:sz w:val="21"/>
                      <w:szCs w:val="21"/>
                    </w:rPr>
                    <w:t>（0.85）</w:t>
                  </w:r>
                </w:p>
              </w:tc>
            </w:tr>
            <w:tr w14:paraId="2A831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vMerge w:val="continue"/>
                  <w:tcBorders>
                    <w:tl2br w:val="nil"/>
                    <w:tr2bl w:val="nil"/>
                  </w:tcBorders>
                  <w:vAlign w:val="center"/>
                </w:tcPr>
                <w:p w14:paraId="288B125D">
                  <w:pPr>
                    <w:spacing w:line="240" w:lineRule="auto"/>
                    <w:ind w:firstLine="0" w:firstLineChars="0"/>
                    <w:jc w:val="center"/>
                    <w:rPr>
                      <w:color w:val="000000" w:themeColor="text1"/>
                      <w:sz w:val="21"/>
                      <w:szCs w:val="21"/>
                    </w:rPr>
                  </w:pPr>
                </w:p>
              </w:tc>
              <w:tc>
                <w:tcPr>
                  <w:tcW w:w="748" w:type="pct"/>
                  <w:vMerge w:val="continue"/>
                  <w:tcBorders>
                    <w:tl2br w:val="nil"/>
                    <w:tr2bl w:val="nil"/>
                  </w:tcBorders>
                  <w:vAlign w:val="center"/>
                </w:tcPr>
                <w:p w14:paraId="230FAC56">
                  <w:pPr>
                    <w:spacing w:line="240" w:lineRule="auto"/>
                    <w:ind w:firstLine="0" w:firstLineChars="0"/>
                    <w:jc w:val="center"/>
                    <w:rPr>
                      <w:color w:val="000000" w:themeColor="text1"/>
                      <w:sz w:val="21"/>
                      <w:szCs w:val="21"/>
                    </w:rPr>
                  </w:pPr>
                </w:p>
              </w:tc>
              <w:tc>
                <w:tcPr>
                  <w:tcW w:w="675" w:type="pct"/>
                  <w:vMerge w:val="continue"/>
                  <w:tcBorders>
                    <w:tl2br w:val="nil"/>
                    <w:tr2bl w:val="nil"/>
                  </w:tcBorders>
                  <w:vAlign w:val="center"/>
                </w:tcPr>
                <w:p w14:paraId="66C22E26">
                  <w:pPr>
                    <w:spacing w:line="240" w:lineRule="auto"/>
                    <w:ind w:firstLine="0" w:firstLineChars="0"/>
                    <w:jc w:val="center"/>
                    <w:rPr>
                      <w:color w:val="000000" w:themeColor="text1"/>
                      <w:sz w:val="21"/>
                      <w:szCs w:val="21"/>
                    </w:rPr>
                  </w:pPr>
                </w:p>
              </w:tc>
              <w:tc>
                <w:tcPr>
                  <w:tcW w:w="913" w:type="pct"/>
                  <w:tcBorders>
                    <w:tl2br w:val="nil"/>
                    <w:tr2bl w:val="nil"/>
                  </w:tcBorders>
                  <w:vAlign w:val="center"/>
                </w:tcPr>
                <w:p w14:paraId="3AE94863">
                  <w:pPr>
                    <w:spacing w:line="240" w:lineRule="auto"/>
                    <w:ind w:firstLine="0" w:firstLineChars="0"/>
                    <w:jc w:val="center"/>
                    <w:rPr>
                      <w:color w:val="000000" w:themeColor="text1"/>
                      <w:sz w:val="21"/>
                      <w:szCs w:val="21"/>
                    </w:rPr>
                  </w:pPr>
                  <w:r>
                    <w:rPr>
                      <w:color w:val="000000" w:themeColor="text1"/>
                      <w:sz w:val="21"/>
                      <w:szCs w:val="21"/>
                    </w:rPr>
                    <w:t>氮氧化物</w:t>
                  </w:r>
                </w:p>
              </w:tc>
              <w:tc>
                <w:tcPr>
                  <w:tcW w:w="1059" w:type="pct"/>
                  <w:tcBorders>
                    <w:tl2br w:val="nil"/>
                    <w:tr2bl w:val="nil"/>
                  </w:tcBorders>
                  <w:vAlign w:val="center"/>
                </w:tcPr>
                <w:p w14:paraId="4BFAD1BD">
                  <w:pPr>
                    <w:spacing w:line="240" w:lineRule="auto"/>
                    <w:ind w:firstLine="0" w:firstLineChars="0"/>
                    <w:jc w:val="center"/>
                    <w:rPr>
                      <w:color w:val="000000" w:themeColor="text1"/>
                      <w:sz w:val="21"/>
                      <w:szCs w:val="21"/>
                    </w:rPr>
                  </w:pPr>
                  <w:r>
                    <w:rPr>
                      <w:color w:val="000000" w:themeColor="text1"/>
                      <w:sz w:val="21"/>
                      <w:szCs w:val="21"/>
                    </w:rPr>
                    <w:t>kg/t-原料</w:t>
                  </w:r>
                </w:p>
              </w:tc>
              <w:tc>
                <w:tcPr>
                  <w:tcW w:w="922" w:type="pct"/>
                  <w:tcBorders>
                    <w:tl2br w:val="nil"/>
                    <w:tr2bl w:val="nil"/>
                  </w:tcBorders>
                  <w:vAlign w:val="center"/>
                </w:tcPr>
                <w:p w14:paraId="7085B960">
                  <w:pPr>
                    <w:spacing w:line="240" w:lineRule="auto"/>
                    <w:ind w:firstLine="0" w:firstLineChars="0"/>
                    <w:jc w:val="center"/>
                    <w:rPr>
                      <w:color w:val="000000" w:themeColor="text1"/>
                      <w:sz w:val="21"/>
                      <w:szCs w:val="21"/>
                    </w:rPr>
                  </w:pPr>
                  <w:r>
                    <w:rPr>
                      <w:color w:val="000000" w:themeColor="text1"/>
                      <w:sz w:val="21"/>
                      <w:szCs w:val="21"/>
                    </w:rPr>
                    <w:t>1.02</w:t>
                  </w:r>
                </w:p>
              </w:tc>
            </w:tr>
            <w:tr w14:paraId="1BBB4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2DFE1F2E">
                  <w:pPr>
                    <w:spacing w:line="240" w:lineRule="auto"/>
                    <w:ind w:firstLine="0" w:firstLineChars="0"/>
                    <w:jc w:val="left"/>
                    <w:rPr>
                      <w:color w:val="000000" w:themeColor="text1"/>
                      <w:sz w:val="21"/>
                      <w:szCs w:val="21"/>
                    </w:rPr>
                  </w:pPr>
                  <w:r>
                    <w:rPr>
                      <w:color w:val="000000" w:themeColor="text1"/>
                      <w:sz w:val="21"/>
                      <w:szCs w:val="21"/>
                    </w:rPr>
                    <w:t>注：①S</w:t>
                  </w:r>
                  <w:r>
                    <w:rPr>
                      <w:rFonts w:hint="eastAsia"/>
                      <w:color w:val="000000" w:themeColor="text1"/>
                      <w:sz w:val="21"/>
                      <w:szCs w:val="21"/>
                    </w:rPr>
                    <w:t>—</w:t>
                  </w:r>
                  <w:r>
                    <w:rPr>
                      <w:color w:val="000000" w:themeColor="text1"/>
                      <w:sz w:val="21"/>
                      <w:szCs w:val="21"/>
                    </w:rPr>
                    <w:t>收到基硫分（取值范围0-100，燃料为气体时，取值范围&gt;=0）。</w:t>
                  </w:r>
                  <w:r>
                    <w:rPr>
                      <w:rFonts w:hint="eastAsia"/>
                      <w:color w:val="000000" w:themeColor="text1"/>
                      <w:sz w:val="21"/>
                      <w:szCs w:val="21"/>
                    </w:rPr>
                    <w:t>本项目生物质原料为锯末，采用《生物质成型燃料质量分级》（NBT34024-2015）1级标准要求，</w:t>
                  </w:r>
                  <w:r>
                    <w:rPr>
                      <w:color w:val="000000" w:themeColor="text1"/>
                      <w:sz w:val="21"/>
                      <w:szCs w:val="21"/>
                    </w:rPr>
                    <w:t xml:space="preserve">含硫量（S%) </w:t>
                  </w:r>
                  <w:r>
                    <w:rPr>
                      <w:rFonts w:hint="eastAsia"/>
                      <w:color w:val="000000" w:themeColor="text1"/>
                      <w:sz w:val="21"/>
                      <w:szCs w:val="21"/>
                    </w:rPr>
                    <w:t>取</w:t>
                  </w:r>
                  <w:r>
                    <w:rPr>
                      <w:color w:val="000000" w:themeColor="text1"/>
                      <w:sz w:val="21"/>
                      <w:szCs w:val="21"/>
                    </w:rPr>
                    <w:t>0.0</w:t>
                  </w:r>
                  <w:r>
                    <w:rPr>
                      <w:rFonts w:hint="eastAsia"/>
                      <w:color w:val="000000" w:themeColor="text1"/>
                      <w:sz w:val="21"/>
                      <w:szCs w:val="21"/>
                    </w:rPr>
                    <w:t>5</w:t>
                  </w:r>
                  <w:r>
                    <w:rPr>
                      <w:color w:val="000000" w:themeColor="text1"/>
                      <w:sz w:val="21"/>
                      <w:szCs w:val="21"/>
                    </w:rPr>
                    <w:t>%，则本项目S=0.0</w:t>
                  </w:r>
                  <w:r>
                    <w:rPr>
                      <w:rFonts w:hint="eastAsia"/>
                      <w:color w:val="000000" w:themeColor="text1"/>
                      <w:sz w:val="21"/>
                      <w:szCs w:val="21"/>
                    </w:rPr>
                    <w:t>5</w:t>
                  </w:r>
                  <w:r>
                    <w:rPr>
                      <w:color w:val="000000" w:themeColor="text1"/>
                      <w:sz w:val="21"/>
                      <w:szCs w:val="21"/>
                    </w:rPr>
                    <w:t>。</w:t>
                  </w:r>
                </w:p>
              </w:tc>
            </w:tr>
          </w:tbl>
          <w:p w14:paraId="09318D9E">
            <w:pPr>
              <w:spacing w:line="360" w:lineRule="auto"/>
              <w:ind w:firstLine="480"/>
              <w:jc w:val="left"/>
              <w:rPr>
                <w:color w:val="000000" w:themeColor="text1"/>
                <w:kern w:val="0"/>
              </w:rPr>
            </w:pPr>
            <w:r>
              <w:rPr>
                <w:rFonts w:hint="eastAsia"/>
                <w:color w:val="000000" w:themeColor="text1"/>
                <w:kern w:val="0"/>
              </w:rPr>
              <w:t>燃料燃烧</w:t>
            </w:r>
            <w:r>
              <w:rPr>
                <w:color w:val="000000" w:themeColor="text1"/>
                <w:kern w:val="0"/>
              </w:rPr>
              <w:t>废气量=</w:t>
            </w:r>
            <w:r>
              <w:rPr>
                <w:rFonts w:hint="eastAsia"/>
                <w:color w:val="000000" w:themeColor="text1"/>
                <w:kern w:val="0"/>
              </w:rPr>
              <w:t>328</w:t>
            </w:r>
            <w:r>
              <w:rPr>
                <w:rStyle w:val="27"/>
                <w:b w:val="0"/>
                <w:color w:val="000000" w:themeColor="text1"/>
              </w:rPr>
              <w:t>t/a</w:t>
            </w:r>
            <w:r>
              <w:rPr>
                <w:color w:val="000000" w:themeColor="text1"/>
              </w:rPr>
              <w:t>×</w:t>
            </w:r>
            <w:r>
              <w:rPr>
                <w:snapToGrid w:val="0"/>
                <w:color w:val="000000" w:themeColor="text1"/>
                <w:kern w:val="0"/>
              </w:rPr>
              <w:t>6240</w:t>
            </w:r>
            <w:r>
              <w:rPr>
                <w:color w:val="000000" w:themeColor="text1"/>
                <w:kern w:val="0"/>
              </w:rPr>
              <w:t>m</w:t>
            </w:r>
            <w:r>
              <w:rPr>
                <w:color w:val="000000" w:themeColor="text1"/>
                <w:kern w:val="0"/>
                <w:vertAlign w:val="superscript"/>
              </w:rPr>
              <w:t>3</w:t>
            </w:r>
            <w:r>
              <w:rPr>
                <w:color w:val="000000" w:themeColor="text1"/>
                <w:kern w:val="0"/>
              </w:rPr>
              <w:t>/t-原料=</w:t>
            </w:r>
            <w:r>
              <w:rPr>
                <w:rFonts w:hint="eastAsia"/>
                <w:color w:val="000000" w:themeColor="text1"/>
                <w:kern w:val="0"/>
              </w:rPr>
              <w:t>2046720</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1137</w:t>
            </w:r>
            <w:r>
              <w:rPr>
                <w:color w:val="000000" w:themeColor="text1"/>
                <w:kern w:val="0"/>
              </w:rPr>
              <w:t>m</w:t>
            </w:r>
            <w:r>
              <w:rPr>
                <w:color w:val="000000" w:themeColor="text1"/>
                <w:kern w:val="0"/>
                <w:vertAlign w:val="superscript"/>
              </w:rPr>
              <w:t>3</w:t>
            </w:r>
            <w:r>
              <w:rPr>
                <w:color w:val="000000" w:themeColor="text1"/>
                <w:kern w:val="0"/>
              </w:rPr>
              <w:t>/h）。</w:t>
            </w:r>
          </w:p>
          <w:p w14:paraId="761AEC83">
            <w:pPr>
              <w:pStyle w:val="15"/>
              <w:spacing w:after="0" w:line="360" w:lineRule="auto"/>
              <w:ind w:left="0" w:leftChars="0" w:right="0" w:rightChars="0" w:firstLine="480"/>
              <w:jc w:val="left"/>
              <w:rPr>
                <w:snapToGrid w:val="0"/>
                <w:color w:val="000000" w:themeColor="text1"/>
                <w:kern w:val="0"/>
              </w:rPr>
            </w:pPr>
            <w:r>
              <w:rPr>
                <w:rFonts w:hint="eastAsia"/>
                <w:color w:val="000000" w:themeColor="text1"/>
              </w:rPr>
              <w:t>汞排放量</w:t>
            </w:r>
            <w:r>
              <w:rPr>
                <w:snapToGrid w:val="0"/>
                <w:color w:val="000000" w:themeColor="text1"/>
                <w:kern w:val="0"/>
              </w:rPr>
              <w:t xml:space="preserve">参照《污染源源强核算技术指南 </w:t>
            </w:r>
            <w:r>
              <w:rPr>
                <w:rFonts w:hint="eastAsia"/>
                <w:snapToGrid w:val="0"/>
                <w:color w:val="000000" w:themeColor="text1"/>
                <w:kern w:val="0"/>
              </w:rPr>
              <w:t>锅炉</w:t>
            </w:r>
            <w:r>
              <w:rPr>
                <w:snapToGrid w:val="0"/>
                <w:color w:val="000000" w:themeColor="text1"/>
                <w:kern w:val="0"/>
              </w:rPr>
              <w:t>》（HJ</w:t>
            </w:r>
            <w:r>
              <w:rPr>
                <w:rFonts w:hint="eastAsia"/>
                <w:snapToGrid w:val="0"/>
                <w:color w:val="000000" w:themeColor="text1"/>
                <w:kern w:val="0"/>
              </w:rPr>
              <w:t>991</w:t>
            </w:r>
            <w:r>
              <w:rPr>
                <w:snapToGrid w:val="0"/>
                <w:color w:val="000000" w:themeColor="text1"/>
                <w:kern w:val="0"/>
              </w:rPr>
              <w:t>-2018）</w:t>
            </w:r>
            <w:r>
              <w:rPr>
                <w:rFonts w:hint="eastAsia"/>
                <w:snapToGrid w:val="0"/>
                <w:color w:val="000000" w:themeColor="text1"/>
                <w:kern w:val="0"/>
              </w:rPr>
              <w:t>中</w:t>
            </w:r>
            <w:r>
              <w:rPr>
                <w:snapToGrid w:val="0"/>
                <w:color w:val="000000" w:themeColor="text1"/>
                <w:kern w:val="0"/>
              </w:rPr>
              <w:t>汞及其化合物排放量计算公式：</w:t>
            </w:r>
          </w:p>
          <w:p w14:paraId="5C9579D4">
            <w:pPr>
              <w:spacing w:line="360" w:lineRule="auto"/>
              <w:ind w:firstLine="480"/>
              <w:jc w:val="left"/>
              <w:rPr>
                <w:color w:val="000000" w:themeColor="text1"/>
              </w:rPr>
            </w:pPr>
            <w:r>
              <w:rPr>
                <w:color w:val="000000" w:themeColor="text1"/>
              </w:rPr>
              <w:drawing>
                <wp:inline distT="0" distB="0" distL="114300" distR="114300">
                  <wp:extent cx="2324100" cy="476250"/>
                  <wp:effectExtent l="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cstate="print"/>
                          <a:stretch>
                            <a:fillRect/>
                          </a:stretch>
                        </pic:blipFill>
                        <pic:spPr>
                          <a:xfrm>
                            <a:off x="0" y="0"/>
                            <a:ext cx="2324100" cy="476250"/>
                          </a:xfrm>
                          <a:prstGeom prst="rect">
                            <a:avLst/>
                          </a:prstGeom>
                          <a:noFill/>
                          <a:ln>
                            <a:noFill/>
                          </a:ln>
                        </pic:spPr>
                      </pic:pic>
                    </a:graphicData>
                  </a:graphic>
                </wp:inline>
              </w:drawing>
            </w:r>
          </w:p>
          <w:p w14:paraId="573FBBB9">
            <w:pPr>
              <w:pStyle w:val="15"/>
              <w:spacing w:after="0" w:line="360" w:lineRule="auto"/>
              <w:ind w:left="0" w:leftChars="0" w:right="0" w:rightChars="0" w:firstLine="480"/>
              <w:jc w:val="left"/>
              <w:rPr>
                <w:snapToGrid w:val="0"/>
                <w:color w:val="000000" w:themeColor="text1"/>
                <w:kern w:val="0"/>
              </w:rPr>
            </w:pPr>
            <w:r>
              <w:rPr>
                <w:snapToGrid w:val="0"/>
                <w:color w:val="000000" w:themeColor="text1"/>
                <w:kern w:val="0"/>
              </w:rPr>
              <w:t>式中：</w:t>
            </w:r>
          </w:p>
          <w:p w14:paraId="66F51EEC">
            <w:pPr>
              <w:pStyle w:val="15"/>
              <w:spacing w:after="0" w:line="360" w:lineRule="auto"/>
              <w:ind w:left="0" w:leftChars="0" w:right="0" w:rightChars="0" w:firstLine="480"/>
              <w:jc w:val="left"/>
              <w:rPr>
                <w:snapToGrid w:val="0"/>
                <w:color w:val="000000" w:themeColor="text1"/>
                <w:kern w:val="0"/>
              </w:rPr>
            </w:pPr>
            <w:r>
              <w:rPr>
                <w:rFonts w:hint="eastAsia"/>
                <w:snapToGrid w:val="0"/>
                <w:color w:val="000000" w:themeColor="text1"/>
                <w:kern w:val="0"/>
              </w:rPr>
              <w:t>E</w:t>
            </w:r>
            <w:r>
              <w:rPr>
                <w:snapToGrid w:val="0"/>
                <w:color w:val="000000" w:themeColor="text1"/>
                <w:kern w:val="0"/>
                <w:vertAlign w:val="subscript"/>
              </w:rPr>
              <w:t>Hg</w:t>
            </w:r>
            <w:r>
              <w:rPr>
                <w:snapToGrid w:val="0"/>
                <w:color w:val="000000" w:themeColor="text1"/>
                <w:kern w:val="0"/>
              </w:rPr>
              <w:t>——核算时段内汞及其化合物排放量（以汞计），t；</w:t>
            </w:r>
          </w:p>
          <w:p w14:paraId="2FCE2B32">
            <w:pPr>
              <w:pStyle w:val="15"/>
              <w:spacing w:after="0" w:line="360" w:lineRule="auto"/>
              <w:ind w:left="0" w:leftChars="0" w:right="0" w:rightChars="0" w:firstLine="480"/>
              <w:jc w:val="left"/>
              <w:rPr>
                <w:snapToGrid w:val="0"/>
                <w:color w:val="000000" w:themeColor="text1"/>
                <w:kern w:val="0"/>
              </w:rPr>
            </w:pPr>
            <w:r>
              <w:rPr>
                <w:rFonts w:hint="eastAsia"/>
                <w:snapToGrid w:val="0"/>
                <w:color w:val="000000" w:themeColor="text1"/>
                <w:kern w:val="0"/>
              </w:rPr>
              <w:t>R</w:t>
            </w:r>
            <w:r>
              <w:rPr>
                <w:snapToGrid w:val="0"/>
                <w:color w:val="000000" w:themeColor="text1"/>
                <w:kern w:val="0"/>
              </w:rPr>
              <w:t>——核算时段内锅炉燃料耗量，t；</w:t>
            </w:r>
            <w:r>
              <w:rPr>
                <w:rFonts w:hint="eastAsia"/>
                <w:snapToGrid w:val="0"/>
                <w:color w:val="000000" w:themeColor="text1"/>
                <w:kern w:val="0"/>
              </w:rPr>
              <w:t>328t/a；</w:t>
            </w:r>
          </w:p>
          <w:p w14:paraId="13684D4A">
            <w:pPr>
              <w:pStyle w:val="15"/>
              <w:spacing w:after="0" w:line="360" w:lineRule="auto"/>
              <w:ind w:left="0" w:leftChars="0" w:right="0" w:rightChars="0" w:firstLine="480"/>
              <w:jc w:val="left"/>
              <w:rPr>
                <w:snapToGrid w:val="0"/>
                <w:color w:val="000000" w:themeColor="text1"/>
                <w:kern w:val="0"/>
              </w:rPr>
            </w:pPr>
            <w:r>
              <w:rPr>
                <w:snapToGrid w:val="0"/>
                <w:color w:val="000000" w:themeColor="text1"/>
                <w:kern w:val="0"/>
              </w:rPr>
              <w:t>m</w:t>
            </w:r>
            <w:r>
              <w:rPr>
                <w:snapToGrid w:val="0"/>
                <w:color w:val="000000" w:themeColor="text1"/>
                <w:kern w:val="0"/>
                <w:vertAlign w:val="subscript"/>
              </w:rPr>
              <w:t>Hgar</w:t>
            </w:r>
            <w:r>
              <w:rPr>
                <w:snapToGrid w:val="0"/>
                <w:color w:val="000000" w:themeColor="text1"/>
                <w:kern w:val="0"/>
              </w:rPr>
              <w:t>——收到基汞的含量，μg/g</w:t>
            </w:r>
            <w:r>
              <w:rPr>
                <w:rFonts w:hint="eastAsia"/>
                <w:snapToGrid w:val="0"/>
                <w:color w:val="000000" w:themeColor="text1"/>
                <w:kern w:val="0"/>
              </w:rPr>
              <w:t>；参照</w:t>
            </w:r>
            <w:r>
              <w:rPr>
                <w:snapToGrid w:val="0"/>
                <w:color w:val="000000" w:themeColor="text1"/>
                <w:kern w:val="0"/>
              </w:rPr>
              <w:t>《中国农村地区生物质燃料燃烧的汞排放研究》（北京大学）</w:t>
            </w:r>
            <w:r>
              <w:rPr>
                <w:rFonts w:hint="eastAsia"/>
                <w:snapToGrid w:val="0"/>
                <w:color w:val="000000" w:themeColor="text1"/>
                <w:kern w:val="0"/>
              </w:rPr>
              <w:t>中颗粒燃料颗粒松木中汞含量16.60ng/g（16.60</w:t>
            </w:r>
            <w:r>
              <w:rPr>
                <w:snapToGrid w:val="0"/>
                <w:color w:val="000000" w:themeColor="text1"/>
                <w:kern w:val="0"/>
              </w:rPr>
              <w:t>×10</w:t>
            </w:r>
            <w:r>
              <w:rPr>
                <w:snapToGrid w:val="0"/>
                <w:color w:val="000000" w:themeColor="text1"/>
                <w:kern w:val="0"/>
                <w:vertAlign w:val="superscript"/>
              </w:rPr>
              <w:t>-3</w:t>
            </w:r>
            <w:r>
              <w:rPr>
                <w:snapToGrid w:val="0"/>
                <w:color w:val="000000" w:themeColor="text1"/>
                <w:kern w:val="0"/>
              </w:rPr>
              <w:t>μg/g</w:t>
            </w:r>
            <w:r>
              <w:rPr>
                <w:rFonts w:hint="eastAsia"/>
                <w:snapToGrid w:val="0"/>
                <w:color w:val="000000" w:themeColor="text1"/>
                <w:kern w:val="0"/>
              </w:rPr>
              <w:t>）</w:t>
            </w:r>
            <w:r>
              <w:rPr>
                <w:snapToGrid w:val="0"/>
                <w:color w:val="000000" w:themeColor="text1"/>
                <w:kern w:val="0"/>
              </w:rPr>
              <w:t>；</w:t>
            </w:r>
          </w:p>
          <w:p w14:paraId="540B8B48">
            <w:pPr>
              <w:pStyle w:val="15"/>
              <w:spacing w:after="0" w:line="360" w:lineRule="auto"/>
              <w:ind w:left="0" w:leftChars="0" w:right="0" w:rightChars="0" w:firstLine="480"/>
              <w:jc w:val="left"/>
              <w:rPr>
                <w:snapToGrid w:val="0"/>
                <w:color w:val="000000" w:themeColor="text1"/>
                <w:kern w:val="0"/>
              </w:rPr>
            </w:pPr>
            <w:r>
              <w:rPr>
                <w:snapToGrid w:val="0"/>
                <w:color w:val="000000" w:themeColor="text1"/>
                <w:kern w:val="0"/>
              </w:rPr>
              <w:t>η</w:t>
            </w:r>
            <w:r>
              <w:rPr>
                <w:snapToGrid w:val="0"/>
                <w:color w:val="000000" w:themeColor="text1"/>
                <w:kern w:val="0"/>
                <w:vertAlign w:val="subscript"/>
              </w:rPr>
              <w:t>Hg</w:t>
            </w:r>
            <w:r>
              <w:rPr>
                <w:snapToGrid w:val="0"/>
                <w:color w:val="000000" w:themeColor="text1"/>
                <w:kern w:val="0"/>
              </w:rPr>
              <w:t>——汞的协同</w:t>
            </w:r>
            <w:r>
              <w:rPr>
                <w:rFonts w:hint="eastAsia"/>
                <w:snapToGrid w:val="0"/>
                <w:color w:val="000000" w:themeColor="text1"/>
                <w:kern w:val="0"/>
              </w:rPr>
              <w:t>脱除</w:t>
            </w:r>
            <w:r>
              <w:rPr>
                <w:snapToGrid w:val="0"/>
                <w:color w:val="000000" w:themeColor="text1"/>
                <w:kern w:val="0"/>
              </w:rPr>
              <w:t>效率，</w:t>
            </w:r>
            <w:r>
              <w:rPr>
                <w:rFonts w:hint="eastAsia"/>
                <w:snapToGrid w:val="0"/>
                <w:color w:val="000000" w:themeColor="text1"/>
                <w:kern w:val="0"/>
              </w:rPr>
              <w:t>%；根据附录B，除尘等污染防治设施对汞及其化合物具有协同脱除效果，脱除效率约</w:t>
            </w:r>
            <w:r>
              <w:rPr>
                <w:snapToGrid w:val="0"/>
                <w:color w:val="000000" w:themeColor="text1"/>
                <w:kern w:val="0"/>
              </w:rPr>
              <w:t>70%。</w:t>
            </w:r>
          </w:p>
          <w:p w14:paraId="36D5805B">
            <w:pPr>
              <w:spacing w:line="360" w:lineRule="auto"/>
              <w:ind w:firstLine="480"/>
              <w:jc w:val="left"/>
              <w:rPr>
                <w:color w:val="000000" w:themeColor="text1"/>
              </w:rPr>
            </w:pPr>
            <w:r>
              <w:rPr>
                <w:color w:val="000000" w:themeColor="text1"/>
              </w:rPr>
              <w:t>热风炉</w:t>
            </w:r>
            <w:r>
              <w:rPr>
                <w:rFonts w:hint="eastAsia"/>
                <w:color w:val="000000" w:themeColor="text1"/>
              </w:rPr>
              <w:t>燃料</w:t>
            </w:r>
            <w:r>
              <w:rPr>
                <w:color w:val="000000" w:themeColor="text1"/>
              </w:rPr>
              <w:t>燃烧废气源强核算过程见下表</w:t>
            </w:r>
            <w:r>
              <w:rPr>
                <w:rFonts w:hint="eastAsia"/>
                <w:color w:val="000000" w:themeColor="text1"/>
              </w:rPr>
              <w:t>。</w:t>
            </w:r>
          </w:p>
          <w:p w14:paraId="433AB41A">
            <w:pPr>
              <w:spacing w:line="360" w:lineRule="auto"/>
              <w:ind w:firstLine="480"/>
              <w:jc w:val="left"/>
              <w:rPr>
                <w:color w:val="000000" w:themeColor="text1"/>
              </w:rPr>
            </w:pPr>
          </w:p>
          <w:p w14:paraId="571215A2">
            <w:pPr>
              <w:spacing w:line="360" w:lineRule="auto"/>
              <w:ind w:firstLine="480"/>
              <w:jc w:val="left"/>
              <w:rPr>
                <w:color w:val="000000" w:themeColor="text1"/>
              </w:rPr>
            </w:pPr>
          </w:p>
          <w:p w14:paraId="04421124">
            <w:pPr>
              <w:spacing w:line="360" w:lineRule="auto"/>
              <w:ind w:firstLine="480"/>
              <w:jc w:val="left"/>
              <w:rPr>
                <w:color w:val="000000" w:themeColor="text1"/>
              </w:rPr>
            </w:pPr>
          </w:p>
          <w:p w14:paraId="05BF4236">
            <w:pPr>
              <w:spacing w:line="360" w:lineRule="auto"/>
              <w:ind w:firstLine="480"/>
              <w:jc w:val="left"/>
              <w:rPr>
                <w:color w:val="000000" w:themeColor="text1"/>
              </w:rPr>
            </w:pPr>
          </w:p>
          <w:p w14:paraId="1C01BDB7">
            <w:pPr>
              <w:spacing w:line="360" w:lineRule="auto"/>
              <w:ind w:firstLine="480"/>
              <w:jc w:val="left"/>
              <w:rPr>
                <w:color w:val="000000" w:themeColor="text1"/>
              </w:rPr>
            </w:pPr>
          </w:p>
          <w:p w14:paraId="6C2903CE">
            <w:pPr>
              <w:spacing w:line="360" w:lineRule="auto"/>
              <w:ind w:firstLine="480"/>
              <w:jc w:val="left"/>
              <w:rPr>
                <w:color w:val="000000" w:themeColor="text1"/>
              </w:rPr>
            </w:pPr>
          </w:p>
          <w:p w14:paraId="1A5B9A8B">
            <w:pPr>
              <w:spacing w:line="360" w:lineRule="auto"/>
              <w:ind w:firstLine="480"/>
              <w:jc w:val="left"/>
              <w:rPr>
                <w:color w:val="000000" w:themeColor="text1"/>
              </w:rPr>
            </w:pPr>
          </w:p>
          <w:p w14:paraId="32E78D91">
            <w:pPr>
              <w:spacing w:line="360" w:lineRule="auto"/>
              <w:ind w:firstLine="480"/>
              <w:jc w:val="left"/>
              <w:rPr>
                <w:color w:val="000000" w:themeColor="text1"/>
              </w:rPr>
            </w:pPr>
          </w:p>
          <w:p w14:paraId="476D680D">
            <w:pPr>
              <w:spacing w:line="360" w:lineRule="auto"/>
              <w:ind w:firstLine="480"/>
              <w:jc w:val="left"/>
              <w:rPr>
                <w:color w:val="000000" w:themeColor="text1"/>
              </w:rPr>
            </w:pPr>
          </w:p>
          <w:p w14:paraId="0201D175">
            <w:pPr>
              <w:spacing w:line="360" w:lineRule="auto"/>
              <w:ind w:firstLine="480"/>
              <w:jc w:val="left"/>
              <w:rPr>
                <w:color w:val="000000" w:themeColor="text1"/>
              </w:rPr>
            </w:pPr>
          </w:p>
          <w:p w14:paraId="0BAC0B8B">
            <w:pPr>
              <w:spacing w:line="360" w:lineRule="auto"/>
              <w:ind w:firstLine="0" w:firstLineChars="0"/>
              <w:jc w:val="left"/>
              <w:rPr>
                <w:color w:val="000000" w:themeColor="text1"/>
              </w:rPr>
            </w:pPr>
          </w:p>
        </w:tc>
      </w:tr>
    </w:tbl>
    <w:p w14:paraId="740162AF">
      <w:pPr>
        <w:ind w:firstLine="480"/>
        <w:rPr>
          <w:color w:val="000000" w:themeColor="text1"/>
        </w:rPr>
        <w:sectPr>
          <w:pgSz w:w="11906" w:h="16838"/>
          <w:pgMar w:top="1440" w:right="1247" w:bottom="1440" w:left="1417" w:header="851" w:footer="992" w:gutter="0"/>
          <w:cols w:space="425" w:num="1"/>
          <w:docGrid w:type="lines"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3553"/>
      </w:tblGrid>
      <w:tr w14:paraId="5F5BF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tcBorders>
              <w:tl2br w:val="nil"/>
              <w:tr2bl w:val="nil"/>
            </w:tcBorders>
            <w:vAlign w:val="center"/>
          </w:tcPr>
          <w:p w14:paraId="4A9C15CB">
            <w:pPr>
              <w:pStyle w:val="35"/>
              <w:rPr>
                <w:color w:val="000000" w:themeColor="text1"/>
              </w:rPr>
            </w:pPr>
          </w:p>
        </w:tc>
        <w:tc>
          <w:tcPr>
            <w:tcW w:w="13553" w:type="dxa"/>
            <w:tcBorders>
              <w:tl2br w:val="nil"/>
              <w:tr2bl w:val="nil"/>
            </w:tcBorders>
          </w:tcPr>
          <w:p w14:paraId="75153C6D">
            <w:pPr>
              <w:spacing w:line="240" w:lineRule="auto"/>
              <w:ind w:firstLine="0" w:firstLineChars="0"/>
              <w:jc w:val="center"/>
              <w:rPr>
                <w:b/>
                <w:bCs/>
                <w:color w:val="000000" w:themeColor="text1"/>
                <w:sz w:val="21"/>
                <w:szCs w:val="21"/>
              </w:rPr>
            </w:pPr>
            <w:r>
              <w:rPr>
                <w:b/>
                <w:bCs/>
                <w:color w:val="000000" w:themeColor="text1"/>
                <w:sz w:val="21"/>
                <w:szCs w:val="21"/>
              </w:rPr>
              <w:t>表2</w:t>
            </w:r>
            <w:r>
              <w:rPr>
                <w:rFonts w:hint="eastAsia"/>
                <w:b/>
                <w:bCs/>
                <w:color w:val="000000" w:themeColor="text1"/>
                <w:sz w:val="21"/>
                <w:szCs w:val="21"/>
              </w:rPr>
              <w:t>6</w:t>
            </w:r>
            <w:r>
              <w:rPr>
                <w:b/>
                <w:bCs/>
                <w:color w:val="000000" w:themeColor="text1"/>
                <w:sz w:val="21"/>
                <w:szCs w:val="21"/>
              </w:rPr>
              <w:t xml:space="preserve">   热风炉</w:t>
            </w:r>
            <w:r>
              <w:rPr>
                <w:rFonts w:hint="eastAsia"/>
                <w:b/>
                <w:bCs/>
                <w:color w:val="000000" w:themeColor="text1"/>
                <w:sz w:val="21"/>
                <w:szCs w:val="21"/>
              </w:rPr>
              <w:t>燃料</w:t>
            </w:r>
            <w:r>
              <w:rPr>
                <w:b/>
                <w:bCs/>
                <w:color w:val="000000" w:themeColor="text1"/>
                <w:sz w:val="21"/>
                <w:szCs w:val="21"/>
              </w:rPr>
              <w:t>燃烧废气源强核算过程一览表</w:t>
            </w:r>
          </w:p>
          <w:tbl>
            <w:tblPr>
              <w:tblStyle w:val="24"/>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215"/>
              <w:gridCol w:w="1186"/>
              <w:gridCol w:w="1276"/>
              <w:gridCol w:w="974"/>
              <w:gridCol w:w="1154"/>
              <w:gridCol w:w="1379"/>
              <w:gridCol w:w="1275"/>
              <w:gridCol w:w="1574"/>
              <w:gridCol w:w="1746"/>
            </w:tblGrid>
            <w:tr w14:paraId="6C33E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3D97714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458" w:type="pct"/>
                  <w:tcBorders>
                    <w:tl2br w:val="nil"/>
                    <w:tr2bl w:val="nil"/>
                  </w:tcBorders>
                  <w:noWrap/>
                  <w:vAlign w:val="center"/>
                </w:tcPr>
                <w:p w14:paraId="326BC35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作业时间</w:t>
                  </w:r>
                  <w:r>
                    <w:rPr>
                      <w:rFonts w:hint="eastAsia"/>
                      <w:b/>
                      <w:bCs/>
                      <w:snapToGrid w:val="0"/>
                      <w:color w:val="000000" w:themeColor="text1"/>
                      <w:kern w:val="0"/>
                      <w:sz w:val="21"/>
                      <w:szCs w:val="21"/>
                    </w:rPr>
                    <w:t>（h</w:t>
                  </w:r>
                  <w:r>
                    <w:rPr>
                      <w:b/>
                      <w:bCs/>
                      <w:snapToGrid w:val="0"/>
                      <w:color w:val="000000" w:themeColor="text1"/>
                      <w:kern w:val="0"/>
                      <w:sz w:val="21"/>
                      <w:szCs w:val="21"/>
                    </w:rPr>
                    <w:t>/a</w:t>
                  </w:r>
                  <w:r>
                    <w:rPr>
                      <w:rFonts w:hint="eastAsia"/>
                      <w:b/>
                      <w:bCs/>
                      <w:snapToGrid w:val="0"/>
                      <w:color w:val="000000" w:themeColor="text1"/>
                      <w:kern w:val="0"/>
                      <w:sz w:val="21"/>
                      <w:szCs w:val="21"/>
                    </w:rPr>
                    <w:t>）</w:t>
                  </w:r>
                </w:p>
              </w:tc>
              <w:tc>
                <w:tcPr>
                  <w:tcW w:w="447" w:type="pct"/>
                  <w:tcBorders>
                    <w:tl2br w:val="nil"/>
                    <w:tr2bl w:val="nil"/>
                  </w:tcBorders>
                  <w:noWrap/>
                  <w:vAlign w:val="center"/>
                </w:tcPr>
                <w:p w14:paraId="39C91DBB">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产生量（t/a）</w:t>
                  </w:r>
                </w:p>
              </w:tc>
              <w:tc>
                <w:tcPr>
                  <w:tcW w:w="481" w:type="pct"/>
                  <w:tcBorders>
                    <w:tl2br w:val="nil"/>
                    <w:tr2bl w:val="nil"/>
                  </w:tcBorders>
                  <w:noWrap/>
                  <w:vAlign w:val="center"/>
                </w:tcPr>
                <w:p w14:paraId="56EF683F">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产生速率（kg/h）</w:t>
                  </w:r>
                </w:p>
              </w:tc>
              <w:tc>
                <w:tcPr>
                  <w:tcW w:w="367" w:type="pct"/>
                  <w:tcBorders>
                    <w:tl2br w:val="nil"/>
                    <w:tr2bl w:val="nil"/>
                  </w:tcBorders>
                  <w:noWrap/>
                  <w:vAlign w:val="center"/>
                </w:tcPr>
                <w:p w14:paraId="1FEC6E68">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收集效率（%）</w:t>
                  </w:r>
                </w:p>
              </w:tc>
              <w:tc>
                <w:tcPr>
                  <w:tcW w:w="435" w:type="pct"/>
                  <w:tcBorders>
                    <w:tl2br w:val="nil"/>
                    <w:tr2bl w:val="nil"/>
                  </w:tcBorders>
                  <w:noWrap/>
                  <w:vAlign w:val="center"/>
                </w:tcPr>
                <w:p w14:paraId="180AB906">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收集量（t/a）</w:t>
                  </w:r>
                </w:p>
              </w:tc>
              <w:tc>
                <w:tcPr>
                  <w:tcW w:w="520" w:type="pct"/>
                  <w:tcBorders>
                    <w:tl2br w:val="nil"/>
                    <w:tr2bl w:val="nil"/>
                  </w:tcBorders>
                  <w:noWrap/>
                  <w:vAlign w:val="center"/>
                </w:tcPr>
                <w:p w14:paraId="17B06F75">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收集速率（kg/h）</w:t>
                  </w:r>
                </w:p>
              </w:tc>
              <w:tc>
                <w:tcPr>
                  <w:tcW w:w="481" w:type="pct"/>
                  <w:tcBorders>
                    <w:tl2br w:val="nil"/>
                    <w:tr2bl w:val="nil"/>
                  </w:tcBorders>
                  <w:noWrap/>
                  <w:vAlign w:val="center"/>
                </w:tcPr>
                <w:p w14:paraId="0ED00D5F">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处理效率（%）</w:t>
                  </w:r>
                </w:p>
              </w:tc>
              <w:tc>
                <w:tcPr>
                  <w:tcW w:w="594" w:type="pct"/>
                  <w:tcBorders>
                    <w:tl2br w:val="nil"/>
                    <w:tr2bl w:val="nil"/>
                  </w:tcBorders>
                  <w:noWrap/>
                  <w:vAlign w:val="center"/>
                </w:tcPr>
                <w:p w14:paraId="2C3C2F5E">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有组织排放量（t/a）</w:t>
                  </w:r>
                </w:p>
              </w:tc>
              <w:tc>
                <w:tcPr>
                  <w:tcW w:w="658" w:type="pct"/>
                  <w:tcBorders>
                    <w:tl2br w:val="nil"/>
                    <w:tr2bl w:val="nil"/>
                  </w:tcBorders>
                  <w:noWrap/>
                  <w:vAlign w:val="center"/>
                </w:tcPr>
                <w:p w14:paraId="383E3CE4">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有组织排放速率（kg/h）</w:t>
                  </w:r>
                </w:p>
              </w:tc>
            </w:tr>
            <w:tr w14:paraId="45D9B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5B4CA447">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458" w:type="pct"/>
                  <w:vMerge w:val="restart"/>
                  <w:tcBorders>
                    <w:tl2br w:val="nil"/>
                    <w:tr2bl w:val="nil"/>
                  </w:tcBorders>
                  <w:noWrap/>
                  <w:vAlign w:val="center"/>
                </w:tcPr>
                <w:p w14:paraId="346A4612">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1800</w:t>
                  </w:r>
                </w:p>
              </w:tc>
              <w:tc>
                <w:tcPr>
                  <w:tcW w:w="447" w:type="pct"/>
                  <w:tcBorders>
                    <w:tl2br w:val="nil"/>
                    <w:tr2bl w:val="nil"/>
                  </w:tcBorders>
                  <w:noWrap/>
                  <w:vAlign w:val="center"/>
                </w:tcPr>
                <w:p w14:paraId="3C8F73C0">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12.333</w:t>
                  </w:r>
                </w:p>
              </w:tc>
              <w:tc>
                <w:tcPr>
                  <w:tcW w:w="1275" w:type="dxa"/>
                  <w:tcBorders>
                    <w:tl2br w:val="nil"/>
                    <w:tr2bl w:val="nil"/>
                  </w:tcBorders>
                  <w:noWrap/>
                  <w:vAlign w:val="center"/>
                </w:tcPr>
                <w:p w14:paraId="41E392CD">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6.852 </w:t>
                  </w:r>
                </w:p>
              </w:tc>
              <w:tc>
                <w:tcPr>
                  <w:tcW w:w="367" w:type="pct"/>
                  <w:vMerge w:val="restart"/>
                  <w:tcBorders>
                    <w:tl2br w:val="nil"/>
                    <w:tr2bl w:val="nil"/>
                  </w:tcBorders>
                  <w:noWrap/>
                  <w:vAlign w:val="center"/>
                </w:tcPr>
                <w:p w14:paraId="12E0B3F0">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100</w:t>
                  </w:r>
                </w:p>
              </w:tc>
              <w:tc>
                <w:tcPr>
                  <w:tcW w:w="1155" w:type="dxa"/>
                  <w:tcBorders>
                    <w:tl2br w:val="nil"/>
                    <w:tr2bl w:val="nil"/>
                  </w:tcBorders>
                  <w:shd w:val="clear" w:color="auto" w:fill="auto"/>
                  <w:noWrap/>
                  <w:vAlign w:val="center"/>
                </w:tcPr>
                <w:p w14:paraId="2EEE0894">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12.333</w:t>
                  </w:r>
                </w:p>
              </w:tc>
              <w:tc>
                <w:tcPr>
                  <w:tcW w:w="1380" w:type="dxa"/>
                  <w:tcBorders>
                    <w:tl2br w:val="nil"/>
                    <w:tr2bl w:val="nil"/>
                  </w:tcBorders>
                  <w:shd w:val="clear" w:color="auto" w:fill="auto"/>
                  <w:noWrap/>
                  <w:vAlign w:val="center"/>
                </w:tcPr>
                <w:p w14:paraId="10ADEF8D">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6.852 </w:t>
                  </w:r>
                </w:p>
              </w:tc>
              <w:tc>
                <w:tcPr>
                  <w:tcW w:w="481" w:type="pct"/>
                  <w:tcBorders>
                    <w:tl2br w:val="nil"/>
                    <w:tr2bl w:val="nil"/>
                  </w:tcBorders>
                  <w:noWrap/>
                  <w:vAlign w:val="center"/>
                </w:tcPr>
                <w:p w14:paraId="14518644">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99.9</w:t>
                  </w:r>
                </w:p>
              </w:tc>
              <w:tc>
                <w:tcPr>
                  <w:tcW w:w="594" w:type="pct"/>
                  <w:tcBorders>
                    <w:tl2br w:val="nil"/>
                    <w:tr2bl w:val="nil"/>
                  </w:tcBorders>
                  <w:noWrap/>
                  <w:vAlign w:val="center"/>
                </w:tcPr>
                <w:p w14:paraId="123B4B1A">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0.012</w:t>
                  </w:r>
                </w:p>
              </w:tc>
              <w:tc>
                <w:tcPr>
                  <w:tcW w:w="658" w:type="pct"/>
                  <w:tcBorders>
                    <w:tl2br w:val="nil"/>
                    <w:tr2bl w:val="nil"/>
                  </w:tcBorders>
                  <w:noWrap/>
                  <w:vAlign w:val="center"/>
                </w:tcPr>
                <w:p w14:paraId="3F17FD85">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0.007</w:t>
                  </w:r>
                </w:p>
              </w:tc>
            </w:tr>
            <w:tr w14:paraId="02B34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2D07FD6C">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SO</w:t>
                  </w:r>
                  <w:r>
                    <w:rPr>
                      <w:snapToGrid w:val="0"/>
                      <w:color w:val="000000" w:themeColor="text1"/>
                      <w:kern w:val="0"/>
                      <w:sz w:val="21"/>
                      <w:szCs w:val="21"/>
                      <w:vertAlign w:val="subscript"/>
                    </w:rPr>
                    <w:t>2</w:t>
                  </w:r>
                </w:p>
              </w:tc>
              <w:tc>
                <w:tcPr>
                  <w:tcW w:w="458" w:type="pct"/>
                  <w:vMerge w:val="continue"/>
                  <w:tcBorders>
                    <w:tl2br w:val="nil"/>
                    <w:tr2bl w:val="nil"/>
                  </w:tcBorders>
                  <w:noWrap/>
                  <w:vAlign w:val="center"/>
                </w:tcPr>
                <w:p w14:paraId="4721700D">
                  <w:pPr>
                    <w:spacing w:line="240" w:lineRule="auto"/>
                    <w:ind w:firstLine="0" w:firstLineChars="0"/>
                    <w:jc w:val="center"/>
                    <w:rPr>
                      <w:snapToGrid w:val="0"/>
                      <w:color w:val="000000" w:themeColor="text1"/>
                      <w:kern w:val="0"/>
                      <w:sz w:val="21"/>
                      <w:szCs w:val="21"/>
                    </w:rPr>
                  </w:pPr>
                </w:p>
              </w:tc>
              <w:tc>
                <w:tcPr>
                  <w:tcW w:w="447" w:type="pct"/>
                  <w:tcBorders>
                    <w:tl2br w:val="nil"/>
                    <w:tr2bl w:val="nil"/>
                  </w:tcBorders>
                  <w:noWrap/>
                  <w:vAlign w:val="center"/>
                </w:tcPr>
                <w:p w14:paraId="20A90CA8">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0.279</w:t>
                  </w:r>
                </w:p>
              </w:tc>
              <w:tc>
                <w:tcPr>
                  <w:tcW w:w="1275" w:type="dxa"/>
                  <w:tcBorders>
                    <w:tl2br w:val="nil"/>
                    <w:tr2bl w:val="nil"/>
                  </w:tcBorders>
                  <w:noWrap/>
                  <w:vAlign w:val="center"/>
                </w:tcPr>
                <w:p w14:paraId="32716465">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0.1</w:t>
                  </w:r>
                  <w:r>
                    <w:rPr>
                      <w:rFonts w:hint="eastAsia"/>
                      <w:snapToGrid w:val="0"/>
                      <w:color w:val="000000" w:themeColor="text1"/>
                      <w:kern w:val="0"/>
                      <w:sz w:val="21"/>
                      <w:szCs w:val="21"/>
                    </w:rPr>
                    <w:t>55</w:t>
                  </w:r>
                  <w:r>
                    <w:rPr>
                      <w:snapToGrid w:val="0"/>
                      <w:color w:val="000000" w:themeColor="text1"/>
                      <w:kern w:val="0"/>
                      <w:sz w:val="21"/>
                      <w:szCs w:val="21"/>
                    </w:rPr>
                    <w:t xml:space="preserve"> </w:t>
                  </w:r>
                </w:p>
              </w:tc>
              <w:tc>
                <w:tcPr>
                  <w:tcW w:w="367" w:type="pct"/>
                  <w:vMerge w:val="continue"/>
                  <w:tcBorders>
                    <w:tl2br w:val="nil"/>
                    <w:tr2bl w:val="nil"/>
                  </w:tcBorders>
                  <w:noWrap/>
                  <w:vAlign w:val="center"/>
                </w:tcPr>
                <w:p w14:paraId="39751AD7">
                  <w:pPr>
                    <w:widowControl/>
                    <w:spacing w:line="240" w:lineRule="auto"/>
                    <w:ind w:firstLine="0" w:firstLineChars="0"/>
                    <w:jc w:val="center"/>
                    <w:textAlignment w:val="center"/>
                    <w:rPr>
                      <w:snapToGrid w:val="0"/>
                      <w:color w:val="000000" w:themeColor="text1"/>
                      <w:kern w:val="0"/>
                      <w:sz w:val="21"/>
                      <w:szCs w:val="21"/>
                    </w:rPr>
                  </w:pPr>
                </w:p>
              </w:tc>
              <w:tc>
                <w:tcPr>
                  <w:tcW w:w="1155" w:type="dxa"/>
                  <w:tcBorders>
                    <w:tl2br w:val="nil"/>
                    <w:tr2bl w:val="nil"/>
                  </w:tcBorders>
                  <w:shd w:val="clear" w:color="auto" w:fill="auto"/>
                  <w:noWrap/>
                  <w:vAlign w:val="center"/>
                </w:tcPr>
                <w:p w14:paraId="14495682">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0.279</w:t>
                  </w:r>
                </w:p>
              </w:tc>
              <w:tc>
                <w:tcPr>
                  <w:tcW w:w="1380" w:type="dxa"/>
                  <w:tcBorders>
                    <w:tl2br w:val="nil"/>
                    <w:tr2bl w:val="nil"/>
                  </w:tcBorders>
                  <w:shd w:val="clear" w:color="auto" w:fill="auto"/>
                  <w:noWrap/>
                  <w:vAlign w:val="center"/>
                </w:tcPr>
                <w:p w14:paraId="69DE3425">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0.1</w:t>
                  </w:r>
                  <w:r>
                    <w:rPr>
                      <w:rFonts w:hint="eastAsia"/>
                      <w:snapToGrid w:val="0"/>
                      <w:color w:val="000000" w:themeColor="text1"/>
                      <w:kern w:val="0"/>
                      <w:sz w:val="21"/>
                      <w:szCs w:val="21"/>
                    </w:rPr>
                    <w:t>55</w:t>
                  </w:r>
                  <w:r>
                    <w:rPr>
                      <w:snapToGrid w:val="0"/>
                      <w:color w:val="000000" w:themeColor="text1"/>
                      <w:kern w:val="0"/>
                      <w:sz w:val="21"/>
                      <w:szCs w:val="21"/>
                    </w:rPr>
                    <w:t xml:space="preserve"> </w:t>
                  </w:r>
                </w:p>
              </w:tc>
              <w:tc>
                <w:tcPr>
                  <w:tcW w:w="481" w:type="pct"/>
                  <w:tcBorders>
                    <w:tl2br w:val="nil"/>
                    <w:tr2bl w:val="nil"/>
                  </w:tcBorders>
                  <w:noWrap/>
                  <w:vAlign w:val="center"/>
                </w:tcPr>
                <w:p w14:paraId="32DE0C9E">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w:t>
                  </w:r>
                </w:p>
              </w:tc>
              <w:tc>
                <w:tcPr>
                  <w:tcW w:w="1575" w:type="dxa"/>
                  <w:tcBorders>
                    <w:tl2br w:val="nil"/>
                    <w:tr2bl w:val="nil"/>
                  </w:tcBorders>
                  <w:shd w:val="clear" w:color="auto" w:fill="auto"/>
                  <w:noWrap/>
                  <w:vAlign w:val="center"/>
                </w:tcPr>
                <w:p w14:paraId="5A6CBFC1">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0.279</w:t>
                  </w:r>
                </w:p>
              </w:tc>
              <w:tc>
                <w:tcPr>
                  <w:tcW w:w="1744" w:type="dxa"/>
                  <w:tcBorders>
                    <w:tl2br w:val="nil"/>
                    <w:tr2bl w:val="nil"/>
                  </w:tcBorders>
                  <w:shd w:val="clear" w:color="auto" w:fill="auto"/>
                  <w:noWrap/>
                  <w:vAlign w:val="center"/>
                </w:tcPr>
                <w:p w14:paraId="74C094B7">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0.1</w:t>
                  </w:r>
                  <w:r>
                    <w:rPr>
                      <w:rFonts w:hint="eastAsia"/>
                      <w:snapToGrid w:val="0"/>
                      <w:color w:val="000000" w:themeColor="text1"/>
                      <w:kern w:val="0"/>
                      <w:sz w:val="21"/>
                      <w:szCs w:val="21"/>
                    </w:rPr>
                    <w:t>55</w:t>
                  </w:r>
                  <w:r>
                    <w:rPr>
                      <w:snapToGrid w:val="0"/>
                      <w:color w:val="000000" w:themeColor="text1"/>
                      <w:kern w:val="0"/>
                      <w:sz w:val="21"/>
                      <w:szCs w:val="21"/>
                    </w:rPr>
                    <w:t xml:space="preserve"> </w:t>
                  </w:r>
                </w:p>
              </w:tc>
            </w:tr>
            <w:tr w14:paraId="58EBC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18F91A2E">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NO</w:t>
                  </w:r>
                  <w:r>
                    <w:rPr>
                      <w:snapToGrid w:val="0"/>
                      <w:color w:val="000000" w:themeColor="text1"/>
                      <w:kern w:val="0"/>
                      <w:sz w:val="21"/>
                      <w:szCs w:val="21"/>
                      <w:vertAlign w:val="subscript"/>
                    </w:rPr>
                    <w:t>X</w:t>
                  </w:r>
                </w:p>
              </w:tc>
              <w:tc>
                <w:tcPr>
                  <w:tcW w:w="458" w:type="pct"/>
                  <w:vMerge w:val="continue"/>
                  <w:tcBorders>
                    <w:tl2br w:val="nil"/>
                    <w:tr2bl w:val="nil"/>
                  </w:tcBorders>
                  <w:noWrap/>
                  <w:vAlign w:val="center"/>
                </w:tcPr>
                <w:p w14:paraId="33DD6A42">
                  <w:pPr>
                    <w:spacing w:line="240" w:lineRule="auto"/>
                    <w:ind w:firstLine="0" w:firstLineChars="0"/>
                    <w:jc w:val="center"/>
                    <w:rPr>
                      <w:snapToGrid w:val="0"/>
                      <w:color w:val="000000" w:themeColor="text1"/>
                      <w:kern w:val="0"/>
                      <w:sz w:val="21"/>
                      <w:szCs w:val="21"/>
                    </w:rPr>
                  </w:pPr>
                </w:p>
              </w:tc>
              <w:tc>
                <w:tcPr>
                  <w:tcW w:w="447" w:type="pct"/>
                  <w:tcBorders>
                    <w:tl2br w:val="nil"/>
                    <w:tr2bl w:val="nil"/>
                  </w:tcBorders>
                  <w:noWrap/>
                  <w:vAlign w:val="center"/>
                </w:tcPr>
                <w:p w14:paraId="07518CA5">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0.335</w:t>
                  </w:r>
                </w:p>
              </w:tc>
              <w:tc>
                <w:tcPr>
                  <w:tcW w:w="1275" w:type="dxa"/>
                  <w:tcBorders>
                    <w:tl2br w:val="nil"/>
                    <w:tr2bl w:val="nil"/>
                  </w:tcBorders>
                  <w:noWrap/>
                  <w:vAlign w:val="center"/>
                </w:tcPr>
                <w:p w14:paraId="1EEE322C">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0.186 </w:t>
                  </w:r>
                </w:p>
              </w:tc>
              <w:tc>
                <w:tcPr>
                  <w:tcW w:w="367" w:type="pct"/>
                  <w:vMerge w:val="continue"/>
                  <w:tcBorders>
                    <w:tl2br w:val="nil"/>
                    <w:tr2bl w:val="nil"/>
                  </w:tcBorders>
                  <w:noWrap/>
                  <w:vAlign w:val="center"/>
                </w:tcPr>
                <w:p w14:paraId="700CCB8E">
                  <w:pPr>
                    <w:widowControl/>
                    <w:spacing w:line="240" w:lineRule="auto"/>
                    <w:ind w:firstLine="0" w:firstLineChars="0"/>
                    <w:jc w:val="center"/>
                    <w:textAlignment w:val="center"/>
                    <w:rPr>
                      <w:snapToGrid w:val="0"/>
                      <w:color w:val="000000" w:themeColor="text1"/>
                      <w:kern w:val="0"/>
                      <w:sz w:val="21"/>
                      <w:szCs w:val="21"/>
                    </w:rPr>
                  </w:pPr>
                </w:p>
              </w:tc>
              <w:tc>
                <w:tcPr>
                  <w:tcW w:w="1155" w:type="dxa"/>
                  <w:tcBorders>
                    <w:tl2br w:val="nil"/>
                    <w:tr2bl w:val="nil"/>
                  </w:tcBorders>
                  <w:shd w:val="clear" w:color="auto" w:fill="auto"/>
                  <w:noWrap/>
                  <w:vAlign w:val="center"/>
                </w:tcPr>
                <w:p w14:paraId="44B5382F">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0.335</w:t>
                  </w:r>
                </w:p>
              </w:tc>
              <w:tc>
                <w:tcPr>
                  <w:tcW w:w="1380" w:type="dxa"/>
                  <w:tcBorders>
                    <w:tl2br w:val="nil"/>
                    <w:tr2bl w:val="nil"/>
                  </w:tcBorders>
                  <w:shd w:val="clear" w:color="auto" w:fill="auto"/>
                  <w:noWrap/>
                  <w:vAlign w:val="center"/>
                </w:tcPr>
                <w:p w14:paraId="293592CC">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0.186 </w:t>
                  </w:r>
                </w:p>
              </w:tc>
              <w:tc>
                <w:tcPr>
                  <w:tcW w:w="481" w:type="pct"/>
                  <w:tcBorders>
                    <w:tl2br w:val="nil"/>
                    <w:tr2bl w:val="nil"/>
                  </w:tcBorders>
                  <w:noWrap/>
                  <w:vAlign w:val="center"/>
                </w:tcPr>
                <w:p w14:paraId="464C7104">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w:t>
                  </w:r>
                </w:p>
              </w:tc>
              <w:tc>
                <w:tcPr>
                  <w:tcW w:w="1575" w:type="dxa"/>
                  <w:tcBorders>
                    <w:tl2br w:val="nil"/>
                    <w:tr2bl w:val="nil"/>
                  </w:tcBorders>
                  <w:shd w:val="clear" w:color="auto" w:fill="auto"/>
                  <w:noWrap/>
                  <w:vAlign w:val="center"/>
                </w:tcPr>
                <w:p w14:paraId="461F0A60">
                  <w:pPr>
                    <w:widowControl/>
                    <w:spacing w:line="240" w:lineRule="auto"/>
                    <w:ind w:firstLine="0" w:firstLineChars="0"/>
                    <w:jc w:val="center"/>
                    <w:textAlignment w:val="center"/>
                    <w:rPr>
                      <w:snapToGrid w:val="0"/>
                      <w:color w:val="000000" w:themeColor="text1"/>
                      <w:kern w:val="0"/>
                      <w:sz w:val="21"/>
                      <w:szCs w:val="21"/>
                    </w:rPr>
                  </w:pPr>
                  <w:r>
                    <w:rPr>
                      <w:rFonts w:hint="eastAsia"/>
                      <w:snapToGrid w:val="0"/>
                      <w:color w:val="000000" w:themeColor="text1"/>
                      <w:kern w:val="0"/>
                      <w:sz w:val="21"/>
                      <w:szCs w:val="21"/>
                    </w:rPr>
                    <w:t>0.335</w:t>
                  </w:r>
                </w:p>
              </w:tc>
              <w:tc>
                <w:tcPr>
                  <w:tcW w:w="1744" w:type="dxa"/>
                  <w:tcBorders>
                    <w:tl2br w:val="nil"/>
                    <w:tr2bl w:val="nil"/>
                  </w:tcBorders>
                  <w:shd w:val="clear" w:color="auto" w:fill="auto"/>
                  <w:noWrap/>
                  <w:vAlign w:val="center"/>
                </w:tcPr>
                <w:p w14:paraId="55299E52">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 xml:space="preserve">0.186 </w:t>
                  </w:r>
                </w:p>
              </w:tc>
            </w:tr>
            <w:tr w14:paraId="12F0C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noWrap/>
                  <w:vAlign w:val="center"/>
                </w:tcPr>
                <w:p w14:paraId="388D185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458" w:type="pct"/>
                  <w:vMerge w:val="continue"/>
                  <w:tcBorders>
                    <w:tl2br w:val="nil"/>
                    <w:tr2bl w:val="nil"/>
                  </w:tcBorders>
                  <w:noWrap/>
                  <w:vAlign w:val="center"/>
                </w:tcPr>
                <w:p w14:paraId="29AA4C8A">
                  <w:pPr>
                    <w:spacing w:line="240" w:lineRule="auto"/>
                    <w:ind w:firstLine="0" w:firstLineChars="0"/>
                    <w:jc w:val="center"/>
                    <w:rPr>
                      <w:snapToGrid w:val="0"/>
                      <w:color w:val="000000" w:themeColor="text1"/>
                      <w:kern w:val="0"/>
                      <w:sz w:val="21"/>
                      <w:szCs w:val="21"/>
                    </w:rPr>
                  </w:pPr>
                </w:p>
              </w:tc>
              <w:tc>
                <w:tcPr>
                  <w:tcW w:w="1185" w:type="dxa"/>
                  <w:tcBorders>
                    <w:tl2br w:val="nil"/>
                    <w:tr2bl w:val="nil"/>
                  </w:tcBorders>
                  <w:shd w:val="clear" w:color="auto" w:fill="auto"/>
                  <w:noWrap/>
                  <w:vAlign w:val="center"/>
                </w:tcPr>
                <w:p w14:paraId="40175E83">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5.443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275" w:type="dxa"/>
                  <w:tcBorders>
                    <w:tl2br w:val="nil"/>
                    <w:tr2bl w:val="nil"/>
                  </w:tcBorders>
                  <w:shd w:val="clear" w:color="auto" w:fill="auto"/>
                  <w:noWrap/>
                  <w:vAlign w:val="center"/>
                </w:tcPr>
                <w:p w14:paraId="79EE873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3.024</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367" w:type="pct"/>
                  <w:vMerge w:val="continue"/>
                  <w:tcBorders>
                    <w:tl2br w:val="nil"/>
                    <w:tr2bl w:val="nil"/>
                  </w:tcBorders>
                  <w:noWrap/>
                  <w:vAlign w:val="center"/>
                </w:tcPr>
                <w:p w14:paraId="041FA8DA">
                  <w:pPr>
                    <w:widowControl/>
                    <w:spacing w:line="240" w:lineRule="auto"/>
                    <w:ind w:firstLine="0" w:firstLineChars="0"/>
                    <w:jc w:val="center"/>
                    <w:textAlignment w:val="center"/>
                    <w:rPr>
                      <w:snapToGrid w:val="0"/>
                      <w:color w:val="000000" w:themeColor="text1"/>
                      <w:kern w:val="0"/>
                      <w:sz w:val="21"/>
                      <w:szCs w:val="21"/>
                    </w:rPr>
                  </w:pPr>
                </w:p>
              </w:tc>
              <w:tc>
                <w:tcPr>
                  <w:tcW w:w="435" w:type="pct"/>
                  <w:tcBorders>
                    <w:tl2br w:val="nil"/>
                    <w:tr2bl w:val="nil"/>
                  </w:tcBorders>
                  <w:noWrap/>
                  <w:vAlign w:val="center"/>
                </w:tcPr>
                <w:p w14:paraId="4E22830A">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5.443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520" w:type="pct"/>
                  <w:tcBorders>
                    <w:tl2br w:val="nil"/>
                    <w:tr2bl w:val="nil"/>
                  </w:tcBorders>
                  <w:noWrap/>
                  <w:vAlign w:val="center"/>
                </w:tcPr>
                <w:p w14:paraId="65AF1845">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3.024</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481" w:type="pct"/>
                  <w:tcBorders>
                    <w:tl2br w:val="nil"/>
                    <w:tr2bl w:val="nil"/>
                  </w:tcBorders>
                  <w:noWrap/>
                  <w:vAlign w:val="center"/>
                </w:tcPr>
                <w:p w14:paraId="5A8BA6D3">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70</w:t>
                  </w:r>
                </w:p>
              </w:tc>
              <w:tc>
                <w:tcPr>
                  <w:tcW w:w="594" w:type="pct"/>
                  <w:tcBorders>
                    <w:tl2br w:val="nil"/>
                    <w:tr2bl w:val="nil"/>
                  </w:tcBorders>
                  <w:noWrap/>
                  <w:vAlign w:val="center"/>
                </w:tcPr>
                <w:p w14:paraId="1AE7CEEC">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658" w:type="pct"/>
                  <w:tcBorders>
                    <w:tl2br w:val="nil"/>
                    <w:tr2bl w:val="nil"/>
                  </w:tcBorders>
                  <w:noWrap/>
                  <w:vAlign w:val="center"/>
                </w:tcPr>
                <w:p w14:paraId="323356AA">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9.072</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7</w:t>
                  </w:r>
                </w:p>
              </w:tc>
            </w:tr>
          </w:tbl>
          <w:p w14:paraId="7FD5DDEE">
            <w:pPr>
              <w:spacing w:line="360" w:lineRule="auto"/>
              <w:ind w:firstLine="422"/>
              <w:jc w:val="left"/>
              <w:rPr>
                <w:b/>
                <w:bCs/>
                <w:color w:val="000000" w:themeColor="text1"/>
                <w:sz w:val="21"/>
                <w:szCs w:val="21"/>
              </w:rPr>
            </w:pPr>
            <w:r>
              <w:rPr>
                <w:rFonts w:hint="eastAsia"/>
                <w:b/>
                <w:bCs/>
                <w:color w:val="000000" w:themeColor="text1"/>
                <w:sz w:val="21"/>
                <w:szCs w:val="21"/>
              </w:rPr>
              <w:t>注：上表中汞的有组织排放量根据上述公式计算。</w:t>
            </w:r>
          </w:p>
          <w:p w14:paraId="3E6B1494">
            <w:pPr>
              <w:spacing w:line="360" w:lineRule="auto"/>
              <w:ind w:firstLine="480"/>
              <w:jc w:val="left"/>
              <w:rPr>
                <w:color w:val="000000" w:themeColor="text1"/>
              </w:rPr>
            </w:pPr>
            <w:r>
              <w:rPr>
                <w:color w:val="000000" w:themeColor="text1"/>
              </w:rPr>
              <w:t>C、环保治理设施及达标排放情况</w:t>
            </w:r>
          </w:p>
          <w:p w14:paraId="7F8CCA12">
            <w:pPr>
              <w:spacing w:line="360" w:lineRule="auto"/>
              <w:ind w:firstLine="480"/>
              <w:rPr>
                <w:color w:val="000000" w:themeColor="text1"/>
              </w:rPr>
            </w:pPr>
            <w:r>
              <w:rPr>
                <w:rFonts w:hint="eastAsia"/>
                <w:color w:val="000000" w:themeColor="text1"/>
              </w:rPr>
              <w:t>烘干废气（</w:t>
            </w:r>
            <w:r>
              <w:rPr>
                <w:color w:val="000000" w:themeColor="text1"/>
              </w:rPr>
              <w:t>包括热风炉燃料燃烧废气和物料烘干工艺废气</w:t>
            </w:r>
            <w:r>
              <w:rPr>
                <w:rFonts w:hint="eastAsia"/>
                <w:color w:val="000000" w:themeColor="text1"/>
              </w:rPr>
              <w:t>）经“沙克龙除尘器+布袋除尘器”处理后由1根15m高排气筒排放，“沙克龙除尘器+布袋除尘器”风机风量为20000m</w:t>
            </w:r>
            <w:r>
              <w:rPr>
                <w:rFonts w:hint="eastAsia"/>
                <w:color w:val="000000" w:themeColor="text1"/>
                <w:vertAlign w:val="superscript"/>
              </w:rPr>
              <w:t>3</w:t>
            </w:r>
            <w:r>
              <w:rPr>
                <w:rFonts w:hint="eastAsia"/>
                <w:color w:val="000000" w:themeColor="text1"/>
              </w:rPr>
              <w:t>/h</w:t>
            </w:r>
            <w:r>
              <w:rPr>
                <w:color w:val="000000" w:themeColor="text1"/>
              </w:rPr>
              <w:t>，</w:t>
            </w:r>
            <w:r>
              <w:rPr>
                <w:rFonts w:hint="eastAsia"/>
                <w:color w:val="000000" w:themeColor="text1"/>
              </w:rPr>
              <w:t>烘干废气颗粒物产生总量为52.433</w:t>
            </w:r>
            <w:r>
              <w:rPr>
                <w:color w:val="000000" w:themeColor="text1"/>
              </w:rPr>
              <w:t>t/a、产生速率为</w:t>
            </w:r>
            <w:r>
              <w:rPr>
                <w:rFonts w:hint="eastAsia"/>
                <w:color w:val="000000" w:themeColor="text1"/>
              </w:rPr>
              <w:t>29.130</w:t>
            </w:r>
            <w:r>
              <w:rPr>
                <w:color w:val="000000" w:themeColor="text1"/>
              </w:rPr>
              <w:t>kg/h，</w:t>
            </w:r>
            <w:r>
              <w:rPr>
                <w:rFonts w:hint="eastAsia"/>
                <w:color w:val="000000" w:themeColor="text1"/>
              </w:rPr>
              <w:t>收集量为52.433</w:t>
            </w:r>
            <w:r>
              <w:rPr>
                <w:color w:val="000000" w:themeColor="text1"/>
              </w:rPr>
              <w:t>t/a</w:t>
            </w:r>
            <w:r>
              <w:rPr>
                <w:rFonts w:hint="eastAsia"/>
                <w:color w:val="000000" w:themeColor="text1"/>
              </w:rPr>
              <w:t>、收集速率为29.130</w:t>
            </w:r>
            <w:r>
              <w:rPr>
                <w:color w:val="000000" w:themeColor="text1"/>
              </w:rPr>
              <w:t>kg/h</w:t>
            </w:r>
            <w:r>
              <w:rPr>
                <w:rFonts w:hint="eastAsia"/>
                <w:color w:val="000000" w:themeColor="text1"/>
              </w:rPr>
              <w:t>，排放量为0.052</w:t>
            </w:r>
            <w:r>
              <w:rPr>
                <w:color w:val="000000" w:themeColor="text1"/>
              </w:rPr>
              <w:t>t/a</w:t>
            </w:r>
            <w:r>
              <w:rPr>
                <w:rFonts w:hint="eastAsia"/>
                <w:color w:val="000000" w:themeColor="text1"/>
              </w:rPr>
              <w:t>、排放速率为0.029</w:t>
            </w:r>
            <w:r>
              <w:rPr>
                <w:color w:val="000000" w:themeColor="text1"/>
              </w:rPr>
              <w:t>kg/h</w:t>
            </w:r>
            <w:r>
              <w:rPr>
                <w:rFonts w:hint="eastAsia"/>
                <w:color w:val="000000" w:themeColor="text1"/>
              </w:rPr>
              <w:t>，排放浓度为1.5</w:t>
            </w:r>
            <w:r>
              <w:rPr>
                <w:color w:val="000000" w:themeColor="text1"/>
              </w:rPr>
              <w:t>mg/m</w:t>
            </w:r>
            <w:r>
              <w:rPr>
                <w:color w:val="000000" w:themeColor="text1"/>
                <w:vertAlign w:val="superscript"/>
              </w:rPr>
              <w:t>3</w:t>
            </w:r>
            <w:r>
              <w:rPr>
                <w:rFonts w:hint="eastAsia"/>
                <w:color w:val="000000" w:themeColor="text1"/>
              </w:rPr>
              <w:t>；SO</w:t>
            </w:r>
            <w:r>
              <w:rPr>
                <w:rFonts w:hint="eastAsia"/>
                <w:color w:val="000000" w:themeColor="text1"/>
                <w:vertAlign w:val="subscript"/>
              </w:rPr>
              <w:t>2</w:t>
            </w:r>
            <w:r>
              <w:rPr>
                <w:rFonts w:hint="eastAsia"/>
                <w:color w:val="000000" w:themeColor="text1"/>
              </w:rPr>
              <w:t>产生量为0.279</w:t>
            </w:r>
            <w:r>
              <w:rPr>
                <w:color w:val="000000" w:themeColor="text1"/>
              </w:rPr>
              <w:t>t/a、产生速率为</w:t>
            </w:r>
            <w:r>
              <w:rPr>
                <w:rFonts w:hint="eastAsia"/>
                <w:color w:val="000000" w:themeColor="text1"/>
              </w:rPr>
              <w:t>0.155</w:t>
            </w:r>
            <w:r>
              <w:rPr>
                <w:color w:val="000000" w:themeColor="text1"/>
              </w:rPr>
              <w:t>kg/h，</w:t>
            </w:r>
            <w:r>
              <w:rPr>
                <w:rFonts w:hint="eastAsia"/>
                <w:color w:val="000000" w:themeColor="text1"/>
              </w:rPr>
              <w:t>收集量为0.279</w:t>
            </w:r>
            <w:r>
              <w:rPr>
                <w:color w:val="000000" w:themeColor="text1"/>
              </w:rPr>
              <w:t>t/a、</w:t>
            </w:r>
            <w:r>
              <w:rPr>
                <w:rFonts w:hint="eastAsia"/>
                <w:color w:val="000000" w:themeColor="text1"/>
              </w:rPr>
              <w:t>收集</w:t>
            </w:r>
            <w:r>
              <w:rPr>
                <w:color w:val="000000" w:themeColor="text1"/>
              </w:rPr>
              <w:t>速率为</w:t>
            </w:r>
            <w:r>
              <w:rPr>
                <w:rFonts w:hint="eastAsia"/>
                <w:color w:val="000000" w:themeColor="text1"/>
              </w:rPr>
              <w:t>0.155</w:t>
            </w:r>
            <w:r>
              <w:rPr>
                <w:color w:val="000000" w:themeColor="text1"/>
              </w:rPr>
              <w:t>kg/h</w:t>
            </w:r>
            <w:r>
              <w:rPr>
                <w:rFonts w:hint="eastAsia"/>
                <w:color w:val="000000" w:themeColor="text1"/>
              </w:rPr>
              <w:t>，排放量为0.279</w:t>
            </w:r>
            <w:r>
              <w:rPr>
                <w:color w:val="000000" w:themeColor="text1"/>
              </w:rPr>
              <w:t>t/a、</w:t>
            </w:r>
            <w:r>
              <w:rPr>
                <w:rFonts w:hint="eastAsia"/>
                <w:color w:val="000000" w:themeColor="text1"/>
              </w:rPr>
              <w:t>排放</w:t>
            </w:r>
            <w:r>
              <w:rPr>
                <w:color w:val="000000" w:themeColor="text1"/>
              </w:rPr>
              <w:t>速率为</w:t>
            </w:r>
            <w:r>
              <w:rPr>
                <w:rFonts w:hint="eastAsia"/>
                <w:color w:val="000000" w:themeColor="text1"/>
              </w:rPr>
              <w:t>0.155</w:t>
            </w:r>
            <w:r>
              <w:rPr>
                <w:color w:val="000000" w:themeColor="text1"/>
              </w:rPr>
              <w:t>kg/h</w:t>
            </w:r>
            <w:r>
              <w:rPr>
                <w:rFonts w:hint="eastAsia"/>
                <w:color w:val="000000" w:themeColor="text1"/>
              </w:rPr>
              <w:t>，排放浓度为7.8</w:t>
            </w:r>
            <w:r>
              <w:rPr>
                <w:color w:val="000000" w:themeColor="text1"/>
              </w:rPr>
              <w:t>mg/m</w:t>
            </w:r>
            <w:r>
              <w:rPr>
                <w:color w:val="000000" w:themeColor="text1"/>
                <w:vertAlign w:val="superscript"/>
              </w:rPr>
              <w:t>3</w:t>
            </w:r>
            <w:r>
              <w:rPr>
                <w:rFonts w:hint="eastAsia"/>
                <w:color w:val="000000" w:themeColor="text1"/>
              </w:rPr>
              <w:t>；NO</w:t>
            </w:r>
            <w:r>
              <w:rPr>
                <w:rFonts w:hint="eastAsia"/>
                <w:color w:val="000000" w:themeColor="text1"/>
                <w:vertAlign w:val="subscript"/>
              </w:rPr>
              <w:t>X</w:t>
            </w:r>
            <w:r>
              <w:rPr>
                <w:rFonts w:hint="eastAsia"/>
                <w:color w:val="000000" w:themeColor="text1"/>
              </w:rPr>
              <w:t>产生量为0.335</w:t>
            </w:r>
            <w:r>
              <w:rPr>
                <w:color w:val="000000" w:themeColor="text1"/>
              </w:rPr>
              <w:t>t/a、产生速率为</w:t>
            </w:r>
            <w:r>
              <w:rPr>
                <w:rFonts w:hint="eastAsia"/>
                <w:color w:val="000000" w:themeColor="text1"/>
              </w:rPr>
              <w:t>0.186</w:t>
            </w:r>
            <w:r>
              <w:rPr>
                <w:color w:val="000000" w:themeColor="text1"/>
              </w:rPr>
              <w:t>kg/h，</w:t>
            </w:r>
            <w:r>
              <w:rPr>
                <w:rFonts w:hint="eastAsia"/>
                <w:color w:val="000000" w:themeColor="text1"/>
              </w:rPr>
              <w:t>收集量为0.335</w:t>
            </w:r>
            <w:r>
              <w:rPr>
                <w:color w:val="000000" w:themeColor="text1"/>
              </w:rPr>
              <w:t>t/a、</w:t>
            </w:r>
            <w:r>
              <w:rPr>
                <w:rFonts w:hint="eastAsia"/>
                <w:color w:val="000000" w:themeColor="text1"/>
              </w:rPr>
              <w:t>收集</w:t>
            </w:r>
            <w:r>
              <w:rPr>
                <w:color w:val="000000" w:themeColor="text1"/>
              </w:rPr>
              <w:t>速率为</w:t>
            </w:r>
            <w:r>
              <w:rPr>
                <w:rFonts w:hint="eastAsia"/>
                <w:color w:val="000000" w:themeColor="text1"/>
              </w:rPr>
              <w:t>0.186</w:t>
            </w:r>
            <w:r>
              <w:rPr>
                <w:color w:val="000000" w:themeColor="text1"/>
              </w:rPr>
              <w:t>kg/h，</w:t>
            </w:r>
            <w:r>
              <w:rPr>
                <w:rFonts w:hint="eastAsia"/>
                <w:color w:val="000000" w:themeColor="text1"/>
              </w:rPr>
              <w:t>排放量为0.335</w:t>
            </w:r>
            <w:r>
              <w:rPr>
                <w:color w:val="000000" w:themeColor="text1"/>
              </w:rPr>
              <w:t>t/a、</w:t>
            </w:r>
            <w:r>
              <w:rPr>
                <w:rFonts w:hint="eastAsia"/>
                <w:color w:val="000000" w:themeColor="text1"/>
              </w:rPr>
              <w:t>排放</w:t>
            </w:r>
            <w:r>
              <w:rPr>
                <w:color w:val="000000" w:themeColor="text1"/>
              </w:rPr>
              <w:t>速率为</w:t>
            </w:r>
            <w:r>
              <w:rPr>
                <w:rFonts w:hint="eastAsia"/>
                <w:color w:val="000000" w:themeColor="text1"/>
              </w:rPr>
              <w:t>0.186</w:t>
            </w:r>
            <w:r>
              <w:rPr>
                <w:color w:val="000000" w:themeColor="text1"/>
              </w:rPr>
              <w:t>kg/h</w:t>
            </w:r>
            <w:r>
              <w:rPr>
                <w:rFonts w:hint="eastAsia"/>
                <w:color w:val="000000" w:themeColor="text1"/>
              </w:rPr>
              <w:t>，排放浓度为9.3</w:t>
            </w:r>
            <w:r>
              <w:rPr>
                <w:color w:val="000000" w:themeColor="text1"/>
              </w:rPr>
              <w:t>mg/m</w:t>
            </w:r>
            <w:r>
              <w:rPr>
                <w:color w:val="000000" w:themeColor="text1"/>
                <w:vertAlign w:val="superscript"/>
              </w:rPr>
              <w:t>3</w:t>
            </w:r>
            <w:r>
              <w:rPr>
                <w:rFonts w:hint="eastAsia"/>
                <w:color w:val="000000" w:themeColor="text1"/>
              </w:rPr>
              <w:t>；汞产生量为</w:t>
            </w:r>
            <w:r>
              <w:rPr>
                <w:rFonts w:hint="eastAsia"/>
                <w:color w:val="000000" w:themeColor="text1"/>
                <w:kern w:val="0"/>
              </w:rPr>
              <w:t>5.443</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t/a、产生速率为</w:t>
            </w:r>
            <w:r>
              <w:rPr>
                <w:rFonts w:hint="eastAsia"/>
                <w:color w:val="000000" w:themeColor="text1"/>
                <w:kern w:val="0"/>
              </w:rPr>
              <w:t>3.024</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kg/h，</w:t>
            </w:r>
            <w:r>
              <w:rPr>
                <w:rFonts w:hint="eastAsia"/>
                <w:color w:val="000000" w:themeColor="text1"/>
              </w:rPr>
              <w:t>收集量为</w:t>
            </w:r>
            <w:r>
              <w:rPr>
                <w:rFonts w:hint="eastAsia"/>
                <w:color w:val="000000" w:themeColor="text1"/>
                <w:kern w:val="0"/>
              </w:rPr>
              <w:t>5.443</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t/a、</w:t>
            </w:r>
            <w:r>
              <w:rPr>
                <w:rFonts w:hint="eastAsia"/>
                <w:color w:val="000000" w:themeColor="text1"/>
              </w:rPr>
              <w:t>收集</w:t>
            </w:r>
            <w:r>
              <w:rPr>
                <w:color w:val="000000" w:themeColor="text1"/>
              </w:rPr>
              <w:t>速率为</w:t>
            </w:r>
            <w:r>
              <w:rPr>
                <w:rFonts w:hint="eastAsia"/>
                <w:color w:val="000000" w:themeColor="text1"/>
                <w:kern w:val="0"/>
              </w:rPr>
              <w:t>3.024</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kg/h，</w:t>
            </w:r>
            <w:r>
              <w:rPr>
                <w:rFonts w:hint="eastAsia"/>
                <w:color w:val="000000" w:themeColor="text1"/>
              </w:rPr>
              <w:t>排放量为</w:t>
            </w:r>
            <w:r>
              <w:rPr>
                <w:rFonts w:hint="eastAsia"/>
                <w:color w:val="000000" w:themeColor="text1"/>
                <w:kern w:val="0"/>
              </w:rPr>
              <w:t>1.633</w:t>
            </w:r>
            <w:r>
              <w:rPr>
                <w:color w:val="000000" w:themeColor="text1"/>
              </w:rPr>
              <w:t>×10</w:t>
            </w:r>
            <w:r>
              <w:rPr>
                <w:color w:val="000000" w:themeColor="text1"/>
                <w:vertAlign w:val="superscript"/>
              </w:rPr>
              <w:t>-</w:t>
            </w:r>
            <w:r>
              <w:rPr>
                <w:rFonts w:hint="eastAsia"/>
                <w:color w:val="000000" w:themeColor="text1"/>
                <w:vertAlign w:val="superscript"/>
              </w:rPr>
              <w:t>6</w:t>
            </w:r>
            <w:r>
              <w:rPr>
                <w:color w:val="000000" w:themeColor="text1"/>
              </w:rPr>
              <w:t>t/a、</w:t>
            </w:r>
            <w:r>
              <w:rPr>
                <w:rFonts w:hint="eastAsia"/>
                <w:color w:val="000000" w:themeColor="text1"/>
              </w:rPr>
              <w:t>排放</w:t>
            </w:r>
            <w:r>
              <w:rPr>
                <w:color w:val="000000" w:themeColor="text1"/>
              </w:rPr>
              <w:t>速率为</w:t>
            </w:r>
            <w:r>
              <w:rPr>
                <w:rFonts w:hint="eastAsia"/>
                <w:color w:val="000000" w:themeColor="text1"/>
                <w:kern w:val="0"/>
              </w:rPr>
              <w:t>9.072</w:t>
            </w:r>
            <w:r>
              <w:rPr>
                <w:color w:val="000000" w:themeColor="text1"/>
              </w:rPr>
              <w:t>×10</w:t>
            </w:r>
            <w:r>
              <w:rPr>
                <w:color w:val="000000" w:themeColor="text1"/>
                <w:vertAlign w:val="superscript"/>
              </w:rPr>
              <w:t>-</w:t>
            </w:r>
            <w:r>
              <w:rPr>
                <w:rFonts w:hint="eastAsia"/>
                <w:color w:val="000000" w:themeColor="text1"/>
                <w:vertAlign w:val="superscript"/>
              </w:rPr>
              <w:t>7</w:t>
            </w:r>
            <w:r>
              <w:rPr>
                <w:color w:val="000000" w:themeColor="text1"/>
              </w:rPr>
              <w:t>kg/h</w:t>
            </w:r>
            <w:r>
              <w:rPr>
                <w:rFonts w:hint="eastAsia"/>
                <w:color w:val="000000" w:themeColor="text1"/>
              </w:rPr>
              <w:t>，排放浓度为4.5</w:t>
            </w:r>
            <w:r>
              <w:rPr>
                <w:color w:val="000000" w:themeColor="text1"/>
              </w:rPr>
              <w:t>×10</w:t>
            </w:r>
            <w:r>
              <w:rPr>
                <w:color w:val="000000" w:themeColor="text1"/>
                <w:vertAlign w:val="superscript"/>
              </w:rPr>
              <w:t>-</w:t>
            </w:r>
            <w:r>
              <w:rPr>
                <w:rFonts w:hint="eastAsia"/>
                <w:color w:val="000000" w:themeColor="text1"/>
                <w:vertAlign w:val="superscript"/>
              </w:rPr>
              <w:t>5</w:t>
            </w:r>
            <w:r>
              <w:rPr>
                <w:color w:val="000000" w:themeColor="text1"/>
              </w:rPr>
              <w:t>mg/m</w:t>
            </w:r>
            <w:r>
              <w:rPr>
                <w:color w:val="000000" w:themeColor="text1"/>
                <w:vertAlign w:val="superscript"/>
              </w:rPr>
              <w:t>3</w:t>
            </w:r>
            <w:r>
              <w:rPr>
                <w:rFonts w:hint="eastAsia"/>
                <w:color w:val="000000" w:themeColor="text1"/>
              </w:rPr>
              <w:t>。</w:t>
            </w:r>
          </w:p>
          <w:p w14:paraId="20C9BF13">
            <w:pPr>
              <w:spacing w:line="360" w:lineRule="auto"/>
              <w:ind w:firstLine="480"/>
              <w:rPr>
                <w:color w:val="000000" w:themeColor="text1"/>
              </w:rPr>
            </w:pPr>
            <w:r>
              <w:rPr>
                <w:rFonts w:hint="eastAsia"/>
                <w:color w:val="000000" w:themeColor="text1"/>
              </w:rPr>
              <w:t>根据《工业炉窑大气污染物排放标准》（DB13/1640-2012），实测的工业炉窑的烟（粉）尘、有害污染物排放浓度换算为规定的掺风系数或过量空气系数时的数值，根据以下折算公式进行折算：</w:t>
            </w:r>
          </w:p>
          <w:p w14:paraId="10BF7AC4">
            <w:pPr>
              <w:spacing w:line="360" w:lineRule="auto"/>
              <w:ind w:firstLine="480"/>
              <w:rPr>
                <w:color w:val="000000" w:themeColor="text1"/>
              </w:rPr>
            </w:pPr>
            <w:r>
              <w:rPr>
                <w:color w:val="000000" w:themeColor="text1"/>
              </w:rPr>
              <w:t>C = C'×α′</w:t>
            </w:r>
            <w:r>
              <w:rPr>
                <w:rFonts w:hint="eastAsia"/>
                <w:color w:val="000000" w:themeColor="text1"/>
              </w:rPr>
              <w:t>/</w:t>
            </w:r>
            <w:r>
              <w:rPr>
                <w:color w:val="000000" w:themeColor="text1"/>
              </w:rPr>
              <w:t>α</w:t>
            </w:r>
          </w:p>
          <w:p w14:paraId="03E5F1B8">
            <w:pPr>
              <w:spacing w:line="360" w:lineRule="auto"/>
              <w:ind w:firstLine="480"/>
              <w:rPr>
                <w:color w:val="000000" w:themeColor="text1"/>
              </w:rPr>
            </w:pPr>
            <w:r>
              <w:rPr>
                <w:color w:val="000000" w:themeColor="text1"/>
              </w:rPr>
              <w:t>式中：</w:t>
            </w:r>
          </w:p>
          <w:p w14:paraId="56294FC6">
            <w:pPr>
              <w:spacing w:line="360" w:lineRule="auto"/>
              <w:ind w:firstLine="480"/>
              <w:rPr>
                <w:color w:val="000000" w:themeColor="text1"/>
              </w:rPr>
            </w:pPr>
            <w:r>
              <w:rPr>
                <w:color w:val="000000" w:themeColor="text1"/>
              </w:rPr>
              <w:t>C——折算后的大气污染物排放浓度，mg/Nm</w:t>
            </w:r>
            <w:r>
              <w:rPr>
                <w:color w:val="000000" w:themeColor="text1"/>
                <w:vertAlign w:val="superscript"/>
              </w:rPr>
              <w:t>3</w:t>
            </w:r>
            <w:r>
              <w:rPr>
                <w:color w:val="000000" w:themeColor="text1"/>
              </w:rPr>
              <w:t>；</w:t>
            </w:r>
          </w:p>
          <w:p w14:paraId="6ACBABAC">
            <w:pPr>
              <w:ind w:firstLine="480"/>
              <w:rPr>
                <w:color w:val="000000" w:themeColor="text1"/>
              </w:rPr>
            </w:pPr>
            <w:r>
              <w:rPr>
                <w:color w:val="000000" w:themeColor="text1"/>
              </w:rPr>
              <w:t>C′——实测大气污染物排放浓度，mg/Nm</w:t>
            </w:r>
            <w:r>
              <w:rPr>
                <w:color w:val="000000" w:themeColor="text1"/>
                <w:vertAlign w:val="superscript"/>
              </w:rPr>
              <w:t>3</w:t>
            </w:r>
            <w:r>
              <w:rPr>
                <w:color w:val="000000" w:themeColor="text1"/>
              </w:rPr>
              <w:t>；</w:t>
            </w:r>
          </w:p>
          <w:p w14:paraId="726E313B">
            <w:pPr>
              <w:ind w:firstLine="480"/>
              <w:rPr>
                <w:color w:val="000000" w:themeColor="text1"/>
              </w:rPr>
            </w:pPr>
            <w:r>
              <w:rPr>
                <w:color w:val="000000" w:themeColor="text1"/>
              </w:rPr>
              <w:t>α′——实测的空气过剩系数，α′=21/（21-实测氧含量）；</w:t>
            </w:r>
            <w:r>
              <w:rPr>
                <w:rFonts w:hint="eastAsia"/>
                <w:color w:val="000000" w:themeColor="text1"/>
              </w:rPr>
              <w:t>实测氧含量为20.26%；</w:t>
            </w:r>
          </w:p>
          <w:p w14:paraId="18D46360">
            <w:pPr>
              <w:ind w:firstLine="480"/>
              <w:rPr>
                <w:color w:val="000000" w:themeColor="text1"/>
              </w:rPr>
            </w:pPr>
            <w:r>
              <w:rPr>
                <w:color w:val="000000" w:themeColor="text1"/>
              </w:rPr>
              <w:t>α——规定的空气过剩系数</w:t>
            </w:r>
            <w:r>
              <w:rPr>
                <w:rFonts w:hint="eastAsia"/>
                <w:color w:val="000000" w:themeColor="text1"/>
              </w:rPr>
              <w:t>；本次评价过量空气系数按照《工业炉窑大气污染物排放标准》（DB13/1640-2012）表5规定的其他工业炉窑</w:t>
            </w:r>
            <w:r>
              <w:rPr>
                <w:color w:val="000000" w:themeColor="text1"/>
              </w:rPr>
              <w:t>α</w:t>
            </w:r>
            <w:r>
              <w:rPr>
                <w:rFonts w:hint="eastAsia"/>
                <w:color w:val="000000" w:themeColor="text1"/>
              </w:rPr>
              <w:t>=1.7</w:t>
            </w:r>
            <w:r>
              <w:rPr>
                <w:color w:val="000000" w:themeColor="text1"/>
              </w:rPr>
              <w:t>。</w:t>
            </w:r>
          </w:p>
          <w:p w14:paraId="3D1F4122">
            <w:pPr>
              <w:ind w:firstLine="480"/>
              <w:rPr>
                <w:color w:val="000000" w:themeColor="text1"/>
              </w:rPr>
            </w:pPr>
            <w:r>
              <w:rPr>
                <w:color w:val="000000" w:themeColor="text1"/>
              </w:rPr>
              <w:t>通过理论计算可得α′/α=</w:t>
            </w:r>
            <w:r>
              <w:rPr>
                <w:rFonts w:hint="eastAsia"/>
                <w:color w:val="000000" w:themeColor="text1"/>
              </w:rPr>
              <w:t>16.69</w:t>
            </w:r>
            <w:r>
              <w:rPr>
                <w:color w:val="000000" w:themeColor="text1"/>
              </w:rPr>
              <w:t>，则颗粒物折算后的浓度为</w:t>
            </w:r>
            <w:r>
              <w:rPr>
                <w:rFonts w:hint="eastAsia"/>
                <w:color w:val="000000" w:themeColor="text1"/>
              </w:rPr>
              <w:t>25.0</w:t>
            </w:r>
            <w:r>
              <w:rPr>
                <w:color w:val="000000" w:themeColor="text1"/>
              </w:rPr>
              <w:t>mg/m</w:t>
            </w:r>
            <w:r>
              <w:rPr>
                <w:color w:val="000000" w:themeColor="text1"/>
                <w:vertAlign w:val="superscript"/>
              </w:rPr>
              <w:t>3</w:t>
            </w:r>
            <w:r>
              <w:rPr>
                <w:color w:val="000000" w:themeColor="text1"/>
              </w:rPr>
              <w:t>，SO</w:t>
            </w:r>
            <w:r>
              <w:rPr>
                <w:color w:val="000000" w:themeColor="text1"/>
                <w:vertAlign w:val="subscript"/>
              </w:rPr>
              <w:t>2</w:t>
            </w:r>
            <w:r>
              <w:rPr>
                <w:color w:val="000000" w:themeColor="text1"/>
              </w:rPr>
              <w:t>折算后的浓度为</w:t>
            </w:r>
            <w:r>
              <w:rPr>
                <w:rFonts w:hint="eastAsia"/>
                <w:color w:val="000000" w:themeColor="text1"/>
              </w:rPr>
              <w:t>130.2</w:t>
            </w:r>
            <w:r>
              <w:rPr>
                <w:color w:val="000000" w:themeColor="text1"/>
              </w:rPr>
              <w:t>mg/m</w:t>
            </w:r>
            <w:r>
              <w:rPr>
                <w:color w:val="000000" w:themeColor="text1"/>
                <w:vertAlign w:val="superscript"/>
              </w:rPr>
              <w:t>3</w:t>
            </w:r>
            <w:r>
              <w:rPr>
                <w:color w:val="000000" w:themeColor="text1"/>
              </w:rPr>
              <w:t>，NOx折算后的浓度为</w:t>
            </w:r>
            <w:r>
              <w:rPr>
                <w:rFonts w:hint="eastAsia"/>
                <w:color w:val="000000" w:themeColor="text1"/>
              </w:rPr>
              <w:t>155.2</w:t>
            </w:r>
            <w:r>
              <w:rPr>
                <w:color w:val="000000" w:themeColor="text1"/>
              </w:rPr>
              <w:t>mg/m</w:t>
            </w:r>
            <w:r>
              <w:rPr>
                <w:color w:val="000000" w:themeColor="text1"/>
                <w:vertAlign w:val="superscript"/>
              </w:rPr>
              <w:t>3</w:t>
            </w:r>
            <w:r>
              <w:rPr>
                <w:rFonts w:hint="eastAsia"/>
                <w:color w:val="000000" w:themeColor="text1"/>
              </w:rPr>
              <w:t>，汞折算后的浓度为7.5</w:t>
            </w:r>
            <w:r>
              <w:rPr>
                <w:color w:val="000000" w:themeColor="text1"/>
              </w:rPr>
              <w:t>×10</w:t>
            </w:r>
            <w:r>
              <w:rPr>
                <w:color w:val="000000" w:themeColor="text1"/>
                <w:vertAlign w:val="superscript"/>
              </w:rPr>
              <w:t>-</w:t>
            </w:r>
            <w:r>
              <w:rPr>
                <w:rFonts w:hint="eastAsia"/>
                <w:color w:val="000000" w:themeColor="text1"/>
                <w:vertAlign w:val="superscript"/>
              </w:rPr>
              <w:t>4</w:t>
            </w:r>
            <w:r>
              <w:rPr>
                <w:color w:val="000000" w:themeColor="text1"/>
              </w:rPr>
              <w:t>mg/m</w:t>
            </w:r>
            <w:r>
              <w:rPr>
                <w:color w:val="000000" w:themeColor="text1"/>
                <w:vertAlign w:val="superscript"/>
              </w:rPr>
              <w:t>3</w:t>
            </w:r>
            <w:r>
              <w:rPr>
                <w:rFonts w:hint="eastAsia"/>
                <w:color w:val="000000" w:themeColor="text1"/>
              </w:rPr>
              <w:t>，满足《工业炉窑大气污染物排放标准》（DB13/ 1640-2012）表1、表2工业炉窑排放限值颗粒物50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rPr>
              <w:t>、汞0.010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排气筒高度不低于15m，且高出200m范围内最高建筑物3m以上的要求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rPr>
              <w:t>同时满足《2019年“十项重点工作”工作方案》的通知（唐办发[2019]3号）中</w:t>
            </w:r>
            <w:r>
              <w:rPr>
                <w:rFonts w:hint="eastAsia"/>
                <w:color w:val="000000" w:themeColor="text1"/>
                <w:spacing w:val="-5"/>
              </w:rPr>
              <w:t>排放限值：颗粒物30mg/m</w:t>
            </w:r>
            <w:r>
              <w:rPr>
                <w:rFonts w:hint="eastAsia"/>
                <w:color w:val="000000" w:themeColor="text1"/>
                <w:spacing w:val="-5"/>
                <w:vertAlign w:val="superscript"/>
              </w:rPr>
              <w:t>3</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300mg/m</w:t>
            </w:r>
            <w:r>
              <w:rPr>
                <w:rFonts w:hint="eastAsia"/>
                <w:color w:val="000000" w:themeColor="text1"/>
                <w:spacing w:val="-5"/>
                <w:vertAlign w:val="superscript"/>
              </w:rPr>
              <w:t>3</w:t>
            </w:r>
            <w:r>
              <w:rPr>
                <w:rFonts w:hint="eastAsia"/>
                <w:color w:val="000000" w:themeColor="text1"/>
              </w:rPr>
              <w:t>。</w:t>
            </w:r>
          </w:p>
          <w:p w14:paraId="66191A63">
            <w:pPr>
              <w:ind w:firstLine="480"/>
              <w:rPr>
                <w:color w:val="000000" w:themeColor="text1"/>
              </w:rPr>
            </w:pPr>
            <w:r>
              <w:rPr>
                <w:rFonts w:hint="eastAsia"/>
                <w:color w:val="000000" w:themeColor="text1"/>
              </w:rPr>
              <w:t>以锯末为原料的</w:t>
            </w:r>
            <w:r>
              <w:rPr>
                <w:color w:val="000000" w:themeColor="text1"/>
              </w:rPr>
              <w:t>生物质</w:t>
            </w:r>
            <w:r>
              <w:rPr>
                <w:rFonts w:hint="eastAsia"/>
                <w:color w:val="000000" w:themeColor="text1"/>
              </w:rPr>
              <w:t>能源</w:t>
            </w:r>
            <w:r>
              <w:rPr>
                <w:color w:val="000000" w:themeColor="text1"/>
              </w:rPr>
              <w:t>颗粒具有低灰分、低水分和均匀粒径的特性，且硫、氮元素含量极低，在</w:t>
            </w:r>
            <w:r>
              <w:rPr>
                <w:rFonts w:hint="eastAsia"/>
                <w:color w:val="000000" w:themeColor="text1"/>
              </w:rPr>
              <w:t>项目设计</w:t>
            </w:r>
            <w:r>
              <w:rPr>
                <w:color w:val="000000" w:themeColor="text1"/>
              </w:rPr>
              <w:t>的烘干温度条件下，配合热风炉采用配风系统（过量空气系数控制在</w:t>
            </w:r>
            <w:r>
              <w:rPr>
                <w:rFonts w:hint="eastAsia"/>
                <w:color w:val="000000" w:themeColor="text1"/>
              </w:rPr>
              <w:t>1.7</w:t>
            </w:r>
            <w:r>
              <w:rPr>
                <w:color w:val="000000" w:themeColor="text1"/>
              </w:rPr>
              <w:t>），可确保燃料充分燃烧</w:t>
            </w:r>
            <w:r>
              <w:rPr>
                <w:rFonts w:hint="eastAsia"/>
                <w:color w:val="000000" w:themeColor="text1"/>
              </w:rPr>
              <w:t>，显著减少未燃尽炭黑生成</w:t>
            </w:r>
            <w:r>
              <w:rPr>
                <w:color w:val="000000" w:themeColor="text1"/>
              </w:rPr>
              <w:t>，</w:t>
            </w:r>
            <w:r>
              <w:rPr>
                <w:rFonts w:hint="eastAsia"/>
                <w:color w:val="000000" w:themeColor="text1"/>
              </w:rPr>
              <w:t>在该工艺条件下颗粒物的产生量小，</w:t>
            </w:r>
            <w:r>
              <w:rPr>
                <w:color w:val="000000" w:themeColor="text1"/>
              </w:rPr>
              <w:t>经</w:t>
            </w:r>
            <w:r>
              <w:rPr>
                <w:rFonts w:hint="eastAsia"/>
                <w:color w:val="000000" w:themeColor="text1"/>
              </w:rPr>
              <w:t>沙克龙除尘器+布袋除尘器</w:t>
            </w:r>
            <w:r>
              <w:rPr>
                <w:color w:val="000000" w:themeColor="text1"/>
              </w:rPr>
              <w:t>处理后，</w:t>
            </w:r>
            <w:r>
              <w:rPr>
                <w:rFonts w:hint="eastAsia"/>
                <w:color w:val="000000" w:themeColor="text1"/>
              </w:rPr>
              <w:t>烟气黑度小于</w:t>
            </w:r>
            <w:r>
              <w:rPr>
                <w:color w:val="000000" w:themeColor="text1"/>
              </w:rPr>
              <w:t>1级，</w:t>
            </w:r>
            <w:r>
              <w:rPr>
                <w:rFonts w:hint="eastAsia"/>
                <w:color w:val="000000" w:themeColor="text1"/>
              </w:rPr>
              <w:t>满足《工业炉窑大气污染物排放标准》（DB13/ 1640-2012）烟气黑度排放限值小于1级的要求。</w:t>
            </w:r>
          </w:p>
          <w:p w14:paraId="2039E413">
            <w:pPr>
              <w:spacing w:line="360" w:lineRule="auto"/>
              <w:ind w:firstLine="480"/>
              <w:jc w:val="left"/>
              <w:rPr>
                <w:color w:val="000000" w:themeColor="text1"/>
              </w:rPr>
            </w:pPr>
            <w:r>
              <w:rPr>
                <w:rStyle w:val="53"/>
                <w:rFonts w:hint="eastAsia"/>
                <w:b w:val="0"/>
                <w:color w:val="000000" w:themeColor="text1"/>
                <w:sz w:val="24"/>
                <w:szCs w:val="24"/>
              </w:rPr>
              <w:t>②</w:t>
            </w:r>
            <w:r>
              <w:rPr>
                <w:rFonts w:hint="eastAsia"/>
                <w:color w:val="000000" w:themeColor="text1"/>
              </w:rPr>
              <w:t>中转仓落料及入料、制粒、筛分及筛下料落料、成品网状料仓入料及冷却、成品皮带输送机落料、打包机包装废气</w:t>
            </w:r>
          </w:p>
          <w:p w14:paraId="7069C0E8">
            <w:pPr>
              <w:spacing w:line="360" w:lineRule="auto"/>
              <w:ind w:firstLine="480"/>
              <w:jc w:val="left"/>
              <w:rPr>
                <w:color w:val="000000" w:themeColor="text1"/>
              </w:rPr>
            </w:pPr>
            <w:r>
              <w:rPr>
                <w:rFonts w:hint="eastAsia"/>
                <w:color w:val="000000" w:themeColor="text1"/>
              </w:rPr>
              <w:t>A.废气源强核算</w:t>
            </w:r>
          </w:p>
          <w:p w14:paraId="0A237E77">
            <w:pPr>
              <w:spacing w:line="360" w:lineRule="auto"/>
              <w:ind w:firstLine="480"/>
              <w:jc w:val="left"/>
              <w:rPr>
                <w:color w:val="000000" w:themeColor="text1"/>
              </w:rPr>
            </w:pPr>
            <w:r>
              <w:rPr>
                <w:rFonts w:hint="eastAsia"/>
                <w:color w:val="000000" w:themeColor="text1"/>
              </w:rPr>
              <w:t>中转仓封闭设置，其入料口设软帘，顶部设置集气管收集中转仓内落料及入料废气；生物质颗粒机设备密闭，4台生物质颗粒机分别自带1台旋风除尘器预处理制粒过程产生的颗粒物；振筛设备密闭，设置集气管收集筛分过程废气；振筛出料口上方设置集气罩收集筛下料落料过程废气；成品网状料仓入料口上方设置集气罩收集料仓入料及冷却过程废气；成品皮带输送机落料点上方设置集气罩收集成品皮带输送机落料过程（吨包袋包装过程）废气；打包机侧方设置集气罩收集小袋包装过程废气。中转仓落料及入料废气、筛分及筛下料落料废气、成品网状料仓入料及冷却废气、成品皮带输送机落料废气、打包机包装废气同预处理后的制粒废气共用1台布袋除尘器处理后由1根15m高排气筒（DA002）排放。</w:t>
            </w:r>
          </w:p>
          <w:p w14:paraId="12315D34">
            <w:pPr>
              <w:spacing w:line="360" w:lineRule="auto"/>
              <w:ind w:firstLine="480"/>
              <w:jc w:val="left"/>
              <w:rPr>
                <w:color w:val="000000" w:themeColor="text1"/>
              </w:rPr>
            </w:pPr>
            <w:r>
              <w:rPr>
                <w:rFonts w:hint="eastAsia"/>
                <w:color w:val="000000" w:themeColor="text1"/>
              </w:rPr>
              <w:t>中转仓落料及入料、筛分及筛下料落料、成品皮带输送机落料、打包机包装过程</w:t>
            </w:r>
            <w:r>
              <w:rPr>
                <w:color w:val="000000" w:themeColor="text1"/>
              </w:rPr>
              <w:t>废气收集效率以90%计</w:t>
            </w:r>
            <w:r>
              <w:rPr>
                <w:rFonts w:hint="eastAsia"/>
                <w:color w:val="000000" w:themeColor="text1"/>
              </w:rPr>
              <w:t>；项目设置的成品料仓为网状结构，在成品网状料仓入料口上方设置集气罩，</w:t>
            </w:r>
            <w:r>
              <w:rPr>
                <w:color w:val="000000" w:themeColor="text1"/>
              </w:rPr>
              <w:t>废气收集效率以</w:t>
            </w:r>
            <w:r>
              <w:rPr>
                <w:rFonts w:hint="eastAsia"/>
                <w:color w:val="000000" w:themeColor="text1"/>
              </w:rPr>
              <w:t>80</w:t>
            </w:r>
            <w:r>
              <w:rPr>
                <w:color w:val="000000" w:themeColor="text1"/>
              </w:rPr>
              <w:t>%计</w:t>
            </w:r>
            <w:r>
              <w:rPr>
                <w:rFonts w:hint="eastAsia"/>
                <w:color w:val="000000" w:themeColor="text1"/>
              </w:rPr>
              <w:t>；生物质颗粒机设备密闭，振筛设备密闭，制粒及筛分废气收集效率以98%计；布袋除尘器处理效率以99%计，旋风除尘器+布袋除尘器处理效率以99.5%计。</w:t>
            </w:r>
          </w:p>
          <w:p w14:paraId="0461FABB">
            <w:pPr>
              <w:spacing w:line="360" w:lineRule="auto"/>
              <w:ind w:firstLine="480"/>
              <w:jc w:val="left"/>
              <w:rPr>
                <w:color w:val="000000" w:themeColor="text1"/>
              </w:rPr>
            </w:pPr>
            <w:r>
              <w:rPr>
                <w:color w:val="000000" w:themeColor="text1"/>
              </w:rPr>
              <w:t>制粒、</w:t>
            </w:r>
            <w:r>
              <w:rPr>
                <w:rFonts w:hint="eastAsia"/>
                <w:color w:val="000000" w:themeColor="text1"/>
              </w:rPr>
              <w:t>筛分</w:t>
            </w:r>
            <w:r>
              <w:rPr>
                <w:color w:val="000000" w:themeColor="text1"/>
              </w:rPr>
              <w:t>废气颗粒物产污系数参照《排放源统计调查产排污核算方法和系数手册》附表1工业行业产排污系数手册2542生物质致密成型燃料加工行业系数手册：剪切、破碎、筛分、造粒废气颗粒物产污系数6.69×10</w:t>
            </w:r>
            <w:r>
              <w:rPr>
                <w:color w:val="000000" w:themeColor="text1"/>
                <w:vertAlign w:val="superscript"/>
              </w:rPr>
              <w:t>-4</w:t>
            </w:r>
            <w:r>
              <w:rPr>
                <w:color w:val="000000" w:themeColor="text1"/>
              </w:rPr>
              <w:t>t/t-产品。</w:t>
            </w:r>
          </w:p>
          <w:p w14:paraId="2D65FF14">
            <w:pPr>
              <w:tabs>
                <w:tab w:val="left" w:pos="720"/>
              </w:tabs>
              <w:spacing w:line="360" w:lineRule="auto"/>
              <w:ind w:firstLine="480"/>
              <w:rPr>
                <w:b/>
                <w:bCs/>
                <w:color w:val="000000" w:themeColor="text1"/>
                <w:sz w:val="21"/>
                <w:szCs w:val="21"/>
              </w:rPr>
            </w:pPr>
            <w:r>
              <w:rPr>
                <w:color w:val="000000" w:themeColor="text1"/>
              </w:rPr>
              <w:t>由于《排放源统计调查产排污核算方法和系数手册》附表1工业行业产排污系数手册2542 生物质致密成型燃料加工行业系数</w:t>
            </w:r>
            <w:r>
              <w:rPr>
                <w:color w:val="000000" w:themeColor="text1"/>
                <w:szCs w:val="21"/>
              </w:rPr>
              <w:t>手册</w:t>
            </w:r>
            <w:r>
              <w:rPr>
                <w:rFonts w:hint="eastAsia"/>
                <w:color w:val="000000" w:themeColor="text1"/>
                <w:szCs w:val="21"/>
              </w:rPr>
              <w:t>中无物料入料、落料过程废气相关产污系数。本评价</w:t>
            </w:r>
            <w:r>
              <w:rPr>
                <w:color w:val="000000" w:themeColor="text1"/>
                <w:szCs w:val="21"/>
              </w:rPr>
              <w:t>参照《逸散性工业粉尘控制技术》</w:t>
            </w:r>
            <w:r>
              <w:rPr>
                <w:rFonts w:hint="eastAsia"/>
                <w:color w:val="000000" w:themeColor="text1"/>
                <w:szCs w:val="21"/>
              </w:rPr>
              <w:t>中</w:t>
            </w:r>
            <w:r>
              <w:rPr>
                <w:color w:val="000000" w:themeColor="text1"/>
                <w:szCs w:val="21"/>
              </w:rPr>
              <w:t>物料入料废气颗粒物产污系数为</w:t>
            </w:r>
            <w:r>
              <w:rPr>
                <w:rFonts w:hint="eastAsia"/>
                <w:color w:val="000000" w:themeColor="text1"/>
                <w:szCs w:val="21"/>
              </w:rPr>
              <w:t>0.15</w:t>
            </w:r>
            <w:r>
              <w:rPr>
                <w:color w:val="000000" w:themeColor="text1"/>
                <w:szCs w:val="21"/>
              </w:rPr>
              <w:t>kg/t-产品</w:t>
            </w:r>
            <w:r>
              <w:rPr>
                <w:rFonts w:hint="eastAsia"/>
                <w:color w:val="000000" w:themeColor="text1"/>
                <w:szCs w:val="21"/>
              </w:rPr>
              <w:t>，同时考虑，由于</w:t>
            </w:r>
            <w:r>
              <w:rPr>
                <w:color w:val="000000" w:themeColor="text1"/>
                <w:szCs w:val="21"/>
              </w:rPr>
              <w:t>物料的剪切、破碎、筛分等均涉及到物料的入料、相应的加工（</w:t>
            </w:r>
            <w:r>
              <w:rPr>
                <w:rFonts w:hint="eastAsia"/>
                <w:color w:val="000000" w:themeColor="text1"/>
                <w:szCs w:val="21"/>
              </w:rPr>
              <w:t>即</w:t>
            </w:r>
            <w:r>
              <w:rPr>
                <w:color w:val="000000" w:themeColor="text1"/>
                <w:szCs w:val="21"/>
              </w:rPr>
              <w:t>剪切/破碎/筛分）和出料，结合项目行业特点、物料特征与本项目生产特点，本次在核算中转仓落料及入料、</w:t>
            </w:r>
            <w:r>
              <w:rPr>
                <w:rFonts w:hint="eastAsia"/>
                <w:color w:val="000000" w:themeColor="text1"/>
              </w:rPr>
              <w:t>筛下料落料、成品网状料仓入料及冷却、成品皮带输送机落料、打包机包装</w:t>
            </w:r>
            <w:r>
              <w:rPr>
                <w:color w:val="000000" w:themeColor="text1"/>
                <w:szCs w:val="21"/>
              </w:rPr>
              <w:t>过程的废气源强时，参照《排放源统计调查产排污核算方法和系数手册》附表1工业行业产排污系数手册2542生物质致密成型燃料加工行业系数手册：剪切、破碎、筛分、造粒废气颗粒物产污系数6.69×10</w:t>
            </w:r>
            <w:r>
              <w:rPr>
                <w:color w:val="000000" w:themeColor="text1"/>
                <w:szCs w:val="21"/>
                <w:vertAlign w:val="superscript"/>
              </w:rPr>
              <w:t>-4</w:t>
            </w:r>
            <w:r>
              <w:rPr>
                <w:color w:val="000000" w:themeColor="text1"/>
                <w:szCs w:val="21"/>
              </w:rPr>
              <w:t>t/t-产品的30%进行核算</w:t>
            </w:r>
            <w:r>
              <w:rPr>
                <w:rFonts w:hint="eastAsia"/>
                <w:color w:val="000000" w:themeColor="text1"/>
                <w:szCs w:val="21"/>
              </w:rPr>
              <w:t>，</w:t>
            </w:r>
            <w:r>
              <w:rPr>
                <w:color w:val="000000" w:themeColor="text1"/>
              </w:rPr>
              <w:t>源强核算过程见下表。</w:t>
            </w:r>
          </w:p>
          <w:p w14:paraId="0AC2EAD4">
            <w:pPr>
              <w:spacing w:line="240" w:lineRule="auto"/>
              <w:ind w:firstLine="0" w:firstLineChars="0"/>
              <w:jc w:val="center"/>
              <w:rPr>
                <w:b/>
                <w:bCs/>
                <w:color w:val="000000" w:themeColor="text1"/>
                <w:sz w:val="21"/>
                <w:szCs w:val="21"/>
              </w:rPr>
            </w:pPr>
            <w:r>
              <w:rPr>
                <w:rFonts w:hint="eastAsia"/>
                <w:b/>
                <w:bCs/>
                <w:color w:val="000000" w:themeColor="text1"/>
                <w:sz w:val="21"/>
                <w:szCs w:val="21"/>
              </w:rPr>
              <w:t>表27   源强核算过程一览表</w:t>
            </w:r>
          </w:p>
          <w:tbl>
            <w:tblPr>
              <w:tblStyle w:val="24"/>
              <w:tblW w:w="133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868"/>
              <w:gridCol w:w="1469"/>
              <w:gridCol w:w="1004"/>
              <w:gridCol w:w="992"/>
              <w:gridCol w:w="944"/>
              <w:gridCol w:w="1096"/>
              <w:gridCol w:w="928"/>
              <w:gridCol w:w="1021"/>
              <w:gridCol w:w="1067"/>
              <w:gridCol w:w="914"/>
              <w:gridCol w:w="869"/>
              <w:gridCol w:w="1053"/>
            </w:tblGrid>
            <w:tr w14:paraId="60079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18A97E5">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产污节点</w:t>
                  </w:r>
                </w:p>
              </w:tc>
              <w:tc>
                <w:tcPr>
                  <w:tcW w:w="325" w:type="pct"/>
                  <w:tcBorders>
                    <w:tl2br w:val="nil"/>
                    <w:tr2bl w:val="nil"/>
                  </w:tcBorders>
                  <w:noWrap/>
                  <w:vAlign w:val="center"/>
                </w:tcPr>
                <w:p w14:paraId="7AC76C9F">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污染物</w:t>
                  </w:r>
                </w:p>
              </w:tc>
              <w:tc>
                <w:tcPr>
                  <w:tcW w:w="549" w:type="pct"/>
                  <w:tcBorders>
                    <w:tl2br w:val="nil"/>
                    <w:tr2bl w:val="nil"/>
                  </w:tcBorders>
                  <w:noWrap/>
                  <w:vAlign w:val="center"/>
                </w:tcPr>
                <w:p w14:paraId="22719C31">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产污系数</w:t>
                  </w:r>
                </w:p>
              </w:tc>
              <w:tc>
                <w:tcPr>
                  <w:tcW w:w="375" w:type="pct"/>
                  <w:tcBorders>
                    <w:tl2br w:val="nil"/>
                    <w:tr2bl w:val="nil"/>
                  </w:tcBorders>
                  <w:noWrap/>
                  <w:vAlign w:val="center"/>
                </w:tcPr>
                <w:p w14:paraId="38F4E0A6">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核算基数（</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370" w:type="pct"/>
                  <w:tcBorders>
                    <w:tl2br w:val="nil"/>
                    <w:tr2bl w:val="nil"/>
                  </w:tcBorders>
                  <w:noWrap/>
                  <w:vAlign w:val="center"/>
                </w:tcPr>
                <w:p w14:paraId="26BB3EBC">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作业时间（h/a）</w:t>
                  </w:r>
                </w:p>
              </w:tc>
              <w:tc>
                <w:tcPr>
                  <w:tcW w:w="353" w:type="pct"/>
                  <w:tcBorders>
                    <w:tl2br w:val="nil"/>
                    <w:tr2bl w:val="nil"/>
                  </w:tcBorders>
                  <w:noWrap/>
                  <w:vAlign w:val="center"/>
                </w:tcPr>
                <w:p w14:paraId="436221C5">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产生量</w:t>
                  </w:r>
                  <w:r>
                    <w:rPr>
                      <w:rFonts w:hint="eastAsia"/>
                      <w:b/>
                      <w:bCs/>
                      <w:snapToGrid w:val="0"/>
                      <w:color w:val="000000" w:themeColor="text1"/>
                      <w:kern w:val="0"/>
                      <w:sz w:val="21"/>
                      <w:szCs w:val="21"/>
                    </w:rPr>
                    <w:t>（</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409" w:type="pct"/>
                  <w:tcBorders>
                    <w:tl2br w:val="nil"/>
                    <w:tr2bl w:val="nil"/>
                  </w:tcBorders>
                  <w:noWrap/>
                  <w:vAlign w:val="center"/>
                </w:tcPr>
                <w:p w14:paraId="19454D9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产生速率</w:t>
                  </w:r>
                  <w:r>
                    <w:rPr>
                      <w:rFonts w:hint="eastAsia"/>
                      <w:b/>
                      <w:bCs/>
                      <w:snapToGrid w:val="0"/>
                      <w:color w:val="000000" w:themeColor="text1"/>
                      <w:kern w:val="0"/>
                      <w:sz w:val="21"/>
                      <w:szCs w:val="21"/>
                    </w:rPr>
                    <w:t>（</w:t>
                  </w:r>
                  <w:r>
                    <w:rPr>
                      <w:b/>
                      <w:bCs/>
                      <w:snapToGrid w:val="0"/>
                      <w:color w:val="000000" w:themeColor="text1"/>
                      <w:kern w:val="0"/>
                      <w:sz w:val="21"/>
                      <w:szCs w:val="21"/>
                    </w:rPr>
                    <w:t>kg/h</w:t>
                  </w:r>
                  <w:r>
                    <w:rPr>
                      <w:rFonts w:hint="eastAsia"/>
                      <w:b/>
                      <w:bCs/>
                      <w:snapToGrid w:val="0"/>
                      <w:color w:val="000000" w:themeColor="text1"/>
                      <w:kern w:val="0"/>
                      <w:sz w:val="21"/>
                      <w:szCs w:val="21"/>
                    </w:rPr>
                    <w:t>）</w:t>
                  </w:r>
                </w:p>
              </w:tc>
              <w:tc>
                <w:tcPr>
                  <w:tcW w:w="347" w:type="pct"/>
                  <w:tcBorders>
                    <w:tl2br w:val="nil"/>
                    <w:tr2bl w:val="nil"/>
                  </w:tcBorders>
                  <w:noWrap/>
                  <w:vAlign w:val="center"/>
                </w:tcPr>
                <w:p w14:paraId="4B596F12">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收集效率（%）</w:t>
                  </w:r>
                </w:p>
              </w:tc>
              <w:tc>
                <w:tcPr>
                  <w:tcW w:w="381" w:type="pct"/>
                  <w:tcBorders>
                    <w:tl2br w:val="nil"/>
                    <w:tr2bl w:val="nil"/>
                  </w:tcBorders>
                  <w:noWrap/>
                  <w:vAlign w:val="center"/>
                </w:tcPr>
                <w:p w14:paraId="6FBCEFFF">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收集量（</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398" w:type="pct"/>
                  <w:tcBorders>
                    <w:tl2br w:val="nil"/>
                    <w:tr2bl w:val="nil"/>
                  </w:tcBorders>
                  <w:noWrap/>
                  <w:vAlign w:val="center"/>
                </w:tcPr>
                <w:p w14:paraId="41F2B332">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收集速率（</w:t>
                  </w:r>
                  <w:r>
                    <w:rPr>
                      <w:b/>
                      <w:bCs/>
                      <w:snapToGrid w:val="0"/>
                      <w:color w:val="000000" w:themeColor="text1"/>
                      <w:kern w:val="0"/>
                      <w:sz w:val="21"/>
                      <w:szCs w:val="21"/>
                    </w:rPr>
                    <w:t>kg/h</w:t>
                  </w:r>
                  <w:r>
                    <w:rPr>
                      <w:rFonts w:hint="eastAsia"/>
                      <w:b/>
                      <w:bCs/>
                      <w:snapToGrid w:val="0"/>
                      <w:color w:val="000000" w:themeColor="text1"/>
                      <w:kern w:val="0"/>
                      <w:sz w:val="21"/>
                      <w:szCs w:val="21"/>
                    </w:rPr>
                    <w:t>）</w:t>
                  </w:r>
                </w:p>
              </w:tc>
              <w:tc>
                <w:tcPr>
                  <w:tcW w:w="342" w:type="pct"/>
                  <w:tcBorders>
                    <w:tl2br w:val="nil"/>
                    <w:tr2bl w:val="nil"/>
                  </w:tcBorders>
                  <w:noWrap/>
                  <w:vAlign w:val="center"/>
                </w:tcPr>
                <w:p w14:paraId="5D7E8D5D">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处理效率（%）</w:t>
                  </w:r>
                </w:p>
              </w:tc>
              <w:tc>
                <w:tcPr>
                  <w:tcW w:w="325" w:type="pct"/>
                  <w:tcBorders>
                    <w:tl2br w:val="nil"/>
                    <w:tr2bl w:val="nil"/>
                  </w:tcBorders>
                  <w:noWrap/>
                  <w:vAlign w:val="center"/>
                </w:tcPr>
                <w:p w14:paraId="00B2269D">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有组织排放量（</w:t>
                  </w:r>
                  <w:r>
                    <w:rPr>
                      <w:b/>
                      <w:bCs/>
                      <w:snapToGrid w:val="0"/>
                      <w:color w:val="000000" w:themeColor="text1"/>
                      <w:kern w:val="0"/>
                      <w:sz w:val="21"/>
                      <w:szCs w:val="21"/>
                    </w:rPr>
                    <w:t>t/a</w:t>
                  </w:r>
                  <w:r>
                    <w:rPr>
                      <w:rFonts w:hint="eastAsia"/>
                      <w:b/>
                      <w:bCs/>
                      <w:snapToGrid w:val="0"/>
                      <w:color w:val="000000" w:themeColor="text1"/>
                      <w:kern w:val="0"/>
                      <w:sz w:val="21"/>
                      <w:szCs w:val="21"/>
                    </w:rPr>
                    <w:t>）</w:t>
                  </w:r>
                </w:p>
              </w:tc>
              <w:tc>
                <w:tcPr>
                  <w:tcW w:w="393" w:type="pct"/>
                  <w:tcBorders>
                    <w:tl2br w:val="nil"/>
                    <w:tr2bl w:val="nil"/>
                  </w:tcBorders>
                  <w:noWrap/>
                  <w:vAlign w:val="center"/>
                </w:tcPr>
                <w:p w14:paraId="7B55EA09">
                  <w:pPr>
                    <w:spacing w:line="240" w:lineRule="auto"/>
                    <w:ind w:firstLine="0" w:firstLineChars="0"/>
                    <w:jc w:val="center"/>
                    <w:rPr>
                      <w:b/>
                      <w:bCs/>
                      <w:snapToGrid w:val="0"/>
                      <w:color w:val="000000" w:themeColor="text1"/>
                      <w:kern w:val="0"/>
                      <w:sz w:val="21"/>
                      <w:szCs w:val="21"/>
                    </w:rPr>
                  </w:pPr>
                  <w:r>
                    <w:rPr>
                      <w:rFonts w:hint="eastAsia"/>
                      <w:b/>
                      <w:bCs/>
                      <w:snapToGrid w:val="0"/>
                      <w:color w:val="000000" w:themeColor="text1"/>
                      <w:kern w:val="0"/>
                      <w:sz w:val="21"/>
                      <w:szCs w:val="21"/>
                    </w:rPr>
                    <w:t>有组织排放速率（</w:t>
                  </w:r>
                  <w:r>
                    <w:rPr>
                      <w:b/>
                      <w:bCs/>
                      <w:snapToGrid w:val="0"/>
                      <w:color w:val="000000" w:themeColor="text1"/>
                      <w:kern w:val="0"/>
                      <w:sz w:val="21"/>
                      <w:szCs w:val="21"/>
                    </w:rPr>
                    <w:t>kg/h</w:t>
                  </w:r>
                  <w:r>
                    <w:rPr>
                      <w:rFonts w:hint="eastAsia"/>
                      <w:b/>
                      <w:bCs/>
                      <w:snapToGrid w:val="0"/>
                      <w:color w:val="000000" w:themeColor="text1"/>
                      <w:kern w:val="0"/>
                      <w:sz w:val="21"/>
                      <w:szCs w:val="21"/>
                    </w:rPr>
                    <w:t>）</w:t>
                  </w:r>
                </w:p>
              </w:tc>
            </w:tr>
            <w:tr w14:paraId="2193D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C99ED4E">
                  <w:pPr>
                    <w:pStyle w:val="66"/>
                    <w:spacing w:line="240" w:lineRule="auto"/>
                    <w:ind w:left="0" w:right="0" w:firstLine="0" w:firstLineChars="0"/>
                    <w:rPr>
                      <w:color w:val="000000" w:themeColor="text1"/>
                      <w:sz w:val="21"/>
                    </w:rPr>
                  </w:pPr>
                  <w:r>
                    <w:rPr>
                      <w:rFonts w:hint="eastAsia"/>
                      <w:color w:val="000000" w:themeColor="text1"/>
                      <w:sz w:val="21"/>
                    </w:rPr>
                    <w:t>中转仓落料及入料</w:t>
                  </w:r>
                </w:p>
              </w:tc>
              <w:tc>
                <w:tcPr>
                  <w:tcW w:w="325" w:type="pct"/>
                  <w:tcBorders>
                    <w:tl2br w:val="nil"/>
                    <w:tr2bl w:val="nil"/>
                  </w:tcBorders>
                  <w:noWrap/>
                  <w:vAlign w:val="center"/>
                </w:tcPr>
                <w:p w14:paraId="452A3EA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34A38C1E">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354CF28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68FFB1C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681B9EB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1095" w:type="dxa"/>
                  <w:tcBorders>
                    <w:tl2br w:val="nil"/>
                    <w:tr2bl w:val="nil"/>
                  </w:tcBorders>
                  <w:noWrap/>
                  <w:vAlign w:val="center"/>
                </w:tcPr>
                <w:p w14:paraId="6A9164F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1.673 </w:t>
                  </w:r>
                </w:p>
              </w:tc>
              <w:tc>
                <w:tcPr>
                  <w:tcW w:w="347" w:type="pct"/>
                  <w:tcBorders>
                    <w:tl2br w:val="nil"/>
                    <w:tr2bl w:val="nil"/>
                  </w:tcBorders>
                  <w:noWrap/>
                  <w:vAlign w:val="center"/>
                </w:tcPr>
                <w:p w14:paraId="1F932494">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020" w:type="dxa"/>
                  <w:tcBorders>
                    <w:tl2br w:val="nil"/>
                    <w:tr2bl w:val="nil"/>
                  </w:tcBorders>
                  <w:noWrap/>
                  <w:vAlign w:val="center"/>
                </w:tcPr>
                <w:p w14:paraId="37E8EF2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1.806 </w:t>
                  </w:r>
                </w:p>
              </w:tc>
              <w:tc>
                <w:tcPr>
                  <w:tcW w:w="1065" w:type="dxa"/>
                  <w:tcBorders>
                    <w:tl2br w:val="nil"/>
                    <w:tr2bl w:val="nil"/>
                  </w:tcBorders>
                  <w:noWrap/>
                  <w:vAlign w:val="center"/>
                </w:tcPr>
                <w:p w14:paraId="2FE3EC4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1.505 </w:t>
                  </w:r>
                </w:p>
              </w:tc>
              <w:tc>
                <w:tcPr>
                  <w:tcW w:w="342" w:type="pct"/>
                  <w:tcBorders>
                    <w:tl2br w:val="nil"/>
                    <w:tr2bl w:val="nil"/>
                  </w:tcBorders>
                  <w:noWrap/>
                  <w:vAlign w:val="center"/>
                </w:tcPr>
                <w:p w14:paraId="6C7C863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3E95A51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0.018 </w:t>
                  </w:r>
                </w:p>
              </w:tc>
              <w:tc>
                <w:tcPr>
                  <w:tcW w:w="1051" w:type="dxa"/>
                  <w:tcBorders>
                    <w:tl2br w:val="nil"/>
                    <w:tr2bl w:val="nil"/>
                  </w:tcBorders>
                  <w:noWrap/>
                  <w:vAlign w:val="center"/>
                </w:tcPr>
                <w:p w14:paraId="75B53D25">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0.015 </w:t>
                  </w:r>
                </w:p>
              </w:tc>
            </w:tr>
            <w:tr w14:paraId="3F1FD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4E51A878">
                  <w:pPr>
                    <w:pStyle w:val="66"/>
                    <w:spacing w:line="240" w:lineRule="auto"/>
                    <w:ind w:left="0" w:right="0" w:firstLine="0" w:firstLineChars="0"/>
                    <w:rPr>
                      <w:color w:val="000000" w:themeColor="text1"/>
                      <w:sz w:val="21"/>
                    </w:rPr>
                  </w:pPr>
                  <w:r>
                    <w:rPr>
                      <w:rFonts w:hint="eastAsia"/>
                      <w:color w:val="000000" w:themeColor="text1"/>
                      <w:sz w:val="21"/>
                    </w:rPr>
                    <w:t>制粒</w:t>
                  </w:r>
                </w:p>
              </w:tc>
              <w:tc>
                <w:tcPr>
                  <w:tcW w:w="325" w:type="pct"/>
                  <w:tcBorders>
                    <w:tl2br w:val="nil"/>
                    <w:tr2bl w:val="nil"/>
                  </w:tcBorders>
                  <w:noWrap/>
                  <w:vAlign w:val="center"/>
                </w:tcPr>
                <w:p w14:paraId="00CCE40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712D0E28">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6.69</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4282B982">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39952076">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1600</w:t>
                  </w:r>
                </w:p>
              </w:tc>
              <w:tc>
                <w:tcPr>
                  <w:tcW w:w="945" w:type="dxa"/>
                  <w:tcBorders>
                    <w:tl2br w:val="nil"/>
                    <w:tr2bl w:val="nil"/>
                  </w:tcBorders>
                  <w:noWrap/>
                  <w:vAlign w:val="center"/>
                </w:tcPr>
                <w:p w14:paraId="643AA81F">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1095" w:type="dxa"/>
                  <w:tcBorders>
                    <w:tl2br w:val="nil"/>
                    <w:tr2bl w:val="nil"/>
                  </w:tcBorders>
                  <w:noWrap/>
                  <w:vAlign w:val="center"/>
                </w:tcPr>
                <w:p w14:paraId="72B3F12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4.181 </w:t>
                  </w:r>
                </w:p>
              </w:tc>
              <w:tc>
                <w:tcPr>
                  <w:tcW w:w="347" w:type="pct"/>
                  <w:tcBorders>
                    <w:tl2br w:val="nil"/>
                    <w:tr2bl w:val="nil"/>
                  </w:tcBorders>
                  <w:noWrap/>
                  <w:vAlign w:val="center"/>
                </w:tcPr>
                <w:p w14:paraId="4393A1A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98</w:t>
                  </w:r>
                </w:p>
              </w:tc>
              <w:tc>
                <w:tcPr>
                  <w:tcW w:w="1020" w:type="dxa"/>
                  <w:tcBorders>
                    <w:tl2br w:val="nil"/>
                    <w:tr2bl w:val="nil"/>
                  </w:tcBorders>
                  <w:noWrap/>
                  <w:vAlign w:val="center"/>
                </w:tcPr>
                <w:p w14:paraId="14C010C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6.556 </w:t>
                  </w:r>
                </w:p>
              </w:tc>
              <w:tc>
                <w:tcPr>
                  <w:tcW w:w="1065" w:type="dxa"/>
                  <w:tcBorders>
                    <w:tl2br w:val="nil"/>
                    <w:tr2bl w:val="nil"/>
                  </w:tcBorders>
                  <w:noWrap/>
                  <w:vAlign w:val="center"/>
                </w:tcPr>
                <w:p w14:paraId="0860EF72">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4.098 </w:t>
                  </w:r>
                </w:p>
              </w:tc>
              <w:tc>
                <w:tcPr>
                  <w:tcW w:w="342" w:type="pct"/>
                  <w:tcBorders>
                    <w:tl2br w:val="nil"/>
                    <w:tr2bl w:val="nil"/>
                  </w:tcBorders>
                  <w:noWrap/>
                  <w:vAlign w:val="center"/>
                </w:tcPr>
                <w:p w14:paraId="2A64587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99.5</w:t>
                  </w:r>
                </w:p>
              </w:tc>
              <w:tc>
                <w:tcPr>
                  <w:tcW w:w="870" w:type="dxa"/>
                  <w:tcBorders>
                    <w:tl2br w:val="nil"/>
                    <w:tr2bl w:val="nil"/>
                  </w:tcBorders>
                  <w:noWrap/>
                  <w:vAlign w:val="center"/>
                </w:tcPr>
                <w:p w14:paraId="7D8BE00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0.033 </w:t>
                  </w:r>
                </w:p>
              </w:tc>
              <w:tc>
                <w:tcPr>
                  <w:tcW w:w="1051" w:type="dxa"/>
                  <w:tcBorders>
                    <w:tl2br w:val="nil"/>
                    <w:tr2bl w:val="nil"/>
                  </w:tcBorders>
                  <w:noWrap/>
                  <w:vAlign w:val="center"/>
                </w:tcPr>
                <w:p w14:paraId="54C1A6F8">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0.021 </w:t>
                  </w:r>
                </w:p>
              </w:tc>
            </w:tr>
            <w:tr w14:paraId="5ABA1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573510BD">
                  <w:pPr>
                    <w:pStyle w:val="66"/>
                    <w:spacing w:line="240" w:lineRule="auto"/>
                    <w:ind w:left="0" w:right="0" w:firstLine="0" w:firstLineChars="0"/>
                    <w:rPr>
                      <w:color w:val="000000" w:themeColor="text1"/>
                      <w:sz w:val="21"/>
                    </w:rPr>
                  </w:pPr>
                  <w:r>
                    <w:rPr>
                      <w:rFonts w:hint="eastAsia"/>
                      <w:color w:val="000000" w:themeColor="text1"/>
                      <w:sz w:val="21"/>
                    </w:rPr>
                    <w:t>筛分</w:t>
                  </w:r>
                </w:p>
              </w:tc>
              <w:tc>
                <w:tcPr>
                  <w:tcW w:w="325" w:type="pct"/>
                  <w:tcBorders>
                    <w:tl2br w:val="nil"/>
                    <w:tr2bl w:val="nil"/>
                  </w:tcBorders>
                  <w:noWrap/>
                  <w:vAlign w:val="center"/>
                </w:tcPr>
                <w:p w14:paraId="211666D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1DC929C7">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6.69</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624EF5A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751D299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6DE21AD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1095" w:type="dxa"/>
                  <w:tcBorders>
                    <w:tl2br w:val="nil"/>
                    <w:tr2bl w:val="nil"/>
                  </w:tcBorders>
                  <w:noWrap/>
                  <w:vAlign w:val="center"/>
                </w:tcPr>
                <w:p w14:paraId="6E49F52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5.575 </w:t>
                  </w:r>
                </w:p>
              </w:tc>
              <w:tc>
                <w:tcPr>
                  <w:tcW w:w="347" w:type="pct"/>
                  <w:tcBorders>
                    <w:tl2br w:val="nil"/>
                    <w:tr2bl w:val="nil"/>
                  </w:tcBorders>
                  <w:noWrap/>
                  <w:vAlign w:val="center"/>
                </w:tcPr>
                <w:p w14:paraId="3375EDE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w:t>
                  </w:r>
                  <w:r>
                    <w:rPr>
                      <w:rFonts w:hint="eastAsia"/>
                      <w:color w:val="000000" w:themeColor="text1"/>
                      <w:kern w:val="0"/>
                      <w:sz w:val="21"/>
                      <w:szCs w:val="21"/>
                    </w:rPr>
                    <w:t>8</w:t>
                  </w:r>
                  <w:r>
                    <w:rPr>
                      <w:color w:val="000000" w:themeColor="text1"/>
                      <w:kern w:val="0"/>
                      <w:sz w:val="21"/>
                      <w:szCs w:val="21"/>
                    </w:rPr>
                    <w:t xml:space="preserve"> </w:t>
                  </w:r>
                </w:p>
              </w:tc>
              <w:tc>
                <w:tcPr>
                  <w:tcW w:w="1020" w:type="dxa"/>
                  <w:tcBorders>
                    <w:tl2br w:val="nil"/>
                    <w:tr2bl w:val="nil"/>
                  </w:tcBorders>
                  <w:noWrap/>
                  <w:vAlign w:val="center"/>
                </w:tcPr>
                <w:p w14:paraId="027C2BA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6.556 </w:t>
                  </w:r>
                </w:p>
              </w:tc>
              <w:tc>
                <w:tcPr>
                  <w:tcW w:w="1065" w:type="dxa"/>
                  <w:tcBorders>
                    <w:tl2br w:val="nil"/>
                    <w:tr2bl w:val="nil"/>
                  </w:tcBorders>
                  <w:noWrap/>
                  <w:vAlign w:val="center"/>
                </w:tcPr>
                <w:p w14:paraId="34DE92E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5.463 </w:t>
                  </w:r>
                </w:p>
              </w:tc>
              <w:tc>
                <w:tcPr>
                  <w:tcW w:w="342" w:type="pct"/>
                  <w:tcBorders>
                    <w:tl2br w:val="nil"/>
                    <w:tr2bl w:val="nil"/>
                  </w:tcBorders>
                  <w:noWrap/>
                  <w:vAlign w:val="center"/>
                </w:tcPr>
                <w:p w14:paraId="67D61DA2">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2152346F">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0.066 </w:t>
                  </w:r>
                </w:p>
              </w:tc>
              <w:tc>
                <w:tcPr>
                  <w:tcW w:w="1051" w:type="dxa"/>
                  <w:tcBorders>
                    <w:tl2br w:val="nil"/>
                    <w:tr2bl w:val="nil"/>
                  </w:tcBorders>
                  <w:noWrap/>
                  <w:vAlign w:val="center"/>
                </w:tcPr>
                <w:p w14:paraId="78DF2D45">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0.055 </w:t>
                  </w:r>
                </w:p>
              </w:tc>
            </w:tr>
            <w:tr w14:paraId="5B266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B7F78D4">
                  <w:pPr>
                    <w:pStyle w:val="66"/>
                    <w:spacing w:line="240" w:lineRule="auto"/>
                    <w:ind w:left="0" w:right="0" w:firstLine="0" w:firstLineChars="0"/>
                    <w:rPr>
                      <w:color w:val="000000" w:themeColor="text1"/>
                      <w:sz w:val="21"/>
                    </w:rPr>
                  </w:pPr>
                  <w:r>
                    <w:rPr>
                      <w:rFonts w:hint="eastAsia"/>
                      <w:color w:val="000000" w:themeColor="text1"/>
                      <w:sz w:val="21"/>
                    </w:rPr>
                    <w:t>筛下料落料</w:t>
                  </w:r>
                </w:p>
              </w:tc>
              <w:tc>
                <w:tcPr>
                  <w:tcW w:w="325" w:type="pct"/>
                  <w:tcBorders>
                    <w:tl2br w:val="nil"/>
                    <w:tr2bl w:val="nil"/>
                  </w:tcBorders>
                  <w:noWrap/>
                  <w:vAlign w:val="center"/>
                </w:tcPr>
                <w:p w14:paraId="14B59C26">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6A657D26">
                  <w:pPr>
                    <w:spacing w:line="240" w:lineRule="auto"/>
                    <w:ind w:firstLine="0" w:firstLineChars="0"/>
                    <w:jc w:val="center"/>
                    <w:rPr>
                      <w:color w:val="000000" w:themeColor="text1"/>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1CCE8DE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1A71A9D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5A4FE90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2.007</w:t>
                  </w:r>
                </w:p>
              </w:tc>
              <w:tc>
                <w:tcPr>
                  <w:tcW w:w="1095" w:type="dxa"/>
                  <w:tcBorders>
                    <w:tl2br w:val="nil"/>
                    <w:tr2bl w:val="nil"/>
                  </w:tcBorders>
                  <w:noWrap/>
                  <w:vAlign w:val="center"/>
                </w:tcPr>
                <w:p w14:paraId="33B5314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1.673 </w:t>
                  </w:r>
                </w:p>
              </w:tc>
              <w:tc>
                <w:tcPr>
                  <w:tcW w:w="347" w:type="pct"/>
                  <w:tcBorders>
                    <w:tl2br w:val="nil"/>
                    <w:tr2bl w:val="nil"/>
                  </w:tcBorders>
                  <w:noWrap/>
                  <w:vAlign w:val="center"/>
                </w:tcPr>
                <w:p w14:paraId="41D2FF29">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020" w:type="dxa"/>
                  <w:tcBorders>
                    <w:tl2br w:val="nil"/>
                    <w:tr2bl w:val="nil"/>
                  </w:tcBorders>
                  <w:noWrap/>
                  <w:vAlign w:val="center"/>
                </w:tcPr>
                <w:p w14:paraId="69E4039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1.806 </w:t>
                  </w:r>
                </w:p>
              </w:tc>
              <w:tc>
                <w:tcPr>
                  <w:tcW w:w="1065" w:type="dxa"/>
                  <w:tcBorders>
                    <w:tl2br w:val="nil"/>
                    <w:tr2bl w:val="nil"/>
                  </w:tcBorders>
                  <w:noWrap/>
                  <w:vAlign w:val="center"/>
                </w:tcPr>
                <w:p w14:paraId="2813A150">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1.505 </w:t>
                  </w:r>
                </w:p>
              </w:tc>
              <w:tc>
                <w:tcPr>
                  <w:tcW w:w="342" w:type="pct"/>
                  <w:tcBorders>
                    <w:tl2br w:val="nil"/>
                    <w:tr2bl w:val="nil"/>
                  </w:tcBorders>
                  <w:noWrap/>
                  <w:vAlign w:val="center"/>
                </w:tcPr>
                <w:p w14:paraId="6F5F8FB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70" w:type="dxa"/>
                  <w:tcBorders>
                    <w:tl2br w:val="nil"/>
                    <w:tr2bl w:val="nil"/>
                  </w:tcBorders>
                  <w:noWrap/>
                  <w:vAlign w:val="center"/>
                </w:tcPr>
                <w:p w14:paraId="0AE7BD4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0.018 </w:t>
                  </w:r>
                </w:p>
              </w:tc>
              <w:tc>
                <w:tcPr>
                  <w:tcW w:w="1051" w:type="dxa"/>
                  <w:tcBorders>
                    <w:tl2br w:val="nil"/>
                    <w:tr2bl w:val="nil"/>
                  </w:tcBorders>
                  <w:noWrap/>
                  <w:vAlign w:val="center"/>
                </w:tcPr>
                <w:p w14:paraId="5AC7071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0.015 </w:t>
                  </w:r>
                </w:p>
              </w:tc>
            </w:tr>
            <w:tr w14:paraId="4BD6D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5E003382">
                  <w:pPr>
                    <w:pStyle w:val="66"/>
                    <w:spacing w:line="240" w:lineRule="auto"/>
                    <w:ind w:left="0" w:right="0" w:firstLine="0" w:firstLineChars="0"/>
                    <w:rPr>
                      <w:color w:val="000000" w:themeColor="text1"/>
                      <w:sz w:val="21"/>
                    </w:rPr>
                  </w:pPr>
                  <w:r>
                    <w:rPr>
                      <w:rFonts w:hint="eastAsia"/>
                      <w:color w:val="000000" w:themeColor="text1"/>
                      <w:sz w:val="21"/>
                    </w:rPr>
                    <w:t>成品网状料仓入料及冷却</w:t>
                  </w:r>
                </w:p>
              </w:tc>
              <w:tc>
                <w:tcPr>
                  <w:tcW w:w="325" w:type="pct"/>
                  <w:tcBorders>
                    <w:tl2br w:val="nil"/>
                    <w:tr2bl w:val="nil"/>
                  </w:tcBorders>
                  <w:noWrap/>
                  <w:vAlign w:val="center"/>
                </w:tcPr>
                <w:p w14:paraId="7F9AE7C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396A73AA">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4E030D5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10000</w:t>
                  </w:r>
                </w:p>
              </w:tc>
              <w:tc>
                <w:tcPr>
                  <w:tcW w:w="370" w:type="pct"/>
                  <w:tcBorders>
                    <w:tl2br w:val="nil"/>
                    <w:tr2bl w:val="nil"/>
                  </w:tcBorders>
                  <w:noWrap/>
                  <w:vAlign w:val="center"/>
                </w:tcPr>
                <w:p w14:paraId="19D3A1E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1200</w:t>
                  </w:r>
                </w:p>
              </w:tc>
              <w:tc>
                <w:tcPr>
                  <w:tcW w:w="945" w:type="dxa"/>
                  <w:tcBorders>
                    <w:tl2br w:val="nil"/>
                    <w:tr2bl w:val="nil"/>
                  </w:tcBorders>
                  <w:noWrap/>
                  <w:vAlign w:val="center"/>
                </w:tcPr>
                <w:p w14:paraId="03CFB9A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1095" w:type="dxa"/>
                  <w:tcBorders>
                    <w:tl2br w:val="nil"/>
                    <w:tr2bl w:val="nil"/>
                  </w:tcBorders>
                  <w:noWrap/>
                  <w:vAlign w:val="center"/>
                </w:tcPr>
                <w:p w14:paraId="29950AB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1.673 </w:t>
                  </w:r>
                </w:p>
              </w:tc>
              <w:tc>
                <w:tcPr>
                  <w:tcW w:w="347" w:type="pct"/>
                  <w:tcBorders>
                    <w:tl2br w:val="nil"/>
                    <w:tr2bl w:val="nil"/>
                  </w:tcBorders>
                  <w:noWrap/>
                  <w:vAlign w:val="center"/>
                </w:tcPr>
                <w:p w14:paraId="13B01A81">
                  <w:pPr>
                    <w:widowControl/>
                    <w:spacing w:line="240" w:lineRule="auto"/>
                    <w:ind w:firstLine="0" w:firstLineChars="0"/>
                    <w:jc w:val="center"/>
                    <w:textAlignment w:val="center"/>
                    <w:rPr>
                      <w:snapToGrid w:val="0"/>
                      <w:color w:val="000000" w:themeColor="text1"/>
                      <w:kern w:val="0"/>
                      <w:sz w:val="21"/>
                      <w:szCs w:val="21"/>
                    </w:rPr>
                  </w:pPr>
                  <w:r>
                    <w:rPr>
                      <w:rFonts w:hint="eastAsia"/>
                      <w:color w:val="000000" w:themeColor="text1"/>
                      <w:kern w:val="0"/>
                      <w:sz w:val="21"/>
                      <w:szCs w:val="21"/>
                    </w:rPr>
                    <w:t>8</w:t>
                  </w:r>
                  <w:r>
                    <w:rPr>
                      <w:color w:val="000000" w:themeColor="text1"/>
                      <w:kern w:val="0"/>
                      <w:sz w:val="21"/>
                      <w:szCs w:val="21"/>
                    </w:rPr>
                    <w:t xml:space="preserve">0 </w:t>
                  </w:r>
                </w:p>
              </w:tc>
              <w:tc>
                <w:tcPr>
                  <w:tcW w:w="1020" w:type="dxa"/>
                  <w:tcBorders>
                    <w:tl2br w:val="nil"/>
                    <w:tr2bl w:val="nil"/>
                  </w:tcBorders>
                  <w:noWrap/>
                  <w:vAlign w:val="center"/>
                </w:tcPr>
                <w:p w14:paraId="1E5927B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1.606 </w:t>
                  </w:r>
                </w:p>
              </w:tc>
              <w:tc>
                <w:tcPr>
                  <w:tcW w:w="1065" w:type="dxa"/>
                  <w:tcBorders>
                    <w:tl2br w:val="nil"/>
                    <w:tr2bl w:val="nil"/>
                  </w:tcBorders>
                  <w:noWrap/>
                  <w:vAlign w:val="center"/>
                </w:tcPr>
                <w:p w14:paraId="53751C0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1.338 </w:t>
                  </w:r>
                </w:p>
              </w:tc>
              <w:tc>
                <w:tcPr>
                  <w:tcW w:w="342" w:type="pct"/>
                  <w:tcBorders>
                    <w:tl2br w:val="nil"/>
                    <w:tr2bl w:val="nil"/>
                  </w:tcBorders>
                  <w:noWrap/>
                  <w:vAlign w:val="center"/>
                </w:tcPr>
                <w:p w14:paraId="352E5DB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12547C2F">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0.016 </w:t>
                  </w:r>
                </w:p>
              </w:tc>
              <w:tc>
                <w:tcPr>
                  <w:tcW w:w="1051" w:type="dxa"/>
                  <w:tcBorders>
                    <w:tl2br w:val="nil"/>
                    <w:tr2bl w:val="nil"/>
                  </w:tcBorders>
                  <w:noWrap/>
                  <w:vAlign w:val="center"/>
                </w:tcPr>
                <w:p w14:paraId="7E8ED105">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0.013 </w:t>
                  </w:r>
                </w:p>
              </w:tc>
            </w:tr>
            <w:tr w14:paraId="0C408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1F7F994">
                  <w:pPr>
                    <w:pStyle w:val="66"/>
                    <w:spacing w:line="240" w:lineRule="auto"/>
                    <w:ind w:left="0" w:right="0" w:firstLine="0" w:firstLineChars="0"/>
                    <w:rPr>
                      <w:color w:val="000000" w:themeColor="text1"/>
                      <w:sz w:val="21"/>
                    </w:rPr>
                  </w:pPr>
                  <w:r>
                    <w:rPr>
                      <w:rFonts w:hint="eastAsia"/>
                      <w:color w:val="000000" w:themeColor="text1"/>
                      <w:sz w:val="21"/>
                    </w:rPr>
                    <w:t>成品皮带输送机落料</w:t>
                  </w:r>
                </w:p>
              </w:tc>
              <w:tc>
                <w:tcPr>
                  <w:tcW w:w="325" w:type="pct"/>
                  <w:tcBorders>
                    <w:tl2br w:val="nil"/>
                    <w:tr2bl w:val="nil"/>
                  </w:tcBorders>
                  <w:noWrap/>
                  <w:vAlign w:val="center"/>
                </w:tcPr>
                <w:p w14:paraId="47E4545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02D4762D">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76249D2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6500</w:t>
                  </w:r>
                </w:p>
              </w:tc>
              <w:tc>
                <w:tcPr>
                  <w:tcW w:w="370" w:type="pct"/>
                  <w:tcBorders>
                    <w:tl2br w:val="nil"/>
                    <w:tr2bl w:val="nil"/>
                  </w:tcBorders>
                  <w:noWrap/>
                  <w:vAlign w:val="center"/>
                </w:tcPr>
                <w:p w14:paraId="258745A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450</w:t>
                  </w:r>
                </w:p>
              </w:tc>
              <w:tc>
                <w:tcPr>
                  <w:tcW w:w="945" w:type="dxa"/>
                  <w:tcBorders>
                    <w:tl2br w:val="nil"/>
                    <w:tr2bl w:val="nil"/>
                  </w:tcBorders>
                  <w:noWrap/>
                  <w:vAlign w:val="center"/>
                </w:tcPr>
                <w:p w14:paraId="6182EF28">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1.305 </w:t>
                  </w:r>
                </w:p>
              </w:tc>
              <w:tc>
                <w:tcPr>
                  <w:tcW w:w="1095" w:type="dxa"/>
                  <w:tcBorders>
                    <w:tl2br w:val="nil"/>
                    <w:tr2bl w:val="nil"/>
                  </w:tcBorders>
                  <w:noWrap/>
                  <w:vAlign w:val="center"/>
                </w:tcPr>
                <w:p w14:paraId="35C7316E">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2.900 </w:t>
                  </w:r>
                </w:p>
              </w:tc>
              <w:tc>
                <w:tcPr>
                  <w:tcW w:w="347" w:type="pct"/>
                  <w:tcBorders>
                    <w:tl2br w:val="nil"/>
                    <w:tr2bl w:val="nil"/>
                  </w:tcBorders>
                  <w:noWrap/>
                  <w:vAlign w:val="center"/>
                </w:tcPr>
                <w:p w14:paraId="6356E8E5">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020" w:type="dxa"/>
                  <w:tcBorders>
                    <w:tl2br w:val="nil"/>
                    <w:tr2bl w:val="nil"/>
                  </w:tcBorders>
                  <w:noWrap/>
                  <w:vAlign w:val="center"/>
                </w:tcPr>
                <w:p w14:paraId="5841763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1.175 </w:t>
                  </w:r>
                </w:p>
              </w:tc>
              <w:tc>
                <w:tcPr>
                  <w:tcW w:w="1065" w:type="dxa"/>
                  <w:tcBorders>
                    <w:tl2br w:val="nil"/>
                    <w:tr2bl w:val="nil"/>
                  </w:tcBorders>
                  <w:noWrap/>
                  <w:vAlign w:val="center"/>
                </w:tcPr>
                <w:p w14:paraId="420C842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2.611 </w:t>
                  </w:r>
                </w:p>
              </w:tc>
              <w:tc>
                <w:tcPr>
                  <w:tcW w:w="342" w:type="pct"/>
                  <w:tcBorders>
                    <w:tl2br w:val="nil"/>
                    <w:tr2bl w:val="nil"/>
                  </w:tcBorders>
                  <w:noWrap/>
                  <w:vAlign w:val="center"/>
                </w:tcPr>
                <w:p w14:paraId="13E263E5">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70" w:type="dxa"/>
                  <w:tcBorders>
                    <w:tl2br w:val="nil"/>
                    <w:tr2bl w:val="nil"/>
                  </w:tcBorders>
                  <w:noWrap/>
                  <w:vAlign w:val="center"/>
                </w:tcPr>
                <w:p w14:paraId="60B1EAF2">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0.012 </w:t>
                  </w:r>
                </w:p>
              </w:tc>
              <w:tc>
                <w:tcPr>
                  <w:tcW w:w="1051" w:type="dxa"/>
                  <w:tcBorders>
                    <w:tl2br w:val="nil"/>
                    <w:tr2bl w:val="nil"/>
                  </w:tcBorders>
                  <w:noWrap/>
                  <w:vAlign w:val="center"/>
                </w:tcPr>
                <w:p w14:paraId="28F2DA4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0.027 </w:t>
                  </w:r>
                </w:p>
              </w:tc>
            </w:tr>
            <w:tr w14:paraId="605E8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DBE8789">
                  <w:pPr>
                    <w:pStyle w:val="66"/>
                    <w:spacing w:line="240" w:lineRule="auto"/>
                    <w:ind w:left="0" w:right="0" w:firstLine="0" w:firstLineChars="0"/>
                    <w:rPr>
                      <w:color w:val="000000" w:themeColor="text1"/>
                      <w:sz w:val="21"/>
                    </w:rPr>
                  </w:pPr>
                  <w:r>
                    <w:rPr>
                      <w:rFonts w:hint="eastAsia"/>
                      <w:color w:val="000000" w:themeColor="text1"/>
                      <w:sz w:val="21"/>
                    </w:rPr>
                    <w:t>打包机包装</w:t>
                  </w:r>
                </w:p>
              </w:tc>
              <w:tc>
                <w:tcPr>
                  <w:tcW w:w="325" w:type="pct"/>
                  <w:tcBorders>
                    <w:tl2br w:val="nil"/>
                    <w:tr2bl w:val="nil"/>
                  </w:tcBorders>
                  <w:noWrap/>
                  <w:vAlign w:val="center"/>
                </w:tcPr>
                <w:p w14:paraId="01DDAD0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5EE1BC53">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2.007</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t</w:t>
                  </w:r>
                  <w:r>
                    <w:rPr>
                      <w:color w:val="000000" w:themeColor="text1"/>
                      <w:sz w:val="21"/>
                      <w:szCs w:val="21"/>
                    </w:rPr>
                    <w:t>/t-</w:t>
                  </w:r>
                  <w:r>
                    <w:rPr>
                      <w:rFonts w:hint="eastAsia"/>
                      <w:color w:val="000000" w:themeColor="text1"/>
                      <w:sz w:val="21"/>
                      <w:szCs w:val="21"/>
                    </w:rPr>
                    <w:t>产品</w:t>
                  </w:r>
                </w:p>
              </w:tc>
              <w:tc>
                <w:tcPr>
                  <w:tcW w:w="375" w:type="pct"/>
                  <w:tcBorders>
                    <w:tl2br w:val="nil"/>
                    <w:tr2bl w:val="nil"/>
                  </w:tcBorders>
                  <w:noWrap/>
                  <w:vAlign w:val="center"/>
                </w:tcPr>
                <w:p w14:paraId="3683E51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3500</w:t>
                  </w:r>
                </w:p>
              </w:tc>
              <w:tc>
                <w:tcPr>
                  <w:tcW w:w="370" w:type="pct"/>
                  <w:tcBorders>
                    <w:tl2br w:val="nil"/>
                    <w:tr2bl w:val="nil"/>
                  </w:tcBorders>
                  <w:noWrap/>
                  <w:vAlign w:val="center"/>
                </w:tcPr>
                <w:p w14:paraId="19B7CCB7">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720</w:t>
                  </w:r>
                </w:p>
              </w:tc>
              <w:tc>
                <w:tcPr>
                  <w:tcW w:w="945" w:type="dxa"/>
                  <w:tcBorders>
                    <w:tl2br w:val="nil"/>
                    <w:tr2bl w:val="nil"/>
                  </w:tcBorders>
                  <w:noWrap/>
                  <w:vAlign w:val="center"/>
                </w:tcPr>
                <w:p w14:paraId="7BCE77DD">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0.702 </w:t>
                  </w:r>
                </w:p>
              </w:tc>
              <w:tc>
                <w:tcPr>
                  <w:tcW w:w="1095" w:type="dxa"/>
                  <w:tcBorders>
                    <w:tl2br w:val="nil"/>
                    <w:tr2bl w:val="nil"/>
                  </w:tcBorders>
                  <w:noWrap/>
                  <w:vAlign w:val="center"/>
                </w:tcPr>
                <w:p w14:paraId="3B39044D">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0.975 </w:t>
                  </w:r>
                </w:p>
              </w:tc>
              <w:tc>
                <w:tcPr>
                  <w:tcW w:w="347" w:type="pct"/>
                  <w:tcBorders>
                    <w:tl2br w:val="nil"/>
                    <w:tr2bl w:val="nil"/>
                  </w:tcBorders>
                  <w:noWrap/>
                  <w:vAlign w:val="center"/>
                </w:tcPr>
                <w:p w14:paraId="05F7F4A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020" w:type="dxa"/>
                  <w:tcBorders>
                    <w:tl2br w:val="nil"/>
                    <w:tr2bl w:val="nil"/>
                  </w:tcBorders>
                  <w:noWrap/>
                  <w:vAlign w:val="center"/>
                </w:tcPr>
                <w:p w14:paraId="1019517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0.632 </w:t>
                  </w:r>
                </w:p>
              </w:tc>
              <w:tc>
                <w:tcPr>
                  <w:tcW w:w="1065" w:type="dxa"/>
                  <w:tcBorders>
                    <w:tl2br w:val="nil"/>
                    <w:tr2bl w:val="nil"/>
                  </w:tcBorders>
                  <w:noWrap/>
                  <w:vAlign w:val="center"/>
                </w:tcPr>
                <w:p w14:paraId="0CEF9FE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0.878 </w:t>
                  </w:r>
                </w:p>
              </w:tc>
              <w:tc>
                <w:tcPr>
                  <w:tcW w:w="342" w:type="pct"/>
                  <w:tcBorders>
                    <w:tl2br w:val="nil"/>
                    <w:tr2bl w:val="nil"/>
                  </w:tcBorders>
                  <w:noWrap/>
                  <w:vAlign w:val="center"/>
                </w:tcPr>
                <w:p w14:paraId="467CB68C">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70" w:type="dxa"/>
                  <w:tcBorders>
                    <w:tl2br w:val="nil"/>
                    <w:tr2bl w:val="nil"/>
                  </w:tcBorders>
                  <w:noWrap/>
                  <w:vAlign w:val="center"/>
                </w:tcPr>
                <w:p w14:paraId="05DD000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0.006 </w:t>
                  </w:r>
                </w:p>
              </w:tc>
              <w:tc>
                <w:tcPr>
                  <w:tcW w:w="1051" w:type="dxa"/>
                  <w:tcBorders>
                    <w:tl2br w:val="nil"/>
                    <w:tr2bl w:val="nil"/>
                  </w:tcBorders>
                  <w:noWrap/>
                  <w:vAlign w:val="center"/>
                </w:tcPr>
                <w:p w14:paraId="039B7A93">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0.008 </w:t>
                  </w:r>
                </w:p>
              </w:tc>
            </w:tr>
            <w:tr w14:paraId="0CDC9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ign w:val="center"/>
                </w:tcPr>
                <w:p w14:paraId="33849D06">
                  <w:pPr>
                    <w:pStyle w:val="66"/>
                    <w:spacing w:line="240" w:lineRule="auto"/>
                    <w:ind w:left="0" w:right="0" w:firstLine="0" w:firstLineChars="0"/>
                    <w:rPr>
                      <w:color w:val="000000" w:themeColor="text1"/>
                      <w:sz w:val="21"/>
                    </w:rPr>
                  </w:pPr>
                  <w:r>
                    <w:rPr>
                      <w:rFonts w:hint="eastAsia"/>
                      <w:color w:val="000000" w:themeColor="text1"/>
                      <w:sz w:val="21"/>
                    </w:rPr>
                    <w:t>合计</w:t>
                  </w:r>
                </w:p>
              </w:tc>
              <w:tc>
                <w:tcPr>
                  <w:tcW w:w="325" w:type="pct"/>
                  <w:tcBorders>
                    <w:tl2br w:val="nil"/>
                    <w:tr2bl w:val="nil"/>
                  </w:tcBorders>
                  <w:noWrap/>
                  <w:vAlign w:val="center"/>
                </w:tcPr>
                <w:p w14:paraId="13AAFB6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49" w:type="pct"/>
                  <w:tcBorders>
                    <w:tl2br w:val="nil"/>
                    <w:tr2bl w:val="nil"/>
                  </w:tcBorders>
                  <w:noWrap/>
                  <w:vAlign w:val="center"/>
                </w:tcPr>
                <w:p w14:paraId="7FB4AF44">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375" w:type="pct"/>
                  <w:tcBorders>
                    <w:tl2br w:val="nil"/>
                    <w:tr2bl w:val="nil"/>
                  </w:tcBorders>
                  <w:noWrap/>
                  <w:vAlign w:val="center"/>
                </w:tcPr>
                <w:p w14:paraId="3460F498">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370" w:type="pct"/>
                  <w:tcBorders>
                    <w:tl2br w:val="nil"/>
                    <w:tr2bl w:val="nil"/>
                  </w:tcBorders>
                  <w:noWrap/>
                  <w:vAlign w:val="center"/>
                </w:tcPr>
                <w:p w14:paraId="68C1B9A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w:t>
                  </w:r>
                </w:p>
              </w:tc>
              <w:tc>
                <w:tcPr>
                  <w:tcW w:w="945" w:type="dxa"/>
                  <w:tcBorders>
                    <w:tl2br w:val="nil"/>
                    <w:tr2bl w:val="nil"/>
                  </w:tcBorders>
                  <w:noWrap/>
                  <w:vAlign w:val="center"/>
                </w:tcPr>
                <w:p w14:paraId="7177C22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w:t>
                  </w:r>
                  <w:r>
                    <w:rPr>
                      <w:rFonts w:hint="eastAsia"/>
                      <w:color w:val="000000" w:themeColor="text1"/>
                      <w:kern w:val="0"/>
                      <w:sz w:val="21"/>
                      <w:szCs w:val="21"/>
                    </w:rPr>
                    <w:t>1.408</w:t>
                  </w:r>
                </w:p>
              </w:tc>
              <w:tc>
                <w:tcPr>
                  <w:tcW w:w="1095" w:type="dxa"/>
                  <w:tcBorders>
                    <w:tl2br w:val="nil"/>
                    <w:tr2bl w:val="nil"/>
                  </w:tcBorders>
                  <w:noWrap/>
                  <w:vAlign w:val="center"/>
                </w:tcPr>
                <w:p w14:paraId="316A1E6C">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18.650</w:t>
                  </w:r>
                </w:p>
              </w:tc>
              <w:tc>
                <w:tcPr>
                  <w:tcW w:w="930" w:type="dxa"/>
                  <w:tcBorders>
                    <w:tl2br w:val="nil"/>
                    <w:tr2bl w:val="nil"/>
                  </w:tcBorders>
                  <w:noWrap/>
                  <w:vAlign w:val="center"/>
                </w:tcPr>
                <w:p w14:paraId="1777B930">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w:t>
                  </w:r>
                </w:p>
              </w:tc>
              <w:tc>
                <w:tcPr>
                  <w:tcW w:w="1020" w:type="dxa"/>
                  <w:tcBorders>
                    <w:tl2br w:val="nil"/>
                    <w:tr2bl w:val="nil"/>
                  </w:tcBorders>
                  <w:noWrap/>
                  <w:vAlign w:val="center"/>
                </w:tcPr>
                <w:p w14:paraId="697992F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20.137</w:t>
                  </w:r>
                </w:p>
              </w:tc>
              <w:tc>
                <w:tcPr>
                  <w:tcW w:w="1065" w:type="dxa"/>
                  <w:tcBorders>
                    <w:tl2br w:val="nil"/>
                    <w:tr2bl w:val="nil"/>
                  </w:tcBorders>
                  <w:noWrap/>
                  <w:vAlign w:val="center"/>
                </w:tcPr>
                <w:p w14:paraId="1BD4126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17.398</w:t>
                  </w:r>
                </w:p>
              </w:tc>
              <w:tc>
                <w:tcPr>
                  <w:tcW w:w="915" w:type="dxa"/>
                  <w:tcBorders>
                    <w:tl2br w:val="nil"/>
                    <w:tr2bl w:val="nil"/>
                  </w:tcBorders>
                  <w:noWrap/>
                  <w:vAlign w:val="center"/>
                </w:tcPr>
                <w:p w14:paraId="1F7DFD3D">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w:t>
                  </w:r>
                </w:p>
              </w:tc>
              <w:tc>
                <w:tcPr>
                  <w:tcW w:w="870" w:type="dxa"/>
                  <w:tcBorders>
                    <w:tl2br w:val="nil"/>
                    <w:tr2bl w:val="nil"/>
                  </w:tcBorders>
                  <w:noWrap/>
                  <w:vAlign w:val="center"/>
                </w:tcPr>
                <w:p w14:paraId="27FB246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w:t>
                  </w:r>
                  <w:r>
                    <w:rPr>
                      <w:rFonts w:hint="eastAsia"/>
                      <w:color w:val="000000" w:themeColor="text1"/>
                      <w:kern w:val="0"/>
                      <w:sz w:val="21"/>
                      <w:szCs w:val="21"/>
                    </w:rPr>
                    <w:t>69</w:t>
                  </w:r>
                </w:p>
              </w:tc>
              <w:tc>
                <w:tcPr>
                  <w:tcW w:w="1051" w:type="dxa"/>
                  <w:tcBorders>
                    <w:tl2br w:val="nil"/>
                    <w:tr2bl w:val="nil"/>
                  </w:tcBorders>
                  <w:noWrap/>
                  <w:vAlign w:val="center"/>
                </w:tcPr>
                <w:p w14:paraId="61D9800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w:t>
                  </w:r>
                  <w:r>
                    <w:rPr>
                      <w:rFonts w:hint="eastAsia"/>
                      <w:color w:val="000000" w:themeColor="text1"/>
                      <w:kern w:val="0"/>
                      <w:sz w:val="21"/>
                      <w:szCs w:val="21"/>
                    </w:rPr>
                    <w:t>54</w:t>
                  </w:r>
                </w:p>
              </w:tc>
            </w:tr>
          </w:tbl>
          <w:p w14:paraId="3B32FEF7">
            <w:pPr>
              <w:spacing w:line="360" w:lineRule="auto"/>
              <w:ind w:firstLine="480"/>
              <w:jc w:val="left"/>
              <w:rPr>
                <w:color w:val="000000" w:themeColor="text1"/>
              </w:rPr>
            </w:pPr>
            <w:r>
              <w:rPr>
                <w:rFonts w:hint="eastAsia"/>
                <w:color w:val="000000" w:themeColor="text1"/>
              </w:rPr>
              <w:t>B.</w:t>
            </w:r>
            <w:r>
              <w:rPr>
                <w:color w:val="000000" w:themeColor="text1"/>
              </w:rPr>
              <w:t>环保治理设施及达标排放情况</w:t>
            </w:r>
          </w:p>
          <w:p w14:paraId="1F5BB2F5">
            <w:pPr>
              <w:ind w:firstLine="480"/>
              <w:rPr>
                <w:color w:val="000000" w:themeColor="text1"/>
                <w:spacing w:val="-5"/>
              </w:rPr>
            </w:pPr>
            <w:r>
              <w:rPr>
                <w:rFonts w:hint="eastAsia"/>
                <w:color w:val="000000" w:themeColor="text1"/>
              </w:rPr>
              <w:t>本项目中转仓落料及入料、制粒、筛分及筛下料落料、成品网状料仓入料及冷却、成品皮带输送机落料、打包机包装废气共用1台布袋除尘器处理后由1根15m排气筒排放，风机风量为35000m</w:t>
            </w:r>
            <w:r>
              <w:rPr>
                <w:rFonts w:hint="eastAsia"/>
                <w:color w:val="000000" w:themeColor="text1"/>
                <w:vertAlign w:val="superscript"/>
              </w:rPr>
              <w:t>3</w:t>
            </w:r>
            <w:r>
              <w:rPr>
                <w:rFonts w:hint="eastAsia"/>
                <w:color w:val="000000" w:themeColor="text1"/>
              </w:rPr>
              <w:t>/h</w:t>
            </w:r>
            <w:r>
              <w:rPr>
                <w:color w:val="000000" w:themeColor="text1"/>
              </w:rPr>
              <w:t>，</w:t>
            </w:r>
            <w:r>
              <w:rPr>
                <w:rFonts w:hint="eastAsia"/>
                <w:color w:val="000000" w:themeColor="text1"/>
              </w:rPr>
              <w:t>上述废气</w:t>
            </w:r>
            <w:r>
              <w:rPr>
                <w:color w:val="000000" w:themeColor="text1"/>
              </w:rPr>
              <w:t>颗粒物产生</w:t>
            </w:r>
            <w:r>
              <w:rPr>
                <w:rFonts w:hint="eastAsia"/>
                <w:color w:val="000000" w:themeColor="text1"/>
              </w:rPr>
              <w:t>总</w:t>
            </w:r>
            <w:r>
              <w:rPr>
                <w:color w:val="000000" w:themeColor="text1"/>
              </w:rPr>
              <w:t>量为</w:t>
            </w:r>
            <w:r>
              <w:rPr>
                <w:rFonts w:hint="eastAsia"/>
                <w:color w:val="000000" w:themeColor="text1"/>
                <w:kern w:val="0"/>
              </w:rPr>
              <w:t>21.408</w:t>
            </w:r>
            <w:r>
              <w:rPr>
                <w:color w:val="000000" w:themeColor="text1"/>
              </w:rPr>
              <w:t>t/a、最大产生速率为</w:t>
            </w:r>
            <w:r>
              <w:rPr>
                <w:rFonts w:hint="eastAsia"/>
                <w:color w:val="000000" w:themeColor="text1"/>
              </w:rPr>
              <w:t>18.650</w:t>
            </w:r>
            <w:r>
              <w:rPr>
                <w:color w:val="000000" w:themeColor="text1"/>
              </w:rPr>
              <w:t>kg/h（由于各环节作业时间不同，为各速率的叠加，下同），</w:t>
            </w:r>
            <w:r>
              <w:rPr>
                <w:rFonts w:hint="eastAsia"/>
                <w:color w:val="000000" w:themeColor="text1"/>
              </w:rPr>
              <w:t>颗粒物的收集量为</w:t>
            </w:r>
            <w:r>
              <w:rPr>
                <w:color w:val="000000" w:themeColor="text1"/>
                <w:kern w:val="0"/>
              </w:rPr>
              <w:t>2</w:t>
            </w:r>
            <w:r>
              <w:rPr>
                <w:rFonts w:hint="eastAsia"/>
                <w:color w:val="000000" w:themeColor="text1"/>
                <w:kern w:val="0"/>
              </w:rPr>
              <w:t>0.137</w:t>
            </w:r>
            <w:r>
              <w:rPr>
                <w:color w:val="000000" w:themeColor="text1"/>
              </w:rPr>
              <w:t>t/a</w:t>
            </w:r>
            <w:r>
              <w:rPr>
                <w:rFonts w:hint="eastAsia"/>
                <w:color w:val="000000" w:themeColor="text1"/>
              </w:rPr>
              <w:t>，收集速率为</w:t>
            </w:r>
            <w:r>
              <w:rPr>
                <w:rFonts w:hint="eastAsia"/>
                <w:color w:val="000000" w:themeColor="text1"/>
                <w:kern w:val="0"/>
              </w:rPr>
              <w:t>17.398</w:t>
            </w:r>
            <w:r>
              <w:rPr>
                <w:color w:val="000000" w:themeColor="text1"/>
              </w:rPr>
              <w:t>kg/h</w:t>
            </w:r>
            <w:r>
              <w:rPr>
                <w:rFonts w:hint="eastAsia"/>
                <w:color w:val="000000" w:themeColor="text1"/>
              </w:rPr>
              <w:t>，排放量为</w:t>
            </w:r>
            <w:r>
              <w:rPr>
                <w:color w:val="000000" w:themeColor="text1"/>
                <w:kern w:val="0"/>
              </w:rPr>
              <w:t>0.1</w:t>
            </w:r>
            <w:r>
              <w:rPr>
                <w:rFonts w:hint="eastAsia"/>
                <w:color w:val="000000" w:themeColor="text1"/>
                <w:kern w:val="0"/>
              </w:rPr>
              <w:t>69</w:t>
            </w:r>
            <w:r>
              <w:rPr>
                <w:color w:val="000000" w:themeColor="text1"/>
              </w:rPr>
              <w:t>t/a</w:t>
            </w:r>
            <w:r>
              <w:rPr>
                <w:rFonts w:hint="eastAsia"/>
                <w:color w:val="000000" w:themeColor="text1"/>
              </w:rPr>
              <w:t>，最大排放速率为</w:t>
            </w:r>
            <w:r>
              <w:rPr>
                <w:color w:val="000000" w:themeColor="text1"/>
                <w:kern w:val="0"/>
              </w:rPr>
              <w:t>0.1</w:t>
            </w:r>
            <w:r>
              <w:rPr>
                <w:rFonts w:hint="eastAsia"/>
                <w:color w:val="000000" w:themeColor="text1"/>
                <w:kern w:val="0"/>
              </w:rPr>
              <w:t>54</w:t>
            </w:r>
            <w:r>
              <w:rPr>
                <w:color w:val="000000" w:themeColor="text1"/>
              </w:rPr>
              <w:t>kg/h</w:t>
            </w:r>
            <w:r>
              <w:rPr>
                <w:rFonts w:hint="eastAsia"/>
                <w:color w:val="000000" w:themeColor="text1"/>
              </w:rPr>
              <w:t>，最大排放浓度为4.4</w:t>
            </w:r>
            <w:r>
              <w:rPr>
                <w:color w:val="000000" w:themeColor="text1"/>
              </w:rPr>
              <w:t>mg/m</w:t>
            </w:r>
            <w:r>
              <w:rPr>
                <w:color w:val="000000" w:themeColor="text1"/>
                <w:vertAlign w:val="superscript"/>
              </w:rPr>
              <w:t>3</w:t>
            </w:r>
            <w:r>
              <w:rPr>
                <w:rFonts w:hint="eastAsia"/>
                <w:color w:val="000000" w:themeColor="text1"/>
              </w:rPr>
              <w:t>，满足《大气污染物综合排放标准》（GB16297-1996）表2颗粒物排放限值120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、排放速率3.5kg/h，排气筒高度不低于15m，</w:t>
            </w:r>
            <w:r>
              <w:rPr>
                <w:rFonts w:hint="eastAsia"/>
                <w:color w:val="000000" w:themeColor="text1"/>
                <w:spacing w:val="-5"/>
              </w:rPr>
              <w:t>且高出200m范围内最高建筑物5m以上的要求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spacing w:val="-5"/>
              </w:rPr>
              <w:t>。</w:t>
            </w:r>
          </w:p>
          <w:p w14:paraId="2523E0B4">
            <w:pPr>
              <w:ind w:firstLine="480"/>
              <w:rPr>
                <w:color w:val="000000" w:themeColor="text1"/>
              </w:rPr>
            </w:pPr>
            <w:r>
              <w:rPr>
                <w:rFonts w:hint="eastAsia"/>
                <w:color w:val="000000" w:themeColor="text1"/>
              </w:rPr>
              <w:t>2）</w:t>
            </w:r>
            <w:r>
              <w:rPr>
                <w:color w:val="000000" w:themeColor="text1"/>
              </w:rPr>
              <w:t>无</w:t>
            </w:r>
            <w:r>
              <w:rPr>
                <w:rFonts w:hint="eastAsia"/>
                <w:color w:val="000000" w:themeColor="text1"/>
              </w:rPr>
              <w:t>组织废气源强核算</w:t>
            </w:r>
          </w:p>
          <w:p w14:paraId="4F60887F">
            <w:pPr>
              <w:ind w:firstLine="480"/>
              <w:rPr>
                <w:rStyle w:val="53"/>
                <w:b w:val="0"/>
                <w:color w:val="000000" w:themeColor="text1"/>
                <w:sz w:val="24"/>
                <w:szCs w:val="24"/>
              </w:rPr>
            </w:pPr>
            <w:r>
              <w:rPr>
                <w:rStyle w:val="53"/>
                <w:rFonts w:hint="eastAsia"/>
                <w:b w:val="0"/>
                <w:color w:val="000000" w:themeColor="text1"/>
                <w:sz w:val="24"/>
                <w:szCs w:val="24"/>
              </w:rPr>
              <w:t>①原料装卸、堆存、铲车转运、上料斗上料过程产生的颗粒物</w:t>
            </w:r>
          </w:p>
          <w:p w14:paraId="26F67E11">
            <w:pPr>
              <w:ind w:firstLine="480"/>
              <w:rPr>
                <w:rStyle w:val="53"/>
                <w:b w:val="0"/>
                <w:color w:val="000000" w:themeColor="text1"/>
                <w:sz w:val="24"/>
                <w:szCs w:val="24"/>
              </w:rPr>
            </w:pPr>
            <w:r>
              <w:rPr>
                <w:rFonts w:hint="eastAsia"/>
                <w:color w:val="000000" w:themeColor="text1"/>
              </w:rPr>
              <w:t>本项目原料锯末含水率（15%、30%）较高，且在封闭厂房内的原料区内储存，铲车转运的物料为含水率15%、30%的锯末，上料斗上料的物料为含水率30%的锯末，物料含水率较高，装卸、堆存、</w:t>
            </w:r>
            <w:r>
              <w:rPr>
                <w:rStyle w:val="53"/>
                <w:rFonts w:hint="eastAsia"/>
                <w:b w:val="0"/>
                <w:color w:val="000000" w:themeColor="text1"/>
                <w:sz w:val="24"/>
                <w:szCs w:val="24"/>
              </w:rPr>
              <w:t>铲车转运、上料斗上料</w:t>
            </w:r>
            <w:r>
              <w:rPr>
                <w:rFonts w:hint="eastAsia"/>
                <w:color w:val="000000" w:themeColor="text1"/>
              </w:rPr>
              <w:t>过程产尘量较小，在厂房内无组织排放。</w:t>
            </w:r>
          </w:p>
          <w:p w14:paraId="4C30DCBB">
            <w:pPr>
              <w:spacing w:line="360" w:lineRule="auto"/>
              <w:ind w:firstLine="480"/>
              <w:rPr>
                <w:color w:val="000000" w:themeColor="text1"/>
              </w:rPr>
            </w:pPr>
            <w:r>
              <w:rPr>
                <w:rStyle w:val="53"/>
                <w:rFonts w:hint="eastAsia"/>
                <w:b w:val="0"/>
                <w:color w:val="000000" w:themeColor="text1"/>
                <w:sz w:val="24"/>
                <w:szCs w:val="24"/>
              </w:rPr>
              <w:t>原料装卸、堆存、铲车转运、上料斗上料过程颗粒物</w:t>
            </w:r>
            <w:r>
              <w:rPr>
                <w:rFonts w:hint="eastAsia"/>
                <w:color w:val="000000" w:themeColor="text1"/>
              </w:rPr>
              <w:t>产生量参考</w:t>
            </w:r>
            <w:r>
              <w:rPr>
                <w:color w:val="000000" w:themeColor="text1"/>
              </w:rPr>
              <w:t>《排放源统计调查产排污核算方法和系数手册》</w:t>
            </w:r>
            <w:r>
              <w:rPr>
                <w:rFonts w:hint="eastAsia"/>
                <w:color w:val="000000" w:themeColor="text1"/>
              </w:rPr>
              <w:t>附表2固体物料堆存颗粒物产排污核算系数手册中颗粒物产生量核算公式如下：</w:t>
            </w:r>
          </w:p>
          <w:p w14:paraId="200AE055">
            <w:pPr>
              <w:spacing w:line="360" w:lineRule="auto"/>
              <w:ind w:firstLine="480"/>
              <w:jc w:val="center"/>
              <w:rPr>
                <w:color w:val="000000" w:themeColor="text1"/>
              </w:rPr>
            </w:pPr>
            <w:r>
              <w:rPr>
                <w:color w:val="000000" w:themeColor="text1"/>
              </w:rPr>
              <w:t>P=ZCy+FCy={Nc×D×(a/b)+2×Ef×S}×10</w:t>
            </w:r>
            <w:r>
              <w:rPr>
                <w:color w:val="000000" w:themeColor="text1"/>
                <w:vertAlign w:val="superscript"/>
              </w:rPr>
              <w:t>−3</w:t>
            </w:r>
          </w:p>
          <w:p w14:paraId="2C8C7C19">
            <w:pPr>
              <w:spacing w:line="360" w:lineRule="auto"/>
              <w:ind w:firstLine="480"/>
              <w:rPr>
                <w:color w:val="000000" w:themeColor="text1"/>
              </w:rPr>
            </w:pPr>
            <w:r>
              <w:rPr>
                <w:color w:val="000000" w:themeColor="text1"/>
              </w:rPr>
              <w:t>式中：P——颗粒物产生量（单位：</w:t>
            </w:r>
            <w:r>
              <w:rPr>
                <w:rFonts w:hint="eastAsia"/>
                <w:color w:val="000000" w:themeColor="text1"/>
              </w:rPr>
              <w:t>t</w:t>
            </w:r>
            <w:r>
              <w:rPr>
                <w:color w:val="000000" w:themeColor="text1"/>
              </w:rPr>
              <w:t>）；</w:t>
            </w:r>
          </w:p>
          <w:p w14:paraId="38F514C4">
            <w:pPr>
              <w:spacing w:line="360" w:lineRule="auto"/>
              <w:ind w:firstLine="480"/>
              <w:rPr>
                <w:color w:val="000000" w:themeColor="text1"/>
              </w:rPr>
            </w:pPr>
            <w:r>
              <w:rPr>
                <w:color w:val="000000" w:themeColor="text1"/>
              </w:rPr>
              <w:t>ZCy——装卸扬尘产生量（单位：</w:t>
            </w:r>
            <w:r>
              <w:rPr>
                <w:rFonts w:hint="eastAsia"/>
                <w:color w:val="000000" w:themeColor="text1"/>
              </w:rPr>
              <w:t>t</w:t>
            </w:r>
            <w:r>
              <w:rPr>
                <w:color w:val="000000" w:themeColor="text1"/>
              </w:rPr>
              <w:t>）；</w:t>
            </w:r>
          </w:p>
          <w:p w14:paraId="71342731">
            <w:pPr>
              <w:spacing w:line="360" w:lineRule="auto"/>
              <w:ind w:firstLine="480"/>
              <w:rPr>
                <w:color w:val="000000" w:themeColor="text1"/>
              </w:rPr>
            </w:pPr>
            <w:r>
              <w:rPr>
                <w:color w:val="000000" w:themeColor="text1"/>
              </w:rPr>
              <w:t>FCy——风蚀扬尘产生量（单位：</w:t>
            </w:r>
            <w:r>
              <w:rPr>
                <w:rFonts w:hint="eastAsia"/>
                <w:color w:val="000000" w:themeColor="text1"/>
              </w:rPr>
              <w:t>t</w:t>
            </w:r>
            <w:r>
              <w:rPr>
                <w:color w:val="000000" w:themeColor="text1"/>
              </w:rPr>
              <w:t>）；</w:t>
            </w:r>
          </w:p>
          <w:p w14:paraId="0ABEB65B">
            <w:pPr>
              <w:spacing w:line="360" w:lineRule="auto"/>
              <w:ind w:firstLine="480"/>
              <w:rPr>
                <w:color w:val="000000" w:themeColor="text1"/>
              </w:rPr>
            </w:pPr>
            <w:r>
              <w:rPr>
                <w:color w:val="000000" w:themeColor="text1"/>
              </w:rPr>
              <w:t>Nc——年物料装载车次（单位：</w:t>
            </w:r>
            <w:r>
              <w:rPr>
                <w:rFonts w:hint="eastAsia"/>
                <w:color w:val="000000" w:themeColor="text1"/>
              </w:rPr>
              <w:t>t</w:t>
            </w:r>
            <w:r>
              <w:rPr>
                <w:color w:val="000000" w:themeColor="text1"/>
              </w:rPr>
              <w:t>）；</w:t>
            </w:r>
          </w:p>
          <w:p w14:paraId="4FD46328">
            <w:pPr>
              <w:spacing w:line="360" w:lineRule="auto"/>
              <w:ind w:firstLine="480"/>
              <w:rPr>
                <w:color w:val="000000" w:themeColor="text1"/>
              </w:rPr>
            </w:pPr>
            <w:r>
              <w:rPr>
                <w:color w:val="000000" w:themeColor="text1"/>
              </w:rPr>
              <w:t>D——单车平均运载量（单位：t/车）；</w:t>
            </w:r>
          </w:p>
          <w:p w14:paraId="24F55152">
            <w:pPr>
              <w:spacing w:line="360" w:lineRule="auto"/>
              <w:ind w:firstLine="480"/>
              <w:rPr>
                <w:color w:val="000000" w:themeColor="text1"/>
              </w:rPr>
            </w:pPr>
            <w:r>
              <w:rPr>
                <w:color w:val="000000" w:themeColor="text1"/>
              </w:rPr>
              <w:t>(a/b)：装卸扬尘概化系数（单位：kg/t），a指各省风速概化系数，本项目位于河北省，则a取0.0010；b指物料含水率概化系数；</w:t>
            </w:r>
          </w:p>
          <w:p w14:paraId="5B9FE732">
            <w:pPr>
              <w:spacing w:line="360" w:lineRule="auto"/>
              <w:ind w:firstLine="480"/>
              <w:rPr>
                <w:color w:val="000000" w:themeColor="text1"/>
              </w:rPr>
            </w:pPr>
            <w:r>
              <w:rPr>
                <w:color w:val="000000" w:themeColor="text1"/>
              </w:rPr>
              <w:t>Ef——堆场风蚀扬尘概化系数，单位：kg/m</w:t>
            </w:r>
            <w:r>
              <w:rPr>
                <w:color w:val="000000" w:themeColor="text1"/>
                <w:vertAlign w:val="superscript"/>
              </w:rPr>
              <w:t>2</w:t>
            </w:r>
            <w:r>
              <w:rPr>
                <w:color w:val="000000" w:themeColor="text1"/>
              </w:rPr>
              <w:t>；</w:t>
            </w:r>
          </w:p>
          <w:p w14:paraId="2CEC0AA4">
            <w:pPr>
              <w:spacing w:line="360" w:lineRule="auto"/>
              <w:ind w:firstLine="480"/>
              <w:rPr>
                <w:color w:val="000000" w:themeColor="text1"/>
              </w:rPr>
            </w:pPr>
            <w:r>
              <w:rPr>
                <w:color w:val="000000" w:themeColor="text1"/>
              </w:rPr>
              <w:t>S——堆场面积，单位：m</w:t>
            </w:r>
            <w:r>
              <w:rPr>
                <w:color w:val="000000" w:themeColor="text1"/>
                <w:vertAlign w:val="superscript"/>
              </w:rPr>
              <w:t>2</w:t>
            </w:r>
            <w:r>
              <w:rPr>
                <w:rFonts w:hint="eastAsia"/>
                <w:color w:val="000000" w:themeColor="text1"/>
              </w:rPr>
              <w:t>。</w:t>
            </w:r>
          </w:p>
          <w:p w14:paraId="55F140B6">
            <w:pPr>
              <w:spacing w:line="360" w:lineRule="auto"/>
              <w:ind w:firstLine="0" w:firstLineChars="0"/>
              <w:jc w:val="center"/>
              <w:rPr>
                <w:b/>
                <w:bCs/>
                <w:color w:val="000000" w:themeColor="text1"/>
                <w:sz w:val="21"/>
                <w:szCs w:val="21"/>
              </w:rPr>
            </w:pPr>
            <w:r>
              <w:rPr>
                <w:rFonts w:hint="eastAsia"/>
                <w:b/>
                <w:bCs/>
                <w:color w:val="000000" w:themeColor="text1"/>
                <w:sz w:val="21"/>
                <w:szCs w:val="21"/>
              </w:rPr>
              <w:t xml:space="preserve">表28   </w:t>
            </w:r>
            <w:r>
              <w:rPr>
                <w:rFonts w:hint="eastAsia" w:ascii="宋体" w:hAnsi="宋体" w:cs="宋体"/>
                <w:b/>
                <w:bCs/>
                <w:color w:val="000000" w:themeColor="text1"/>
                <w:sz w:val="21"/>
                <w:szCs w:val="21"/>
              </w:rPr>
              <w:t>颗粒物产生量计算参数及结果一览表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1544"/>
              <w:gridCol w:w="1635"/>
              <w:gridCol w:w="1411"/>
              <w:gridCol w:w="1350"/>
              <w:gridCol w:w="1829"/>
              <w:gridCol w:w="1651"/>
              <w:gridCol w:w="1420"/>
            </w:tblGrid>
            <w:tr w14:paraId="34B59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6CD74CF0">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项目</w:t>
                  </w:r>
                </w:p>
              </w:tc>
              <w:tc>
                <w:tcPr>
                  <w:tcW w:w="580" w:type="pct"/>
                  <w:tcBorders>
                    <w:tl2br w:val="nil"/>
                    <w:tr2bl w:val="nil"/>
                  </w:tcBorders>
                  <w:vAlign w:val="center"/>
                </w:tcPr>
                <w:p w14:paraId="78534298">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Nc（车）</w:t>
                  </w:r>
                </w:p>
              </w:tc>
              <w:tc>
                <w:tcPr>
                  <w:tcW w:w="614" w:type="pct"/>
                  <w:tcBorders>
                    <w:tl2br w:val="nil"/>
                    <w:tr2bl w:val="nil"/>
                  </w:tcBorders>
                  <w:vAlign w:val="center"/>
                </w:tcPr>
                <w:p w14:paraId="5BD1AAB6">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D（t/车）</w:t>
                  </w:r>
                </w:p>
              </w:tc>
              <w:tc>
                <w:tcPr>
                  <w:tcW w:w="530" w:type="pct"/>
                  <w:tcBorders>
                    <w:tl2br w:val="nil"/>
                    <w:tr2bl w:val="nil"/>
                  </w:tcBorders>
                  <w:vAlign w:val="center"/>
                </w:tcPr>
                <w:p w14:paraId="4F7D7A97">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a</w:t>
                  </w:r>
                </w:p>
              </w:tc>
              <w:tc>
                <w:tcPr>
                  <w:tcW w:w="507" w:type="pct"/>
                  <w:tcBorders>
                    <w:tl2br w:val="nil"/>
                    <w:tr2bl w:val="nil"/>
                  </w:tcBorders>
                  <w:vAlign w:val="center"/>
                </w:tcPr>
                <w:p w14:paraId="6A56501A">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b</w:t>
                  </w:r>
                </w:p>
              </w:tc>
              <w:tc>
                <w:tcPr>
                  <w:tcW w:w="687" w:type="pct"/>
                  <w:tcBorders>
                    <w:tl2br w:val="nil"/>
                    <w:tr2bl w:val="nil"/>
                  </w:tcBorders>
                  <w:vAlign w:val="center"/>
                </w:tcPr>
                <w:p w14:paraId="6F7063EC">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Ef（kg/m</w:t>
                  </w:r>
                  <w:r>
                    <w:rPr>
                      <w:b/>
                      <w:bCs/>
                      <w:color w:val="000000" w:themeColor="text1"/>
                      <w:sz w:val="21"/>
                      <w:szCs w:val="21"/>
                      <w:vertAlign w:val="superscript"/>
                    </w:rPr>
                    <w:t>2</w:t>
                  </w:r>
                  <w:r>
                    <w:rPr>
                      <w:b/>
                      <w:bCs/>
                      <w:color w:val="000000" w:themeColor="text1"/>
                      <w:sz w:val="21"/>
                      <w:szCs w:val="21"/>
                    </w:rPr>
                    <w:t>）</w:t>
                  </w:r>
                </w:p>
              </w:tc>
              <w:tc>
                <w:tcPr>
                  <w:tcW w:w="620" w:type="pct"/>
                  <w:tcBorders>
                    <w:tl2br w:val="nil"/>
                    <w:tr2bl w:val="nil"/>
                  </w:tcBorders>
                  <w:vAlign w:val="center"/>
                </w:tcPr>
                <w:p w14:paraId="454F26EF">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S（m</w:t>
                  </w:r>
                  <w:r>
                    <w:rPr>
                      <w:b/>
                      <w:bCs/>
                      <w:color w:val="000000" w:themeColor="text1"/>
                      <w:sz w:val="21"/>
                      <w:szCs w:val="21"/>
                      <w:vertAlign w:val="superscript"/>
                    </w:rPr>
                    <w:t>2</w:t>
                  </w:r>
                  <w:r>
                    <w:rPr>
                      <w:b/>
                      <w:bCs/>
                      <w:color w:val="000000" w:themeColor="text1"/>
                      <w:sz w:val="21"/>
                      <w:szCs w:val="21"/>
                    </w:rPr>
                    <w:t>）</w:t>
                  </w:r>
                </w:p>
              </w:tc>
              <w:tc>
                <w:tcPr>
                  <w:tcW w:w="533" w:type="pct"/>
                  <w:tcBorders>
                    <w:tl2br w:val="nil"/>
                    <w:tr2bl w:val="nil"/>
                  </w:tcBorders>
                  <w:vAlign w:val="center"/>
                </w:tcPr>
                <w:p w14:paraId="032F91C1">
                  <w:pPr>
                    <w:wordWrap w:val="0"/>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P（t）</w:t>
                  </w:r>
                </w:p>
              </w:tc>
            </w:tr>
            <w:tr w14:paraId="4C1FB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4087B52F">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锯末（30%含水率）</w:t>
                  </w:r>
                </w:p>
              </w:tc>
              <w:tc>
                <w:tcPr>
                  <w:tcW w:w="580" w:type="pct"/>
                  <w:tcBorders>
                    <w:tl2br w:val="nil"/>
                    <w:tr2bl w:val="nil"/>
                  </w:tcBorders>
                  <w:vAlign w:val="center"/>
                </w:tcPr>
                <w:p w14:paraId="0048D0FE">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503</w:t>
                  </w:r>
                </w:p>
              </w:tc>
              <w:tc>
                <w:tcPr>
                  <w:tcW w:w="614" w:type="pct"/>
                  <w:tcBorders>
                    <w:tl2br w:val="nil"/>
                    <w:tr2bl w:val="nil"/>
                  </w:tcBorders>
                  <w:vAlign w:val="center"/>
                </w:tcPr>
                <w:p w14:paraId="647530D9">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20</w:t>
                  </w:r>
                </w:p>
              </w:tc>
              <w:tc>
                <w:tcPr>
                  <w:tcW w:w="530" w:type="pct"/>
                  <w:tcBorders>
                    <w:tl2br w:val="nil"/>
                    <w:tr2bl w:val="nil"/>
                  </w:tcBorders>
                  <w:vAlign w:val="center"/>
                </w:tcPr>
                <w:p w14:paraId="40B27CC7">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0.0010</w:t>
                  </w:r>
                </w:p>
              </w:tc>
              <w:tc>
                <w:tcPr>
                  <w:tcW w:w="507" w:type="pct"/>
                  <w:tcBorders>
                    <w:tl2br w:val="nil"/>
                    <w:tr2bl w:val="nil"/>
                  </w:tcBorders>
                  <w:vAlign w:val="center"/>
                </w:tcPr>
                <w:p w14:paraId="75B40AF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0.0702</w:t>
                  </w:r>
                </w:p>
              </w:tc>
              <w:tc>
                <w:tcPr>
                  <w:tcW w:w="687" w:type="pct"/>
                  <w:tcBorders>
                    <w:tl2br w:val="nil"/>
                    <w:tr2bl w:val="nil"/>
                  </w:tcBorders>
                  <w:vAlign w:val="center"/>
                </w:tcPr>
                <w:p w14:paraId="3EE40CE7">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w:t>
                  </w:r>
                </w:p>
              </w:tc>
              <w:tc>
                <w:tcPr>
                  <w:tcW w:w="620" w:type="pct"/>
                  <w:tcBorders>
                    <w:tl2br w:val="nil"/>
                    <w:tr2bl w:val="nil"/>
                  </w:tcBorders>
                  <w:vAlign w:val="center"/>
                </w:tcPr>
                <w:p w14:paraId="271310A3">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648</w:t>
                  </w:r>
                </w:p>
              </w:tc>
              <w:tc>
                <w:tcPr>
                  <w:tcW w:w="1419" w:type="dxa"/>
                  <w:tcBorders>
                    <w:tl2br w:val="nil"/>
                    <w:tr2bl w:val="nil"/>
                  </w:tcBorders>
                  <w:vAlign w:val="center"/>
                </w:tcPr>
                <w:p w14:paraId="63C4A3F0">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 xml:space="preserve">0.143 </w:t>
                  </w:r>
                </w:p>
              </w:tc>
            </w:tr>
            <w:tr w14:paraId="715AF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7288C68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锯末（15%含水率）</w:t>
                  </w:r>
                </w:p>
              </w:tc>
              <w:tc>
                <w:tcPr>
                  <w:tcW w:w="580" w:type="pct"/>
                  <w:tcBorders>
                    <w:tl2br w:val="nil"/>
                    <w:tr2bl w:val="nil"/>
                  </w:tcBorders>
                  <w:vAlign w:val="center"/>
                </w:tcPr>
                <w:p w14:paraId="7E41F473">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138</w:t>
                  </w:r>
                </w:p>
              </w:tc>
              <w:tc>
                <w:tcPr>
                  <w:tcW w:w="614" w:type="pct"/>
                  <w:tcBorders>
                    <w:tl2br w:val="nil"/>
                    <w:tr2bl w:val="nil"/>
                  </w:tcBorders>
                  <w:vAlign w:val="center"/>
                </w:tcPr>
                <w:p w14:paraId="6908C43E">
                  <w:pPr>
                    <w:spacing w:line="240" w:lineRule="auto"/>
                    <w:ind w:firstLine="0" w:firstLineChars="0"/>
                    <w:jc w:val="center"/>
                    <w:rPr>
                      <w:color w:val="000000" w:themeColor="text1"/>
                      <w:sz w:val="21"/>
                      <w:szCs w:val="21"/>
                    </w:rPr>
                  </w:pPr>
                  <w:r>
                    <w:rPr>
                      <w:rFonts w:hint="eastAsia"/>
                      <w:color w:val="000000" w:themeColor="text1"/>
                      <w:sz w:val="21"/>
                      <w:szCs w:val="21"/>
                    </w:rPr>
                    <w:t>20</w:t>
                  </w:r>
                </w:p>
              </w:tc>
              <w:tc>
                <w:tcPr>
                  <w:tcW w:w="530" w:type="pct"/>
                  <w:tcBorders>
                    <w:tl2br w:val="nil"/>
                    <w:tr2bl w:val="nil"/>
                  </w:tcBorders>
                  <w:vAlign w:val="center"/>
                </w:tcPr>
                <w:p w14:paraId="0E28D708">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0.0010</w:t>
                  </w:r>
                </w:p>
              </w:tc>
              <w:tc>
                <w:tcPr>
                  <w:tcW w:w="507" w:type="pct"/>
                  <w:tcBorders>
                    <w:tl2br w:val="nil"/>
                    <w:tr2bl w:val="nil"/>
                  </w:tcBorders>
                  <w:vAlign w:val="center"/>
                </w:tcPr>
                <w:p w14:paraId="01D7D3AF">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0.0398</w:t>
                  </w:r>
                </w:p>
              </w:tc>
              <w:tc>
                <w:tcPr>
                  <w:tcW w:w="687" w:type="pct"/>
                  <w:tcBorders>
                    <w:tl2br w:val="nil"/>
                    <w:tr2bl w:val="nil"/>
                  </w:tcBorders>
                  <w:vAlign w:val="center"/>
                </w:tcPr>
                <w:p w14:paraId="63C1199F">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w:t>
                  </w:r>
                </w:p>
              </w:tc>
              <w:tc>
                <w:tcPr>
                  <w:tcW w:w="620" w:type="pct"/>
                  <w:tcBorders>
                    <w:tl2br w:val="nil"/>
                    <w:tr2bl w:val="nil"/>
                  </w:tcBorders>
                  <w:vAlign w:val="center"/>
                </w:tcPr>
                <w:p w14:paraId="378B870E">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144</w:t>
                  </w:r>
                </w:p>
              </w:tc>
              <w:tc>
                <w:tcPr>
                  <w:tcW w:w="1419" w:type="dxa"/>
                  <w:tcBorders>
                    <w:tl2br w:val="nil"/>
                    <w:tr2bl w:val="nil"/>
                  </w:tcBorders>
                  <w:vAlign w:val="center"/>
                </w:tcPr>
                <w:p w14:paraId="3479939C">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 xml:space="preserve">0.069 </w:t>
                  </w:r>
                </w:p>
              </w:tc>
            </w:tr>
            <w:tr w14:paraId="20D6F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 w:type="pct"/>
                  <w:tcBorders>
                    <w:tl2br w:val="nil"/>
                    <w:tr2bl w:val="nil"/>
                  </w:tcBorders>
                  <w:vAlign w:val="center"/>
                </w:tcPr>
                <w:p w14:paraId="75A6DA72">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合计</w:t>
                  </w:r>
                </w:p>
              </w:tc>
              <w:tc>
                <w:tcPr>
                  <w:tcW w:w="580" w:type="pct"/>
                  <w:tcBorders>
                    <w:tl2br w:val="nil"/>
                    <w:tr2bl w:val="nil"/>
                  </w:tcBorders>
                  <w:vAlign w:val="center"/>
                </w:tcPr>
                <w:p w14:paraId="127967DD">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614" w:type="pct"/>
                  <w:tcBorders>
                    <w:tl2br w:val="nil"/>
                    <w:tr2bl w:val="nil"/>
                  </w:tcBorders>
                  <w:vAlign w:val="center"/>
                </w:tcPr>
                <w:p w14:paraId="52EBFD62">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530" w:type="pct"/>
                  <w:tcBorders>
                    <w:tl2br w:val="nil"/>
                    <w:tr2bl w:val="nil"/>
                  </w:tcBorders>
                  <w:vAlign w:val="center"/>
                </w:tcPr>
                <w:p w14:paraId="36596E33">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507" w:type="pct"/>
                  <w:tcBorders>
                    <w:tl2br w:val="nil"/>
                    <w:tr2bl w:val="nil"/>
                  </w:tcBorders>
                  <w:vAlign w:val="center"/>
                </w:tcPr>
                <w:p w14:paraId="5A46C2AA">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687" w:type="pct"/>
                  <w:tcBorders>
                    <w:tl2br w:val="nil"/>
                    <w:tr2bl w:val="nil"/>
                  </w:tcBorders>
                  <w:vAlign w:val="center"/>
                </w:tcPr>
                <w:p w14:paraId="5ED47FEE">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620" w:type="pct"/>
                  <w:tcBorders>
                    <w:tl2br w:val="nil"/>
                    <w:tr2bl w:val="nil"/>
                  </w:tcBorders>
                  <w:vAlign w:val="center"/>
                </w:tcPr>
                <w:p w14:paraId="3A3C1EEC">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w:t>
                  </w:r>
                </w:p>
              </w:tc>
              <w:tc>
                <w:tcPr>
                  <w:tcW w:w="1419" w:type="dxa"/>
                  <w:tcBorders>
                    <w:tl2br w:val="nil"/>
                    <w:tr2bl w:val="nil"/>
                  </w:tcBorders>
                  <w:vAlign w:val="center"/>
                </w:tcPr>
                <w:p w14:paraId="2747D8BC">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 xml:space="preserve">0.212 </w:t>
                  </w:r>
                </w:p>
              </w:tc>
            </w:tr>
          </w:tbl>
          <w:p w14:paraId="081AF7F4">
            <w:pPr>
              <w:spacing w:line="360" w:lineRule="auto"/>
              <w:ind w:firstLine="480"/>
              <w:rPr>
                <w:color w:val="000000" w:themeColor="text1"/>
              </w:rPr>
            </w:pPr>
            <w:r>
              <w:rPr>
                <w:color w:val="000000" w:themeColor="text1"/>
              </w:rPr>
              <w:t>根据上式计算，颗粒物产生量为</w:t>
            </w:r>
            <w:r>
              <w:rPr>
                <w:rFonts w:hint="eastAsia"/>
                <w:color w:val="000000" w:themeColor="text1"/>
              </w:rPr>
              <w:t>0.212</w:t>
            </w:r>
            <w:r>
              <w:rPr>
                <w:color w:val="000000" w:themeColor="text1"/>
              </w:rPr>
              <w:t>t。</w:t>
            </w:r>
          </w:p>
          <w:p w14:paraId="79F29BBC">
            <w:pPr>
              <w:spacing w:line="360" w:lineRule="auto"/>
              <w:ind w:firstLine="480"/>
              <w:rPr>
                <w:color w:val="000000" w:themeColor="text1"/>
              </w:rPr>
            </w:pPr>
            <w:r>
              <w:rPr>
                <w:color w:val="000000" w:themeColor="text1"/>
              </w:rPr>
              <w:t>工业企业固体物料堆场颗粒物排放量核算公式如下：</w:t>
            </w:r>
          </w:p>
          <w:p w14:paraId="0264B0CA">
            <w:pPr>
              <w:spacing w:line="360" w:lineRule="auto"/>
              <w:ind w:firstLine="480"/>
              <w:jc w:val="center"/>
              <w:rPr>
                <w:color w:val="000000" w:themeColor="text1"/>
              </w:rPr>
            </w:pPr>
            <w:r>
              <w:rPr>
                <w:color w:val="000000" w:themeColor="text1"/>
              </w:rPr>
              <w:t>Uc=P×(1-Cm)×(1-Tm)</w:t>
            </w:r>
          </w:p>
          <w:p w14:paraId="5DDCB15C">
            <w:pPr>
              <w:spacing w:line="360" w:lineRule="auto"/>
              <w:ind w:firstLine="480"/>
              <w:rPr>
                <w:color w:val="000000" w:themeColor="text1"/>
              </w:rPr>
            </w:pPr>
            <w:r>
              <w:rPr>
                <w:rFonts w:hint="eastAsia"/>
                <w:color w:val="000000" w:themeColor="text1"/>
              </w:rPr>
              <w:t>式中：P</w:t>
            </w:r>
            <w:r>
              <w:rPr>
                <w:color w:val="000000" w:themeColor="text1"/>
              </w:rPr>
              <w:t>——</w:t>
            </w:r>
            <w:r>
              <w:rPr>
                <w:rFonts w:hint="eastAsia"/>
                <w:color w:val="000000" w:themeColor="text1"/>
              </w:rPr>
              <w:t>颗粒物产生量，单位：t；</w:t>
            </w:r>
          </w:p>
          <w:p w14:paraId="36940142">
            <w:pPr>
              <w:spacing w:line="360" w:lineRule="auto"/>
              <w:ind w:firstLine="480"/>
              <w:rPr>
                <w:color w:val="000000" w:themeColor="text1"/>
              </w:rPr>
            </w:pPr>
            <w:r>
              <w:rPr>
                <w:rFonts w:hint="eastAsia"/>
                <w:color w:val="000000" w:themeColor="text1"/>
              </w:rPr>
              <w:t>Uc</w:t>
            </w:r>
            <w:r>
              <w:rPr>
                <w:color w:val="000000" w:themeColor="text1"/>
              </w:rPr>
              <w:t>——</w:t>
            </w:r>
            <w:r>
              <w:rPr>
                <w:rFonts w:hint="eastAsia"/>
                <w:color w:val="000000" w:themeColor="text1"/>
              </w:rPr>
              <w:t>颗粒物排放量，单位：t；</w:t>
            </w:r>
          </w:p>
          <w:p w14:paraId="5ED746B6">
            <w:pPr>
              <w:spacing w:line="360" w:lineRule="auto"/>
              <w:ind w:firstLine="480"/>
              <w:rPr>
                <w:color w:val="000000" w:themeColor="text1"/>
              </w:rPr>
            </w:pPr>
            <w:r>
              <w:rPr>
                <w:rFonts w:hint="eastAsia"/>
                <w:color w:val="000000" w:themeColor="text1"/>
              </w:rPr>
              <w:t>Cm</w:t>
            </w:r>
            <w:r>
              <w:rPr>
                <w:color w:val="000000" w:themeColor="text1"/>
              </w:rPr>
              <w:t>——</w:t>
            </w:r>
            <w:r>
              <w:rPr>
                <w:rFonts w:hint="eastAsia"/>
                <w:color w:val="000000" w:themeColor="text1"/>
              </w:rPr>
              <w:t>颗粒物控制措施控制效率，单位：%，围挡控制措施粉尘控制效率取60%；</w:t>
            </w:r>
          </w:p>
          <w:p w14:paraId="01CCA7C9">
            <w:pPr>
              <w:spacing w:line="360" w:lineRule="auto"/>
              <w:ind w:firstLine="480"/>
              <w:rPr>
                <w:color w:val="000000" w:themeColor="text1"/>
              </w:rPr>
            </w:pPr>
            <w:r>
              <w:rPr>
                <w:rFonts w:hint="eastAsia"/>
                <w:color w:val="000000" w:themeColor="text1"/>
              </w:rPr>
              <w:t>Tm</w:t>
            </w:r>
            <w:r>
              <w:rPr>
                <w:color w:val="000000" w:themeColor="text1"/>
              </w:rPr>
              <w:t>——</w:t>
            </w:r>
            <w:r>
              <w:rPr>
                <w:rFonts w:hint="eastAsia"/>
                <w:color w:val="000000" w:themeColor="text1"/>
              </w:rPr>
              <w:t>堆场类型控制效率，单位：%，本项目为密闭式，取99%。</w:t>
            </w:r>
          </w:p>
          <w:p w14:paraId="41712CC7">
            <w:pPr>
              <w:spacing w:line="360" w:lineRule="auto"/>
              <w:ind w:firstLine="480"/>
              <w:rPr>
                <w:color w:val="000000" w:themeColor="text1"/>
              </w:rPr>
            </w:pPr>
            <w:r>
              <w:rPr>
                <w:rFonts w:hint="eastAsia"/>
                <w:color w:val="000000" w:themeColor="text1"/>
              </w:rPr>
              <w:t>根据上式计算，</w:t>
            </w:r>
            <w:r>
              <w:rPr>
                <w:rStyle w:val="53"/>
                <w:rFonts w:hint="eastAsia"/>
                <w:b w:val="0"/>
                <w:color w:val="000000" w:themeColor="text1"/>
                <w:sz w:val="24"/>
                <w:szCs w:val="24"/>
              </w:rPr>
              <w:t>原料装卸、堆存、铲车转运、上料斗上料过程颗粒物无组织</w:t>
            </w:r>
            <w:r>
              <w:rPr>
                <w:rFonts w:hint="eastAsia"/>
                <w:color w:val="000000" w:themeColor="text1"/>
              </w:rPr>
              <w:t>排放量为0.00085t/a，无组织最大排放速率为0.0005kg/h。</w:t>
            </w:r>
          </w:p>
          <w:p w14:paraId="6B5447A6">
            <w:pPr>
              <w:ind w:firstLine="480"/>
              <w:rPr>
                <w:color w:val="000000" w:themeColor="text1"/>
              </w:rPr>
            </w:pPr>
            <w:r>
              <w:rPr>
                <w:rStyle w:val="53"/>
                <w:rFonts w:hint="eastAsia"/>
                <w:b w:val="0"/>
                <w:color w:val="000000" w:themeColor="text1"/>
                <w:sz w:val="24"/>
                <w:szCs w:val="24"/>
              </w:rPr>
              <w:t>②</w:t>
            </w:r>
            <w:r>
              <w:rPr>
                <w:rFonts w:hint="eastAsia"/>
                <w:color w:val="000000" w:themeColor="text1"/>
              </w:rPr>
              <w:t>中转仓落料及入料、制粒、筛分及筛下料落料、成品网状料仓入料及冷却、成品皮带输送机落料、打包机包装过程未被捕集颗粒物</w:t>
            </w:r>
          </w:p>
          <w:p w14:paraId="6BC5890E">
            <w:pPr>
              <w:ind w:firstLine="480"/>
              <w:rPr>
                <w:color w:val="000000" w:themeColor="text1"/>
              </w:rPr>
            </w:pPr>
            <w:r>
              <w:rPr>
                <w:rFonts w:hint="eastAsia"/>
                <w:color w:val="000000" w:themeColor="text1"/>
              </w:rPr>
              <w:t>中转仓落料及入料、制粒、筛分及筛下料落料、成品网状料仓入料及冷却、成品皮带输送机落料、打包机包装过程未被捕集颗粒物核算过程见下表。</w:t>
            </w:r>
            <w:r>
              <w:rPr>
                <w:color w:val="000000" w:themeColor="text1"/>
              </w:rPr>
              <w:t>参照《排放源统计调查产排污核算方法和系数手册》</w:t>
            </w:r>
            <w:r>
              <w:rPr>
                <w:rFonts w:hint="eastAsia"/>
                <w:color w:val="000000" w:themeColor="text1"/>
              </w:rPr>
              <w:t>附表2固体物料堆存颗粒物产排污核算系数手册中围挡控制措施粉尘控制效率60%及</w:t>
            </w:r>
            <w:r>
              <w:rPr>
                <w:color w:val="000000" w:themeColor="text1"/>
              </w:rPr>
              <w:t>《扬尘源颗粒物排放清单编制指南》中孔隙度﹤50%</w:t>
            </w:r>
            <w:r>
              <w:rPr>
                <w:rFonts w:hint="eastAsia"/>
                <w:color w:val="000000" w:themeColor="text1"/>
              </w:rPr>
              <w:t>厂房</w:t>
            </w:r>
            <w:r>
              <w:rPr>
                <w:color w:val="000000" w:themeColor="text1"/>
              </w:rPr>
              <w:t>抑尘效率60%</w:t>
            </w:r>
            <w:r>
              <w:rPr>
                <w:rFonts w:hint="eastAsia"/>
                <w:color w:val="000000" w:themeColor="text1"/>
              </w:rPr>
              <w:t>，厂房</w:t>
            </w:r>
            <w:r>
              <w:rPr>
                <w:color w:val="000000" w:themeColor="text1"/>
              </w:rPr>
              <w:t>抑尘效率</w:t>
            </w:r>
            <w:r>
              <w:rPr>
                <w:rFonts w:hint="eastAsia"/>
                <w:color w:val="000000" w:themeColor="text1"/>
              </w:rPr>
              <w:t>取</w:t>
            </w:r>
            <w:r>
              <w:rPr>
                <w:color w:val="000000" w:themeColor="text1"/>
              </w:rPr>
              <w:t>60%</w:t>
            </w:r>
            <w:r>
              <w:rPr>
                <w:rFonts w:hint="eastAsia"/>
                <w:color w:val="000000" w:themeColor="text1"/>
              </w:rPr>
              <w:t>。</w:t>
            </w:r>
          </w:p>
          <w:p w14:paraId="6B3D1D18">
            <w:pPr>
              <w:spacing w:line="360" w:lineRule="auto"/>
              <w:ind w:firstLine="0" w:firstLineChars="0"/>
              <w:jc w:val="center"/>
              <w:rPr>
                <w:b/>
                <w:bCs/>
                <w:color w:val="000000" w:themeColor="text1"/>
                <w:sz w:val="21"/>
                <w:szCs w:val="21"/>
              </w:rPr>
            </w:pPr>
            <w:r>
              <w:rPr>
                <w:rFonts w:hint="eastAsia"/>
                <w:b/>
                <w:bCs/>
                <w:color w:val="000000" w:themeColor="text1"/>
                <w:sz w:val="21"/>
                <w:szCs w:val="21"/>
              </w:rPr>
              <w:t>表29   未被捕集颗粒物核算过程一览表</w:t>
            </w:r>
          </w:p>
          <w:tbl>
            <w:tblPr>
              <w:tblStyle w:val="24"/>
              <w:tblW w:w="133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974"/>
              <w:gridCol w:w="990"/>
              <w:gridCol w:w="1110"/>
              <w:gridCol w:w="1019"/>
              <w:gridCol w:w="1574"/>
              <w:gridCol w:w="1771"/>
              <w:gridCol w:w="1065"/>
              <w:gridCol w:w="1276"/>
              <w:gridCol w:w="1345"/>
            </w:tblGrid>
            <w:tr w14:paraId="1FC94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noWrap/>
                  <w:vAlign w:val="center"/>
                </w:tcPr>
                <w:p w14:paraId="3DDE03B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产污节点</w:t>
                  </w:r>
                </w:p>
              </w:tc>
              <w:tc>
                <w:tcPr>
                  <w:tcW w:w="365" w:type="pct"/>
                  <w:tcBorders>
                    <w:tl2br w:val="nil"/>
                    <w:tr2bl w:val="nil"/>
                  </w:tcBorders>
                  <w:noWrap/>
                  <w:vAlign w:val="center"/>
                </w:tcPr>
                <w:p w14:paraId="63534F0A">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371" w:type="pct"/>
                  <w:tcBorders>
                    <w:tl2br w:val="nil"/>
                    <w:tr2bl w:val="nil"/>
                  </w:tcBorders>
                  <w:noWrap/>
                  <w:vAlign w:val="center"/>
                </w:tcPr>
                <w:p w14:paraId="5A229E1E">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作业时间（h/a）</w:t>
                  </w:r>
                </w:p>
              </w:tc>
              <w:tc>
                <w:tcPr>
                  <w:tcW w:w="416" w:type="pct"/>
                  <w:tcBorders>
                    <w:tl2br w:val="nil"/>
                    <w:tr2bl w:val="nil"/>
                  </w:tcBorders>
                  <w:noWrap/>
                  <w:vAlign w:val="center"/>
                </w:tcPr>
                <w:p w14:paraId="57F8141A">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产生量（t/a）</w:t>
                  </w:r>
                </w:p>
              </w:tc>
              <w:tc>
                <w:tcPr>
                  <w:tcW w:w="382" w:type="pct"/>
                  <w:tcBorders>
                    <w:tl2br w:val="nil"/>
                    <w:tr2bl w:val="nil"/>
                  </w:tcBorders>
                  <w:noWrap/>
                  <w:vAlign w:val="center"/>
                </w:tcPr>
                <w:p w14:paraId="3D8C8BF6">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收集效率（%）</w:t>
                  </w:r>
                </w:p>
              </w:tc>
              <w:tc>
                <w:tcPr>
                  <w:tcW w:w="590" w:type="pct"/>
                  <w:tcBorders>
                    <w:tl2br w:val="nil"/>
                    <w:tr2bl w:val="nil"/>
                  </w:tcBorders>
                  <w:noWrap/>
                  <w:vAlign w:val="center"/>
                </w:tcPr>
                <w:p w14:paraId="345AB291">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未被捕集部分产生量（t/a）</w:t>
                  </w:r>
                </w:p>
              </w:tc>
              <w:tc>
                <w:tcPr>
                  <w:tcW w:w="664" w:type="pct"/>
                  <w:tcBorders>
                    <w:tl2br w:val="nil"/>
                    <w:tr2bl w:val="nil"/>
                  </w:tcBorders>
                  <w:noWrap/>
                  <w:vAlign w:val="center"/>
                </w:tcPr>
                <w:p w14:paraId="5AEFEA9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未被捕集部分产生速率（kg/h）</w:t>
                  </w:r>
                </w:p>
              </w:tc>
              <w:tc>
                <w:tcPr>
                  <w:tcW w:w="399" w:type="pct"/>
                  <w:tcBorders>
                    <w:tl2br w:val="nil"/>
                    <w:tr2bl w:val="nil"/>
                  </w:tcBorders>
                  <w:noWrap/>
                  <w:vAlign w:val="center"/>
                </w:tcPr>
                <w:p w14:paraId="2CB6770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厂房抑尘效率（%）</w:t>
                  </w:r>
                </w:p>
              </w:tc>
              <w:tc>
                <w:tcPr>
                  <w:tcW w:w="478" w:type="pct"/>
                  <w:tcBorders>
                    <w:tl2br w:val="nil"/>
                    <w:tr2bl w:val="nil"/>
                  </w:tcBorders>
                  <w:noWrap/>
                  <w:vAlign w:val="center"/>
                </w:tcPr>
                <w:p w14:paraId="7468E6C6">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无组织排放量（t/a）</w:t>
                  </w:r>
                </w:p>
              </w:tc>
              <w:tc>
                <w:tcPr>
                  <w:tcW w:w="504" w:type="pct"/>
                  <w:tcBorders>
                    <w:tl2br w:val="nil"/>
                    <w:tr2bl w:val="nil"/>
                  </w:tcBorders>
                  <w:noWrap/>
                  <w:vAlign w:val="center"/>
                </w:tcPr>
                <w:p w14:paraId="35369BAB">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无组织排放速率（kg/h）</w:t>
                  </w:r>
                </w:p>
              </w:tc>
            </w:tr>
            <w:tr w14:paraId="6EBF4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tcBorders>
                    <w:tl2br w:val="nil"/>
                    <w:tr2bl w:val="nil"/>
                  </w:tcBorders>
                  <w:shd w:val="clear" w:color="auto" w:fill="auto"/>
                  <w:noWrap/>
                  <w:vAlign w:val="center"/>
                </w:tcPr>
                <w:p w14:paraId="272DE5A2">
                  <w:pPr>
                    <w:pStyle w:val="66"/>
                    <w:spacing w:line="240" w:lineRule="auto"/>
                    <w:ind w:left="0" w:right="0" w:firstLine="0" w:firstLineChars="0"/>
                    <w:rPr>
                      <w:color w:val="000000" w:themeColor="text1"/>
                      <w:sz w:val="21"/>
                    </w:rPr>
                  </w:pPr>
                  <w:r>
                    <w:rPr>
                      <w:color w:val="000000" w:themeColor="text1"/>
                      <w:sz w:val="21"/>
                    </w:rPr>
                    <w:t>中转仓落料及入料</w:t>
                  </w:r>
                </w:p>
              </w:tc>
              <w:tc>
                <w:tcPr>
                  <w:tcW w:w="365" w:type="pct"/>
                  <w:tcBorders>
                    <w:tl2br w:val="nil"/>
                    <w:tr2bl w:val="nil"/>
                  </w:tcBorders>
                  <w:noWrap/>
                  <w:vAlign w:val="center"/>
                </w:tcPr>
                <w:p w14:paraId="3E809C7B">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7C151766">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28EC0E1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382" w:type="pct"/>
                  <w:tcBorders>
                    <w:tl2br w:val="nil"/>
                    <w:tr2bl w:val="nil"/>
                  </w:tcBorders>
                  <w:shd w:val="clear" w:color="auto" w:fill="auto"/>
                  <w:noWrap/>
                  <w:vAlign w:val="center"/>
                </w:tcPr>
                <w:p w14:paraId="3F51389B">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590" w:type="pct"/>
                  <w:tcBorders>
                    <w:tl2br w:val="nil"/>
                    <w:tr2bl w:val="nil"/>
                  </w:tcBorders>
                  <w:noWrap/>
                  <w:vAlign w:val="center"/>
                </w:tcPr>
                <w:p w14:paraId="6AC7516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0.201</w:t>
                  </w:r>
                </w:p>
              </w:tc>
              <w:tc>
                <w:tcPr>
                  <w:tcW w:w="664" w:type="pct"/>
                  <w:tcBorders>
                    <w:tl2br w:val="nil"/>
                    <w:tr2bl w:val="nil"/>
                  </w:tcBorders>
                  <w:noWrap/>
                  <w:vAlign w:val="center"/>
                </w:tcPr>
                <w:p w14:paraId="0F53B33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0.168 </w:t>
                  </w:r>
                </w:p>
              </w:tc>
              <w:tc>
                <w:tcPr>
                  <w:tcW w:w="399" w:type="pct"/>
                  <w:vMerge w:val="restart"/>
                  <w:tcBorders>
                    <w:tl2br w:val="nil"/>
                    <w:tr2bl w:val="nil"/>
                  </w:tcBorders>
                  <w:noWrap/>
                  <w:vAlign w:val="center"/>
                </w:tcPr>
                <w:p w14:paraId="30983C21">
                  <w:pPr>
                    <w:widowControl/>
                    <w:spacing w:line="240" w:lineRule="auto"/>
                    <w:ind w:firstLine="0" w:firstLineChars="0"/>
                    <w:jc w:val="center"/>
                    <w:textAlignment w:val="center"/>
                    <w:rPr>
                      <w:snapToGrid w:val="0"/>
                      <w:color w:val="000000" w:themeColor="text1"/>
                      <w:kern w:val="0"/>
                      <w:sz w:val="21"/>
                      <w:szCs w:val="21"/>
                    </w:rPr>
                  </w:pPr>
                  <w:r>
                    <w:rPr>
                      <w:snapToGrid w:val="0"/>
                      <w:color w:val="000000" w:themeColor="text1"/>
                      <w:kern w:val="0"/>
                      <w:sz w:val="21"/>
                      <w:szCs w:val="21"/>
                    </w:rPr>
                    <w:t>60</w:t>
                  </w:r>
                </w:p>
              </w:tc>
              <w:tc>
                <w:tcPr>
                  <w:tcW w:w="478" w:type="pct"/>
                  <w:tcBorders>
                    <w:tl2br w:val="nil"/>
                    <w:tr2bl w:val="nil"/>
                  </w:tcBorders>
                  <w:noWrap/>
                  <w:vAlign w:val="center"/>
                </w:tcPr>
                <w:p w14:paraId="4AC2387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0.080 </w:t>
                  </w:r>
                </w:p>
              </w:tc>
              <w:tc>
                <w:tcPr>
                  <w:tcW w:w="504" w:type="pct"/>
                  <w:tcBorders>
                    <w:tl2br w:val="nil"/>
                    <w:tr2bl w:val="nil"/>
                  </w:tcBorders>
                  <w:noWrap/>
                  <w:vAlign w:val="center"/>
                </w:tcPr>
                <w:p w14:paraId="4C62DD34">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0.067 </w:t>
                  </w:r>
                </w:p>
              </w:tc>
            </w:tr>
            <w:tr w14:paraId="21E15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tcBorders>
                    <w:tl2br w:val="nil"/>
                    <w:tr2bl w:val="nil"/>
                  </w:tcBorders>
                  <w:shd w:val="clear" w:color="auto" w:fill="auto"/>
                  <w:noWrap/>
                  <w:vAlign w:val="center"/>
                </w:tcPr>
                <w:p w14:paraId="4D11ED92">
                  <w:pPr>
                    <w:pStyle w:val="66"/>
                    <w:spacing w:line="240" w:lineRule="auto"/>
                    <w:ind w:left="0" w:right="0" w:firstLine="0" w:firstLineChars="0"/>
                    <w:rPr>
                      <w:color w:val="000000" w:themeColor="text1"/>
                      <w:sz w:val="21"/>
                    </w:rPr>
                  </w:pPr>
                  <w:r>
                    <w:rPr>
                      <w:color w:val="000000" w:themeColor="text1"/>
                      <w:sz w:val="21"/>
                    </w:rPr>
                    <w:t>制粒</w:t>
                  </w:r>
                </w:p>
              </w:tc>
              <w:tc>
                <w:tcPr>
                  <w:tcW w:w="365" w:type="pct"/>
                  <w:tcBorders>
                    <w:tl2br w:val="nil"/>
                    <w:tr2bl w:val="nil"/>
                  </w:tcBorders>
                  <w:noWrap/>
                  <w:vAlign w:val="center"/>
                </w:tcPr>
                <w:p w14:paraId="5ED4A60E">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75A63352">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1600</w:t>
                  </w:r>
                </w:p>
              </w:tc>
              <w:tc>
                <w:tcPr>
                  <w:tcW w:w="416" w:type="pct"/>
                  <w:tcBorders>
                    <w:tl2br w:val="nil"/>
                    <w:tr2bl w:val="nil"/>
                  </w:tcBorders>
                  <w:shd w:val="clear" w:color="auto" w:fill="auto"/>
                  <w:noWrap/>
                  <w:vAlign w:val="center"/>
                </w:tcPr>
                <w:p w14:paraId="6D7F1AD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382" w:type="pct"/>
                  <w:tcBorders>
                    <w:tl2br w:val="nil"/>
                    <w:tr2bl w:val="nil"/>
                  </w:tcBorders>
                  <w:shd w:val="clear" w:color="auto" w:fill="auto"/>
                  <w:noWrap/>
                  <w:vAlign w:val="center"/>
                </w:tcPr>
                <w:p w14:paraId="0C8F4E5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98</w:t>
                  </w:r>
                </w:p>
              </w:tc>
              <w:tc>
                <w:tcPr>
                  <w:tcW w:w="590" w:type="pct"/>
                  <w:tcBorders>
                    <w:tl2br w:val="nil"/>
                    <w:tr2bl w:val="nil"/>
                  </w:tcBorders>
                  <w:noWrap/>
                  <w:vAlign w:val="center"/>
                </w:tcPr>
                <w:p w14:paraId="77D8BCD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0.134</w:t>
                  </w:r>
                </w:p>
              </w:tc>
              <w:tc>
                <w:tcPr>
                  <w:tcW w:w="664" w:type="pct"/>
                  <w:tcBorders>
                    <w:tl2br w:val="nil"/>
                    <w:tr2bl w:val="nil"/>
                  </w:tcBorders>
                  <w:noWrap/>
                  <w:vAlign w:val="center"/>
                </w:tcPr>
                <w:p w14:paraId="1128AFC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0.084 </w:t>
                  </w:r>
                </w:p>
              </w:tc>
              <w:tc>
                <w:tcPr>
                  <w:tcW w:w="399" w:type="pct"/>
                  <w:vMerge w:val="continue"/>
                  <w:tcBorders>
                    <w:tl2br w:val="nil"/>
                    <w:tr2bl w:val="nil"/>
                  </w:tcBorders>
                  <w:noWrap/>
                  <w:vAlign w:val="center"/>
                </w:tcPr>
                <w:p w14:paraId="4F684A13">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114BA49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0.054 </w:t>
                  </w:r>
                </w:p>
              </w:tc>
              <w:tc>
                <w:tcPr>
                  <w:tcW w:w="504" w:type="pct"/>
                  <w:tcBorders>
                    <w:tl2br w:val="nil"/>
                    <w:tr2bl w:val="nil"/>
                  </w:tcBorders>
                  <w:noWrap/>
                  <w:vAlign w:val="center"/>
                </w:tcPr>
                <w:p w14:paraId="4506B64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0.034 </w:t>
                  </w:r>
                </w:p>
              </w:tc>
            </w:tr>
            <w:tr w14:paraId="20D47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03A3AAD3">
                  <w:pPr>
                    <w:pStyle w:val="66"/>
                    <w:spacing w:line="240" w:lineRule="auto"/>
                    <w:ind w:left="0" w:right="0" w:firstLine="0" w:firstLineChars="0"/>
                    <w:rPr>
                      <w:color w:val="000000" w:themeColor="text1"/>
                      <w:sz w:val="21"/>
                    </w:rPr>
                  </w:pPr>
                  <w:r>
                    <w:rPr>
                      <w:color w:val="000000" w:themeColor="text1"/>
                      <w:sz w:val="21"/>
                    </w:rPr>
                    <w:t>筛分</w:t>
                  </w:r>
                </w:p>
              </w:tc>
              <w:tc>
                <w:tcPr>
                  <w:tcW w:w="365" w:type="pct"/>
                  <w:tcBorders>
                    <w:tl2br w:val="nil"/>
                    <w:tr2bl w:val="nil"/>
                  </w:tcBorders>
                  <w:noWrap/>
                  <w:vAlign w:val="center"/>
                </w:tcPr>
                <w:p w14:paraId="0C5F2827">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48573F9B">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402BD4F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6.690 </w:t>
                  </w:r>
                </w:p>
              </w:tc>
              <w:tc>
                <w:tcPr>
                  <w:tcW w:w="382" w:type="pct"/>
                  <w:tcBorders>
                    <w:tl2br w:val="nil"/>
                    <w:tr2bl w:val="nil"/>
                  </w:tcBorders>
                  <w:shd w:val="clear" w:color="auto" w:fill="auto"/>
                  <w:noWrap/>
                  <w:vAlign w:val="center"/>
                </w:tcPr>
                <w:p w14:paraId="71CDE422">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98 </w:t>
                  </w:r>
                </w:p>
              </w:tc>
              <w:tc>
                <w:tcPr>
                  <w:tcW w:w="590" w:type="pct"/>
                  <w:tcBorders>
                    <w:tl2br w:val="nil"/>
                    <w:tr2bl w:val="nil"/>
                  </w:tcBorders>
                  <w:noWrap/>
                  <w:vAlign w:val="center"/>
                </w:tcPr>
                <w:p w14:paraId="070458C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0.134</w:t>
                  </w:r>
                </w:p>
              </w:tc>
              <w:tc>
                <w:tcPr>
                  <w:tcW w:w="664" w:type="pct"/>
                  <w:tcBorders>
                    <w:tl2br w:val="nil"/>
                    <w:tr2bl w:val="nil"/>
                  </w:tcBorders>
                  <w:noWrap/>
                  <w:vAlign w:val="center"/>
                </w:tcPr>
                <w:p w14:paraId="5163C03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0.112 </w:t>
                  </w:r>
                </w:p>
              </w:tc>
              <w:tc>
                <w:tcPr>
                  <w:tcW w:w="399" w:type="pct"/>
                  <w:vMerge w:val="continue"/>
                  <w:tcBorders>
                    <w:tl2br w:val="nil"/>
                    <w:tr2bl w:val="nil"/>
                  </w:tcBorders>
                  <w:noWrap/>
                  <w:vAlign w:val="center"/>
                </w:tcPr>
                <w:p w14:paraId="689CDE0B">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58CDE8BE">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0.054 </w:t>
                  </w:r>
                </w:p>
              </w:tc>
              <w:tc>
                <w:tcPr>
                  <w:tcW w:w="504" w:type="pct"/>
                  <w:tcBorders>
                    <w:tl2br w:val="nil"/>
                    <w:tr2bl w:val="nil"/>
                  </w:tcBorders>
                  <w:noWrap/>
                  <w:vAlign w:val="center"/>
                </w:tcPr>
                <w:p w14:paraId="4204934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0.045 </w:t>
                  </w:r>
                </w:p>
              </w:tc>
            </w:tr>
            <w:tr w14:paraId="3E1A1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4321A879">
                  <w:pPr>
                    <w:pStyle w:val="66"/>
                    <w:spacing w:line="240" w:lineRule="auto"/>
                    <w:ind w:left="0" w:right="0" w:firstLine="0" w:firstLineChars="0"/>
                    <w:rPr>
                      <w:color w:val="000000" w:themeColor="text1"/>
                      <w:sz w:val="21"/>
                    </w:rPr>
                  </w:pPr>
                  <w:r>
                    <w:rPr>
                      <w:color w:val="000000" w:themeColor="text1"/>
                      <w:sz w:val="21"/>
                    </w:rPr>
                    <w:t>筛下料落料</w:t>
                  </w:r>
                </w:p>
              </w:tc>
              <w:tc>
                <w:tcPr>
                  <w:tcW w:w="365" w:type="pct"/>
                  <w:tcBorders>
                    <w:tl2br w:val="nil"/>
                    <w:tr2bl w:val="nil"/>
                  </w:tcBorders>
                  <w:noWrap/>
                  <w:vAlign w:val="center"/>
                </w:tcPr>
                <w:p w14:paraId="2B450DED">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16E0C89B">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349F4A5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2.007</w:t>
                  </w:r>
                </w:p>
              </w:tc>
              <w:tc>
                <w:tcPr>
                  <w:tcW w:w="382" w:type="pct"/>
                  <w:tcBorders>
                    <w:tl2br w:val="nil"/>
                    <w:tr2bl w:val="nil"/>
                  </w:tcBorders>
                  <w:shd w:val="clear" w:color="auto" w:fill="auto"/>
                  <w:noWrap/>
                  <w:vAlign w:val="center"/>
                </w:tcPr>
                <w:p w14:paraId="44FF6D6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90</w:t>
                  </w:r>
                </w:p>
              </w:tc>
              <w:tc>
                <w:tcPr>
                  <w:tcW w:w="590" w:type="pct"/>
                  <w:tcBorders>
                    <w:tl2br w:val="nil"/>
                    <w:tr2bl w:val="nil"/>
                  </w:tcBorders>
                  <w:noWrap/>
                  <w:vAlign w:val="center"/>
                </w:tcPr>
                <w:p w14:paraId="5D19933F">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0.201</w:t>
                  </w:r>
                </w:p>
              </w:tc>
              <w:tc>
                <w:tcPr>
                  <w:tcW w:w="664" w:type="pct"/>
                  <w:tcBorders>
                    <w:tl2br w:val="nil"/>
                    <w:tr2bl w:val="nil"/>
                  </w:tcBorders>
                  <w:noWrap/>
                  <w:vAlign w:val="center"/>
                </w:tcPr>
                <w:p w14:paraId="0FD33F3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0.168 </w:t>
                  </w:r>
                </w:p>
              </w:tc>
              <w:tc>
                <w:tcPr>
                  <w:tcW w:w="399" w:type="pct"/>
                  <w:vMerge w:val="continue"/>
                  <w:tcBorders>
                    <w:tl2br w:val="nil"/>
                    <w:tr2bl w:val="nil"/>
                  </w:tcBorders>
                  <w:noWrap/>
                  <w:vAlign w:val="center"/>
                </w:tcPr>
                <w:p w14:paraId="5FCB966E">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1D2B3BA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0.080 </w:t>
                  </w:r>
                </w:p>
              </w:tc>
              <w:tc>
                <w:tcPr>
                  <w:tcW w:w="504" w:type="pct"/>
                  <w:tcBorders>
                    <w:tl2br w:val="nil"/>
                    <w:tr2bl w:val="nil"/>
                  </w:tcBorders>
                  <w:noWrap/>
                  <w:vAlign w:val="center"/>
                </w:tcPr>
                <w:p w14:paraId="60E457C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0.067 </w:t>
                  </w:r>
                </w:p>
              </w:tc>
            </w:tr>
            <w:tr w14:paraId="0EAAD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645B3822">
                  <w:pPr>
                    <w:pStyle w:val="66"/>
                    <w:spacing w:line="240" w:lineRule="auto"/>
                    <w:ind w:left="0" w:right="0" w:firstLine="0" w:firstLineChars="0"/>
                    <w:rPr>
                      <w:color w:val="000000" w:themeColor="text1"/>
                      <w:sz w:val="21"/>
                    </w:rPr>
                  </w:pPr>
                  <w:r>
                    <w:rPr>
                      <w:color w:val="000000" w:themeColor="text1"/>
                      <w:sz w:val="21"/>
                    </w:rPr>
                    <w:t>成品网状料仓入料及冷却</w:t>
                  </w:r>
                </w:p>
              </w:tc>
              <w:tc>
                <w:tcPr>
                  <w:tcW w:w="365" w:type="pct"/>
                  <w:tcBorders>
                    <w:tl2br w:val="nil"/>
                    <w:tr2bl w:val="nil"/>
                  </w:tcBorders>
                  <w:noWrap/>
                  <w:vAlign w:val="center"/>
                </w:tcPr>
                <w:p w14:paraId="57A618C3">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06AA0AFC">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1200</w:t>
                  </w:r>
                </w:p>
              </w:tc>
              <w:tc>
                <w:tcPr>
                  <w:tcW w:w="416" w:type="pct"/>
                  <w:tcBorders>
                    <w:tl2br w:val="nil"/>
                    <w:tr2bl w:val="nil"/>
                  </w:tcBorders>
                  <w:shd w:val="clear" w:color="auto" w:fill="auto"/>
                  <w:noWrap/>
                  <w:vAlign w:val="center"/>
                </w:tcPr>
                <w:p w14:paraId="39D1E81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2.007</w:t>
                  </w:r>
                </w:p>
              </w:tc>
              <w:tc>
                <w:tcPr>
                  <w:tcW w:w="382" w:type="pct"/>
                  <w:tcBorders>
                    <w:tl2br w:val="nil"/>
                    <w:tr2bl w:val="nil"/>
                  </w:tcBorders>
                  <w:shd w:val="clear" w:color="auto" w:fill="auto"/>
                  <w:noWrap/>
                  <w:vAlign w:val="center"/>
                </w:tcPr>
                <w:p w14:paraId="7904D75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80 </w:t>
                  </w:r>
                </w:p>
              </w:tc>
              <w:tc>
                <w:tcPr>
                  <w:tcW w:w="590" w:type="pct"/>
                  <w:tcBorders>
                    <w:tl2br w:val="nil"/>
                    <w:tr2bl w:val="nil"/>
                  </w:tcBorders>
                  <w:noWrap/>
                  <w:vAlign w:val="center"/>
                </w:tcPr>
                <w:p w14:paraId="392D6C1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0.401</w:t>
                  </w:r>
                </w:p>
              </w:tc>
              <w:tc>
                <w:tcPr>
                  <w:tcW w:w="664" w:type="pct"/>
                  <w:tcBorders>
                    <w:tl2br w:val="nil"/>
                    <w:tr2bl w:val="nil"/>
                  </w:tcBorders>
                  <w:noWrap/>
                  <w:vAlign w:val="center"/>
                </w:tcPr>
                <w:p w14:paraId="199704C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 xml:space="preserve">0.334 </w:t>
                  </w:r>
                </w:p>
              </w:tc>
              <w:tc>
                <w:tcPr>
                  <w:tcW w:w="399" w:type="pct"/>
                  <w:vMerge w:val="continue"/>
                  <w:tcBorders>
                    <w:tl2br w:val="nil"/>
                    <w:tr2bl w:val="nil"/>
                  </w:tcBorders>
                  <w:noWrap/>
                  <w:vAlign w:val="center"/>
                </w:tcPr>
                <w:p w14:paraId="2FD5F359">
                  <w:pPr>
                    <w:widowControl/>
                    <w:spacing w:line="240" w:lineRule="auto"/>
                    <w:ind w:firstLine="0" w:firstLineChars="0"/>
                    <w:jc w:val="center"/>
                    <w:textAlignment w:val="center"/>
                    <w:rPr>
                      <w:snapToGrid w:val="0"/>
                      <w:color w:val="000000" w:themeColor="text1"/>
                      <w:kern w:val="0"/>
                      <w:sz w:val="21"/>
                      <w:szCs w:val="21"/>
                    </w:rPr>
                  </w:pPr>
                </w:p>
              </w:tc>
              <w:tc>
                <w:tcPr>
                  <w:tcW w:w="478" w:type="pct"/>
                  <w:tcBorders>
                    <w:tl2br w:val="nil"/>
                    <w:tr2bl w:val="nil"/>
                  </w:tcBorders>
                  <w:noWrap/>
                  <w:vAlign w:val="center"/>
                </w:tcPr>
                <w:p w14:paraId="0423A53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0.160 </w:t>
                  </w:r>
                </w:p>
              </w:tc>
              <w:tc>
                <w:tcPr>
                  <w:tcW w:w="504" w:type="pct"/>
                  <w:tcBorders>
                    <w:tl2br w:val="nil"/>
                    <w:tr2bl w:val="nil"/>
                  </w:tcBorders>
                  <w:noWrap/>
                  <w:vAlign w:val="center"/>
                </w:tcPr>
                <w:p w14:paraId="768E622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0.133 </w:t>
                  </w:r>
                </w:p>
              </w:tc>
            </w:tr>
            <w:tr w14:paraId="56330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3F808ABB">
                  <w:pPr>
                    <w:pStyle w:val="66"/>
                    <w:spacing w:line="240" w:lineRule="auto"/>
                    <w:ind w:left="0" w:right="0" w:firstLine="0" w:firstLineChars="0"/>
                    <w:rPr>
                      <w:color w:val="000000" w:themeColor="text1"/>
                      <w:sz w:val="21"/>
                    </w:rPr>
                  </w:pPr>
                  <w:r>
                    <w:rPr>
                      <w:color w:val="000000" w:themeColor="text1"/>
                      <w:sz w:val="21"/>
                    </w:rPr>
                    <w:t>成品皮带输送机落料</w:t>
                  </w:r>
                </w:p>
              </w:tc>
              <w:tc>
                <w:tcPr>
                  <w:tcW w:w="365" w:type="pct"/>
                  <w:tcBorders>
                    <w:tl2br w:val="nil"/>
                    <w:tr2bl w:val="nil"/>
                  </w:tcBorders>
                  <w:noWrap/>
                  <w:vAlign w:val="center"/>
                </w:tcPr>
                <w:p w14:paraId="6512A5B2">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5088ACE8">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4</w:t>
                  </w:r>
                  <w:r>
                    <w:rPr>
                      <w:rFonts w:hint="eastAsia"/>
                      <w:snapToGrid w:val="0"/>
                      <w:color w:val="000000" w:themeColor="text1"/>
                      <w:kern w:val="0"/>
                      <w:sz w:val="21"/>
                      <w:szCs w:val="21"/>
                    </w:rPr>
                    <w:t>5</w:t>
                  </w:r>
                  <w:r>
                    <w:rPr>
                      <w:snapToGrid w:val="0"/>
                      <w:color w:val="000000" w:themeColor="text1"/>
                      <w:kern w:val="0"/>
                      <w:sz w:val="21"/>
                      <w:szCs w:val="21"/>
                    </w:rPr>
                    <w:t>0</w:t>
                  </w:r>
                </w:p>
              </w:tc>
              <w:tc>
                <w:tcPr>
                  <w:tcW w:w="1110" w:type="dxa"/>
                  <w:tcBorders>
                    <w:tl2br w:val="nil"/>
                    <w:tr2bl w:val="nil"/>
                  </w:tcBorders>
                  <w:shd w:val="clear" w:color="auto" w:fill="auto"/>
                  <w:noWrap/>
                  <w:vAlign w:val="center"/>
                </w:tcPr>
                <w:p w14:paraId="5B7D7898">
                  <w:pPr>
                    <w:spacing w:line="240" w:lineRule="auto"/>
                    <w:ind w:firstLine="0" w:firstLineChars="0"/>
                    <w:jc w:val="center"/>
                    <w:rPr>
                      <w:color w:val="000000" w:themeColor="text1"/>
                      <w:kern w:val="0"/>
                      <w:sz w:val="21"/>
                      <w:szCs w:val="21"/>
                    </w:rPr>
                  </w:pPr>
                  <w:r>
                    <w:rPr>
                      <w:snapToGrid w:val="0"/>
                      <w:color w:val="000000" w:themeColor="text1"/>
                      <w:kern w:val="0"/>
                      <w:sz w:val="21"/>
                      <w:szCs w:val="21"/>
                    </w:rPr>
                    <w:t xml:space="preserve">1.305 </w:t>
                  </w:r>
                </w:p>
              </w:tc>
              <w:tc>
                <w:tcPr>
                  <w:tcW w:w="382" w:type="pct"/>
                  <w:tcBorders>
                    <w:tl2br w:val="nil"/>
                    <w:tr2bl w:val="nil"/>
                  </w:tcBorders>
                  <w:shd w:val="clear" w:color="auto" w:fill="auto"/>
                  <w:noWrap/>
                  <w:vAlign w:val="center"/>
                </w:tcPr>
                <w:p w14:paraId="1FF3656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90</w:t>
                  </w:r>
                </w:p>
              </w:tc>
              <w:tc>
                <w:tcPr>
                  <w:tcW w:w="1574" w:type="dxa"/>
                  <w:tcBorders>
                    <w:tl2br w:val="nil"/>
                    <w:tr2bl w:val="nil"/>
                  </w:tcBorders>
                  <w:noWrap/>
                  <w:vAlign w:val="center"/>
                </w:tcPr>
                <w:p w14:paraId="178908D8">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0.1</w:t>
                  </w:r>
                  <w:r>
                    <w:rPr>
                      <w:rFonts w:hint="eastAsia"/>
                      <w:color w:val="000000" w:themeColor="text1"/>
                      <w:kern w:val="0"/>
                      <w:sz w:val="21"/>
                      <w:szCs w:val="21"/>
                    </w:rPr>
                    <w:t>30</w:t>
                  </w:r>
                </w:p>
              </w:tc>
              <w:tc>
                <w:tcPr>
                  <w:tcW w:w="1770" w:type="dxa"/>
                  <w:tcBorders>
                    <w:tl2br w:val="nil"/>
                    <w:tr2bl w:val="nil"/>
                  </w:tcBorders>
                  <w:noWrap/>
                  <w:vAlign w:val="center"/>
                </w:tcPr>
                <w:p w14:paraId="3FC5F0B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w:t>
                  </w:r>
                  <w:r>
                    <w:rPr>
                      <w:rFonts w:hint="eastAsia"/>
                      <w:color w:val="000000" w:themeColor="text1"/>
                      <w:kern w:val="0"/>
                      <w:sz w:val="21"/>
                      <w:szCs w:val="21"/>
                    </w:rPr>
                    <w:t>289</w:t>
                  </w:r>
                </w:p>
              </w:tc>
              <w:tc>
                <w:tcPr>
                  <w:tcW w:w="399" w:type="pct"/>
                  <w:vMerge w:val="continue"/>
                  <w:tcBorders>
                    <w:tl2br w:val="nil"/>
                    <w:tr2bl w:val="nil"/>
                  </w:tcBorders>
                  <w:noWrap/>
                  <w:vAlign w:val="center"/>
                </w:tcPr>
                <w:p w14:paraId="52B37B5D">
                  <w:pPr>
                    <w:widowControl/>
                    <w:spacing w:line="240" w:lineRule="auto"/>
                    <w:ind w:firstLine="0" w:firstLineChars="0"/>
                    <w:jc w:val="center"/>
                    <w:textAlignment w:val="center"/>
                    <w:rPr>
                      <w:snapToGrid w:val="0"/>
                      <w:color w:val="000000" w:themeColor="text1"/>
                      <w:kern w:val="0"/>
                      <w:sz w:val="21"/>
                      <w:szCs w:val="21"/>
                    </w:rPr>
                  </w:pPr>
                </w:p>
              </w:tc>
              <w:tc>
                <w:tcPr>
                  <w:tcW w:w="1275" w:type="dxa"/>
                  <w:tcBorders>
                    <w:tl2br w:val="nil"/>
                    <w:tr2bl w:val="nil"/>
                  </w:tcBorders>
                  <w:noWrap/>
                  <w:vAlign w:val="center"/>
                </w:tcPr>
                <w:p w14:paraId="580B8892">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0.05</w:t>
                  </w:r>
                  <w:r>
                    <w:rPr>
                      <w:rFonts w:hint="eastAsia"/>
                      <w:color w:val="000000" w:themeColor="text1"/>
                      <w:kern w:val="0"/>
                      <w:sz w:val="21"/>
                      <w:szCs w:val="21"/>
                    </w:rPr>
                    <w:t>2</w:t>
                  </w:r>
                </w:p>
              </w:tc>
              <w:tc>
                <w:tcPr>
                  <w:tcW w:w="1345" w:type="dxa"/>
                  <w:tcBorders>
                    <w:tl2br w:val="nil"/>
                    <w:tr2bl w:val="nil"/>
                  </w:tcBorders>
                  <w:noWrap/>
                  <w:vAlign w:val="center"/>
                </w:tcPr>
                <w:p w14:paraId="581D5EA0">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0.11</w:t>
                  </w:r>
                  <w:r>
                    <w:rPr>
                      <w:rFonts w:hint="eastAsia"/>
                      <w:color w:val="000000" w:themeColor="text1"/>
                      <w:kern w:val="0"/>
                      <w:sz w:val="21"/>
                      <w:szCs w:val="21"/>
                    </w:rPr>
                    <w:t>6</w:t>
                  </w:r>
                  <w:r>
                    <w:rPr>
                      <w:color w:val="000000" w:themeColor="text1"/>
                      <w:kern w:val="0"/>
                      <w:sz w:val="21"/>
                      <w:szCs w:val="21"/>
                    </w:rPr>
                    <w:t xml:space="preserve"> </w:t>
                  </w:r>
                </w:p>
              </w:tc>
            </w:tr>
            <w:tr w14:paraId="3F362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shd w:val="clear" w:color="auto" w:fill="auto"/>
                  <w:noWrap/>
                  <w:vAlign w:val="center"/>
                </w:tcPr>
                <w:p w14:paraId="3B155361">
                  <w:pPr>
                    <w:pStyle w:val="66"/>
                    <w:spacing w:line="240" w:lineRule="auto"/>
                    <w:ind w:left="0" w:right="0" w:firstLine="0" w:firstLineChars="0"/>
                    <w:rPr>
                      <w:color w:val="000000" w:themeColor="text1"/>
                      <w:sz w:val="21"/>
                    </w:rPr>
                  </w:pPr>
                  <w:r>
                    <w:rPr>
                      <w:color w:val="000000" w:themeColor="text1"/>
                      <w:sz w:val="21"/>
                    </w:rPr>
                    <w:t>打包机包装</w:t>
                  </w:r>
                </w:p>
              </w:tc>
              <w:tc>
                <w:tcPr>
                  <w:tcW w:w="365" w:type="pct"/>
                  <w:tcBorders>
                    <w:tl2br w:val="nil"/>
                    <w:tr2bl w:val="nil"/>
                  </w:tcBorders>
                  <w:noWrap/>
                  <w:vAlign w:val="center"/>
                </w:tcPr>
                <w:p w14:paraId="1069EE63">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shd w:val="clear" w:color="auto" w:fill="auto"/>
                  <w:noWrap/>
                  <w:vAlign w:val="center"/>
                </w:tcPr>
                <w:p w14:paraId="3F49A491">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7</w:t>
                  </w:r>
                  <w:r>
                    <w:rPr>
                      <w:rFonts w:hint="eastAsia"/>
                      <w:snapToGrid w:val="0"/>
                      <w:color w:val="000000" w:themeColor="text1"/>
                      <w:kern w:val="0"/>
                      <w:sz w:val="21"/>
                      <w:szCs w:val="21"/>
                    </w:rPr>
                    <w:t>2</w:t>
                  </w:r>
                  <w:r>
                    <w:rPr>
                      <w:snapToGrid w:val="0"/>
                      <w:color w:val="000000" w:themeColor="text1"/>
                      <w:kern w:val="0"/>
                      <w:sz w:val="21"/>
                      <w:szCs w:val="21"/>
                    </w:rPr>
                    <w:t>0</w:t>
                  </w:r>
                </w:p>
              </w:tc>
              <w:tc>
                <w:tcPr>
                  <w:tcW w:w="1110" w:type="dxa"/>
                  <w:tcBorders>
                    <w:tl2br w:val="nil"/>
                    <w:tr2bl w:val="nil"/>
                  </w:tcBorders>
                  <w:shd w:val="clear" w:color="auto" w:fill="auto"/>
                  <w:noWrap/>
                  <w:vAlign w:val="center"/>
                </w:tcPr>
                <w:p w14:paraId="43153FEB">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 xml:space="preserve">0.702 </w:t>
                  </w:r>
                </w:p>
              </w:tc>
              <w:tc>
                <w:tcPr>
                  <w:tcW w:w="382" w:type="pct"/>
                  <w:tcBorders>
                    <w:tl2br w:val="nil"/>
                    <w:tr2bl w:val="nil"/>
                  </w:tcBorders>
                  <w:shd w:val="clear" w:color="auto" w:fill="auto"/>
                  <w:noWrap/>
                  <w:vAlign w:val="center"/>
                </w:tcPr>
                <w:p w14:paraId="5B92DD6B">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574" w:type="dxa"/>
                  <w:tcBorders>
                    <w:tl2br w:val="nil"/>
                    <w:tr2bl w:val="nil"/>
                  </w:tcBorders>
                  <w:noWrap/>
                  <w:vAlign w:val="center"/>
                </w:tcPr>
                <w:p w14:paraId="20EF620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0.07</w:t>
                  </w:r>
                  <w:r>
                    <w:rPr>
                      <w:rFonts w:hint="eastAsia"/>
                      <w:color w:val="000000" w:themeColor="text1"/>
                      <w:kern w:val="0"/>
                      <w:sz w:val="21"/>
                      <w:szCs w:val="21"/>
                    </w:rPr>
                    <w:t>0</w:t>
                  </w:r>
                  <w:r>
                    <w:rPr>
                      <w:color w:val="000000" w:themeColor="text1"/>
                      <w:kern w:val="0"/>
                      <w:sz w:val="21"/>
                      <w:szCs w:val="21"/>
                    </w:rPr>
                    <w:t xml:space="preserve"> </w:t>
                  </w:r>
                </w:p>
              </w:tc>
              <w:tc>
                <w:tcPr>
                  <w:tcW w:w="1770" w:type="dxa"/>
                  <w:tcBorders>
                    <w:tl2br w:val="nil"/>
                    <w:tr2bl w:val="nil"/>
                  </w:tcBorders>
                  <w:noWrap/>
                  <w:vAlign w:val="center"/>
                </w:tcPr>
                <w:p w14:paraId="2742848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0.09</w:t>
                  </w:r>
                  <w:r>
                    <w:rPr>
                      <w:rFonts w:hint="eastAsia"/>
                      <w:color w:val="000000" w:themeColor="text1"/>
                      <w:kern w:val="0"/>
                      <w:sz w:val="21"/>
                      <w:szCs w:val="21"/>
                    </w:rPr>
                    <w:t>7</w:t>
                  </w:r>
                  <w:r>
                    <w:rPr>
                      <w:color w:val="000000" w:themeColor="text1"/>
                      <w:kern w:val="0"/>
                      <w:sz w:val="21"/>
                      <w:szCs w:val="21"/>
                    </w:rPr>
                    <w:t xml:space="preserve"> </w:t>
                  </w:r>
                </w:p>
              </w:tc>
              <w:tc>
                <w:tcPr>
                  <w:tcW w:w="399" w:type="pct"/>
                  <w:vMerge w:val="continue"/>
                  <w:tcBorders>
                    <w:tl2br w:val="nil"/>
                    <w:tr2bl w:val="nil"/>
                  </w:tcBorders>
                  <w:noWrap/>
                  <w:vAlign w:val="center"/>
                </w:tcPr>
                <w:p w14:paraId="5B3F93D8">
                  <w:pPr>
                    <w:widowControl/>
                    <w:spacing w:line="240" w:lineRule="auto"/>
                    <w:ind w:firstLine="0" w:firstLineChars="0"/>
                    <w:jc w:val="center"/>
                    <w:textAlignment w:val="center"/>
                    <w:rPr>
                      <w:color w:val="000000" w:themeColor="text1"/>
                      <w:kern w:val="0"/>
                      <w:sz w:val="21"/>
                      <w:szCs w:val="21"/>
                    </w:rPr>
                  </w:pPr>
                </w:p>
              </w:tc>
              <w:tc>
                <w:tcPr>
                  <w:tcW w:w="1275" w:type="dxa"/>
                  <w:tcBorders>
                    <w:tl2br w:val="nil"/>
                    <w:tr2bl w:val="nil"/>
                  </w:tcBorders>
                  <w:noWrap/>
                  <w:vAlign w:val="center"/>
                </w:tcPr>
                <w:p w14:paraId="4A20CB6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w:t>
                  </w:r>
                  <w:r>
                    <w:rPr>
                      <w:rFonts w:hint="eastAsia"/>
                      <w:color w:val="000000" w:themeColor="text1"/>
                      <w:kern w:val="0"/>
                      <w:sz w:val="21"/>
                      <w:szCs w:val="21"/>
                    </w:rPr>
                    <w:t>28</w:t>
                  </w:r>
                  <w:r>
                    <w:rPr>
                      <w:color w:val="000000" w:themeColor="text1"/>
                      <w:kern w:val="0"/>
                      <w:sz w:val="21"/>
                      <w:szCs w:val="21"/>
                    </w:rPr>
                    <w:t xml:space="preserve"> </w:t>
                  </w:r>
                </w:p>
              </w:tc>
              <w:tc>
                <w:tcPr>
                  <w:tcW w:w="1345" w:type="dxa"/>
                  <w:tcBorders>
                    <w:tl2br w:val="nil"/>
                    <w:tr2bl w:val="nil"/>
                  </w:tcBorders>
                  <w:noWrap/>
                  <w:vAlign w:val="center"/>
                </w:tcPr>
                <w:p w14:paraId="42B8AB23">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0.0</w:t>
                  </w:r>
                  <w:r>
                    <w:rPr>
                      <w:rFonts w:hint="eastAsia"/>
                      <w:color w:val="000000" w:themeColor="text1"/>
                      <w:kern w:val="0"/>
                      <w:sz w:val="21"/>
                      <w:szCs w:val="21"/>
                    </w:rPr>
                    <w:t>39</w:t>
                  </w:r>
                  <w:r>
                    <w:rPr>
                      <w:color w:val="000000" w:themeColor="text1"/>
                      <w:kern w:val="0"/>
                      <w:sz w:val="21"/>
                      <w:szCs w:val="21"/>
                    </w:rPr>
                    <w:t xml:space="preserve"> </w:t>
                  </w:r>
                </w:p>
              </w:tc>
            </w:tr>
            <w:tr w14:paraId="3220C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tcBorders>
                    <w:tl2br w:val="nil"/>
                    <w:tr2bl w:val="nil"/>
                  </w:tcBorders>
                  <w:noWrap/>
                  <w:vAlign w:val="center"/>
                </w:tcPr>
                <w:p w14:paraId="1A465B1E">
                  <w:pPr>
                    <w:pStyle w:val="66"/>
                    <w:spacing w:line="240" w:lineRule="auto"/>
                    <w:ind w:left="0" w:right="0" w:firstLine="0" w:firstLineChars="0"/>
                    <w:rPr>
                      <w:color w:val="000000" w:themeColor="text1"/>
                      <w:sz w:val="21"/>
                    </w:rPr>
                  </w:pPr>
                  <w:r>
                    <w:rPr>
                      <w:color w:val="000000" w:themeColor="text1"/>
                      <w:sz w:val="21"/>
                    </w:rPr>
                    <w:t>合计</w:t>
                  </w:r>
                </w:p>
              </w:tc>
              <w:tc>
                <w:tcPr>
                  <w:tcW w:w="365" w:type="pct"/>
                  <w:tcBorders>
                    <w:tl2br w:val="nil"/>
                    <w:tr2bl w:val="nil"/>
                  </w:tcBorders>
                  <w:noWrap/>
                  <w:vAlign w:val="center"/>
                </w:tcPr>
                <w:p w14:paraId="0D34CFA0">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颗粒物</w:t>
                  </w:r>
                </w:p>
              </w:tc>
              <w:tc>
                <w:tcPr>
                  <w:tcW w:w="371" w:type="pct"/>
                  <w:tcBorders>
                    <w:tl2br w:val="nil"/>
                    <w:tr2bl w:val="nil"/>
                  </w:tcBorders>
                  <w:noWrap/>
                  <w:vAlign w:val="center"/>
                </w:tcPr>
                <w:p w14:paraId="76A15106">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w:t>
                  </w:r>
                </w:p>
              </w:tc>
              <w:tc>
                <w:tcPr>
                  <w:tcW w:w="1110" w:type="dxa"/>
                  <w:tcBorders>
                    <w:tl2br w:val="nil"/>
                    <w:tr2bl w:val="nil"/>
                  </w:tcBorders>
                  <w:shd w:val="clear" w:color="auto" w:fill="auto"/>
                  <w:noWrap/>
                  <w:vAlign w:val="center"/>
                </w:tcPr>
                <w:p w14:paraId="6F87187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w:t>
                  </w:r>
                  <w:r>
                    <w:rPr>
                      <w:rFonts w:hint="eastAsia"/>
                      <w:color w:val="000000" w:themeColor="text1"/>
                      <w:kern w:val="0"/>
                      <w:sz w:val="21"/>
                      <w:szCs w:val="21"/>
                    </w:rPr>
                    <w:t>1.408</w:t>
                  </w:r>
                </w:p>
              </w:tc>
              <w:tc>
                <w:tcPr>
                  <w:tcW w:w="382" w:type="pct"/>
                  <w:tcBorders>
                    <w:tl2br w:val="nil"/>
                    <w:tr2bl w:val="nil"/>
                  </w:tcBorders>
                  <w:noWrap/>
                  <w:vAlign w:val="center"/>
                </w:tcPr>
                <w:p w14:paraId="78CA9CE2">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w:t>
                  </w:r>
                </w:p>
              </w:tc>
              <w:tc>
                <w:tcPr>
                  <w:tcW w:w="590" w:type="pct"/>
                  <w:tcBorders>
                    <w:tl2br w:val="nil"/>
                    <w:tr2bl w:val="nil"/>
                  </w:tcBorders>
                  <w:noWrap/>
                  <w:vAlign w:val="center"/>
                </w:tcPr>
                <w:p w14:paraId="2A55B1DE">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1.271</w:t>
                  </w:r>
                </w:p>
              </w:tc>
              <w:tc>
                <w:tcPr>
                  <w:tcW w:w="664" w:type="pct"/>
                  <w:tcBorders>
                    <w:tl2br w:val="nil"/>
                    <w:tr2bl w:val="nil"/>
                  </w:tcBorders>
                  <w:noWrap/>
                  <w:vAlign w:val="center"/>
                </w:tcPr>
                <w:p w14:paraId="51697C1E">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1.252</w:t>
                  </w:r>
                </w:p>
              </w:tc>
              <w:tc>
                <w:tcPr>
                  <w:tcW w:w="399" w:type="pct"/>
                  <w:tcBorders>
                    <w:tl2br w:val="nil"/>
                    <w:tr2bl w:val="nil"/>
                  </w:tcBorders>
                  <w:noWrap/>
                  <w:vAlign w:val="center"/>
                </w:tcPr>
                <w:p w14:paraId="1835B88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w:t>
                  </w:r>
                </w:p>
              </w:tc>
              <w:tc>
                <w:tcPr>
                  <w:tcW w:w="478" w:type="pct"/>
                  <w:tcBorders>
                    <w:tl2br w:val="nil"/>
                    <w:tr2bl w:val="nil"/>
                  </w:tcBorders>
                  <w:noWrap/>
                  <w:vAlign w:val="center"/>
                </w:tcPr>
                <w:p w14:paraId="3B6F83C7">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0.508</w:t>
                  </w:r>
                </w:p>
              </w:tc>
              <w:tc>
                <w:tcPr>
                  <w:tcW w:w="504" w:type="pct"/>
                  <w:tcBorders>
                    <w:tl2br w:val="nil"/>
                    <w:tr2bl w:val="nil"/>
                  </w:tcBorders>
                  <w:noWrap/>
                  <w:vAlign w:val="center"/>
                </w:tcPr>
                <w:p w14:paraId="732EC813">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0.501</w:t>
                  </w:r>
                </w:p>
              </w:tc>
            </w:tr>
          </w:tbl>
          <w:p w14:paraId="2D87929C">
            <w:pPr>
              <w:spacing w:line="360" w:lineRule="auto"/>
              <w:ind w:firstLine="480"/>
              <w:jc w:val="left"/>
              <w:rPr>
                <w:color w:val="000000" w:themeColor="text1"/>
              </w:rPr>
            </w:pPr>
            <w:r>
              <w:rPr>
                <w:rFonts w:hint="eastAsia"/>
                <w:color w:val="000000" w:themeColor="text1"/>
              </w:rPr>
              <w:t>综上，本项目厂房内颗粒物无组织排放总量为0.509</w:t>
            </w:r>
            <w:r>
              <w:rPr>
                <w:color w:val="000000" w:themeColor="text1"/>
              </w:rPr>
              <w:t>t/a、排放速率为</w:t>
            </w:r>
            <w:r>
              <w:rPr>
                <w:rFonts w:hint="eastAsia"/>
                <w:color w:val="000000" w:themeColor="text1"/>
              </w:rPr>
              <w:t>0.502</w:t>
            </w:r>
            <w:r>
              <w:rPr>
                <w:color w:val="000000" w:themeColor="text1"/>
              </w:rPr>
              <w:t>kg/h</w:t>
            </w:r>
            <w:r>
              <w:rPr>
                <w:rFonts w:hint="eastAsia"/>
                <w:color w:val="000000" w:themeColor="text1"/>
              </w:rPr>
              <w:t>。</w:t>
            </w:r>
          </w:p>
          <w:p w14:paraId="230726A8">
            <w:pPr>
              <w:spacing w:line="360" w:lineRule="auto"/>
              <w:ind w:firstLine="480"/>
              <w:jc w:val="left"/>
              <w:rPr>
                <w:color w:val="000000" w:themeColor="text1"/>
              </w:rPr>
            </w:pPr>
            <w:r>
              <w:rPr>
                <w:color w:val="000000" w:themeColor="text1"/>
                <w:kern w:val="24"/>
              </w:rPr>
              <w:t>采用AERSCREEN模型对</w:t>
            </w:r>
            <w:r>
              <w:rPr>
                <w:rFonts w:hint="eastAsia"/>
                <w:color w:val="000000" w:themeColor="text1"/>
                <w:kern w:val="24"/>
              </w:rPr>
              <w:t>项目</w:t>
            </w:r>
            <w:r>
              <w:rPr>
                <w:color w:val="000000" w:themeColor="text1"/>
                <w:kern w:val="24"/>
              </w:rPr>
              <w:t>无组织排放的</w:t>
            </w:r>
            <w:r>
              <w:rPr>
                <w:rFonts w:hint="eastAsia"/>
                <w:color w:val="000000" w:themeColor="text1"/>
                <w:kern w:val="24"/>
              </w:rPr>
              <w:t>颗粒物</w:t>
            </w:r>
            <w:r>
              <w:rPr>
                <w:color w:val="000000" w:themeColor="text1"/>
                <w:kern w:val="24"/>
              </w:rPr>
              <w:t>进行预测，</w:t>
            </w:r>
            <w:r>
              <w:rPr>
                <w:rFonts w:hint="eastAsia"/>
                <w:color w:val="000000" w:themeColor="text1"/>
                <w:kern w:val="24"/>
              </w:rPr>
              <w:t>厂界无组织废气排放预测结果见下表。</w:t>
            </w:r>
          </w:p>
          <w:p w14:paraId="6D5BEB0A">
            <w:pPr>
              <w:ind w:firstLine="0" w:firstLineChars="0"/>
              <w:jc w:val="center"/>
              <w:rPr>
                <w:b/>
                <w:bCs/>
                <w:color w:val="000000" w:themeColor="text1"/>
                <w:sz w:val="21"/>
                <w:szCs w:val="21"/>
              </w:rPr>
            </w:pPr>
            <w:r>
              <w:rPr>
                <w:rFonts w:hint="eastAsia"/>
                <w:b/>
                <w:bCs/>
                <w:color w:val="000000" w:themeColor="text1"/>
                <w:sz w:val="21"/>
                <w:szCs w:val="21"/>
              </w:rPr>
              <w:t>表30   厂界无组织废气排放预测结果一览表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3964"/>
              <w:gridCol w:w="6662"/>
            </w:tblGrid>
            <w:tr w14:paraId="4C7BB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tcBorders>
                    <w:tl2br w:val="nil"/>
                    <w:tr2bl w:val="nil"/>
                  </w:tcBorders>
                  <w:vAlign w:val="center"/>
                </w:tcPr>
                <w:p w14:paraId="0327EE86">
                  <w:pPr>
                    <w:spacing w:line="240" w:lineRule="auto"/>
                    <w:ind w:firstLine="0" w:firstLineChars="0"/>
                    <w:jc w:val="center"/>
                    <w:rPr>
                      <w:b/>
                      <w:bCs/>
                      <w:color w:val="000000" w:themeColor="text1"/>
                      <w:sz w:val="21"/>
                      <w:szCs w:val="21"/>
                    </w:rPr>
                  </w:pPr>
                  <w:r>
                    <w:rPr>
                      <w:rFonts w:hint="eastAsia"/>
                      <w:b/>
                      <w:bCs/>
                      <w:color w:val="000000" w:themeColor="text1"/>
                      <w:sz w:val="21"/>
                      <w:szCs w:val="21"/>
                    </w:rPr>
                    <w:t>污染物</w:t>
                  </w:r>
                </w:p>
              </w:tc>
              <w:tc>
                <w:tcPr>
                  <w:tcW w:w="1490" w:type="pct"/>
                  <w:tcBorders>
                    <w:tl2br w:val="nil"/>
                    <w:tr2bl w:val="nil"/>
                  </w:tcBorders>
                  <w:vAlign w:val="center"/>
                </w:tcPr>
                <w:p w14:paraId="110BE51F">
                  <w:pPr>
                    <w:spacing w:line="240" w:lineRule="auto"/>
                    <w:ind w:firstLine="0" w:firstLineChars="0"/>
                    <w:jc w:val="center"/>
                    <w:rPr>
                      <w:b/>
                      <w:bCs/>
                      <w:color w:val="000000" w:themeColor="text1"/>
                      <w:sz w:val="21"/>
                      <w:szCs w:val="21"/>
                    </w:rPr>
                  </w:pPr>
                  <w:r>
                    <w:rPr>
                      <w:rFonts w:hint="eastAsia"/>
                      <w:b/>
                      <w:bCs/>
                      <w:color w:val="000000" w:themeColor="text1"/>
                      <w:sz w:val="21"/>
                      <w:szCs w:val="21"/>
                    </w:rPr>
                    <w:t>厂界</w:t>
                  </w:r>
                </w:p>
              </w:tc>
              <w:tc>
                <w:tcPr>
                  <w:tcW w:w="2503" w:type="pct"/>
                  <w:tcBorders>
                    <w:tl2br w:val="nil"/>
                    <w:tr2bl w:val="nil"/>
                  </w:tcBorders>
                  <w:vAlign w:val="center"/>
                </w:tcPr>
                <w:p w14:paraId="6AE9BA62">
                  <w:pPr>
                    <w:spacing w:line="240" w:lineRule="auto"/>
                    <w:ind w:firstLine="0" w:firstLineChars="0"/>
                    <w:jc w:val="center"/>
                    <w:rPr>
                      <w:b/>
                      <w:bCs/>
                      <w:color w:val="000000" w:themeColor="text1"/>
                      <w:sz w:val="21"/>
                      <w:szCs w:val="21"/>
                    </w:rPr>
                  </w:pPr>
                  <w:r>
                    <w:rPr>
                      <w:rFonts w:hint="eastAsia"/>
                      <w:b/>
                      <w:bCs/>
                      <w:color w:val="000000" w:themeColor="text1"/>
                      <w:sz w:val="21"/>
                      <w:szCs w:val="21"/>
                    </w:rPr>
                    <w:t>贡献浓度（mg/m</w:t>
                  </w:r>
                  <w:r>
                    <w:rPr>
                      <w:rFonts w:hint="eastAsia"/>
                      <w:b/>
                      <w:bCs/>
                      <w:color w:val="000000" w:themeColor="text1"/>
                      <w:sz w:val="21"/>
                      <w:szCs w:val="21"/>
                      <w:vertAlign w:val="superscript"/>
                    </w:rPr>
                    <w:t>3</w:t>
                  </w:r>
                  <w:r>
                    <w:rPr>
                      <w:rFonts w:hint="eastAsia"/>
                      <w:b/>
                      <w:bCs/>
                      <w:color w:val="000000" w:themeColor="text1"/>
                      <w:sz w:val="21"/>
                      <w:szCs w:val="21"/>
                    </w:rPr>
                    <w:t>）</w:t>
                  </w:r>
                </w:p>
              </w:tc>
            </w:tr>
            <w:tr w14:paraId="7F24D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restart"/>
                  <w:tcBorders>
                    <w:tl2br w:val="nil"/>
                    <w:tr2bl w:val="nil"/>
                  </w:tcBorders>
                  <w:vAlign w:val="center"/>
                </w:tcPr>
                <w:p w14:paraId="499A99B8">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490" w:type="pct"/>
                  <w:tcBorders>
                    <w:tl2br w:val="nil"/>
                    <w:tr2bl w:val="nil"/>
                  </w:tcBorders>
                  <w:vAlign w:val="center"/>
                </w:tcPr>
                <w:p w14:paraId="72414FFD">
                  <w:pPr>
                    <w:spacing w:line="240" w:lineRule="auto"/>
                    <w:ind w:firstLine="0" w:firstLineChars="0"/>
                    <w:jc w:val="center"/>
                    <w:rPr>
                      <w:color w:val="000000" w:themeColor="text1"/>
                      <w:sz w:val="21"/>
                      <w:szCs w:val="21"/>
                    </w:rPr>
                  </w:pPr>
                  <w:r>
                    <w:rPr>
                      <w:rFonts w:hint="eastAsia"/>
                      <w:color w:val="000000" w:themeColor="text1"/>
                      <w:sz w:val="21"/>
                      <w:szCs w:val="21"/>
                    </w:rPr>
                    <w:t>东厂界</w:t>
                  </w:r>
                </w:p>
              </w:tc>
              <w:tc>
                <w:tcPr>
                  <w:tcW w:w="2503" w:type="pct"/>
                  <w:tcBorders>
                    <w:tl2br w:val="nil"/>
                    <w:tr2bl w:val="nil"/>
                  </w:tcBorders>
                  <w:vAlign w:val="center"/>
                </w:tcPr>
                <w:p w14:paraId="0D00B9E8">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1182200</w:t>
                  </w:r>
                </w:p>
              </w:tc>
            </w:tr>
            <w:tr w14:paraId="66AF0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1D954167">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4FBDF46F">
                  <w:pPr>
                    <w:spacing w:line="240" w:lineRule="auto"/>
                    <w:ind w:firstLine="0" w:firstLineChars="0"/>
                    <w:jc w:val="center"/>
                    <w:rPr>
                      <w:color w:val="000000" w:themeColor="text1"/>
                      <w:sz w:val="21"/>
                      <w:szCs w:val="21"/>
                    </w:rPr>
                  </w:pPr>
                  <w:r>
                    <w:rPr>
                      <w:rFonts w:hint="eastAsia"/>
                      <w:color w:val="000000" w:themeColor="text1"/>
                      <w:sz w:val="21"/>
                      <w:szCs w:val="21"/>
                    </w:rPr>
                    <w:t>南厂界</w:t>
                  </w:r>
                </w:p>
              </w:tc>
              <w:tc>
                <w:tcPr>
                  <w:tcW w:w="2503" w:type="pct"/>
                  <w:tcBorders>
                    <w:tl2br w:val="nil"/>
                    <w:tr2bl w:val="nil"/>
                  </w:tcBorders>
                  <w:vAlign w:val="center"/>
                </w:tcPr>
                <w:p w14:paraId="6F9A60A5">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2450300</w:t>
                  </w:r>
                </w:p>
              </w:tc>
            </w:tr>
            <w:tr w14:paraId="2F9FA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69A9DB73">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75D7EBAD">
                  <w:pPr>
                    <w:spacing w:line="240" w:lineRule="auto"/>
                    <w:ind w:firstLine="0" w:firstLineChars="0"/>
                    <w:jc w:val="center"/>
                    <w:rPr>
                      <w:color w:val="000000" w:themeColor="text1"/>
                      <w:sz w:val="21"/>
                      <w:szCs w:val="21"/>
                    </w:rPr>
                  </w:pPr>
                  <w:r>
                    <w:rPr>
                      <w:rFonts w:hint="eastAsia"/>
                      <w:color w:val="000000" w:themeColor="text1"/>
                      <w:sz w:val="21"/>
                      <w:szCs w:val="21"/>
                    </w:rPr>
                    <w:t>西厂界</w:t>
                  </w:r>
                </w:p>
              </w:tc>
              <w:tc>
                <w:tcPr>
                  <w:tcW w:w="2503" w:type="pct"/>
                  <w:tcBorders>
                    <w:tl2br w:val="nil"/>
                    <w:tr2bl w:val="nil"/>
                  </w:tcBorders>
                  <w:vAlign w:val="center"/>
                </w:tcPr>
                <w:p w14:paraId="2C1C8FB8">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2227100</w:t>
                  </w:r>
                </w:p>
              </w:tc>
            </w:tr>
            <w:tr w14:paraId="49947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3E6EEA48">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4068EBDA">
                  <w:pPr>
                    <w:spacing w:line="240" w:lineRule="auto"/>
                    <w:ind w:firstLine="0" w:firstLineChars="0"/>
                    <w:jc w:val="center"/>
                    <w:rPr>
                      <w:color w:val="000000" w:themeColor="text1"/>
                      <w:sz w:val="21"/>
                      <w:szCs w:val="21"/>
                    </w:rPr>
                  </w:pPr>
                  <w:r>
                    <w:rPr>
                      <w:rFonts w:hint="eastAsia"/>
                      <w:color w:val="000000" w:themeColor="text1"/>
                      <w:sz w:val="21"/>
                      <w:szCs w:val="21"/>
                    </w:rPr>
                    <w:t>北厂界</w:t>
                  </w:r>
                </w:p>
              </w:tc>
              <w:tc>
                <w:tcPr>
                  <w:tcW w:w="2503" w:type="pct"/>
                  <w:tcBorders>
                    <w:tl2br w:val="nil"/>
                    <w:tr2bl w:val="nil"/>
                  </w:tcBorders>
                  <w:vAlign w:val="center"/>
                </w:tcPr>
                <w:p w14:paraId="5DFA213D">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2774500</w:t>
                  </w:r>
                </w:p>
              </w:tc>
            </w:tr>
            <w:tr w14:paraId="0F61F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l2br w:val="nil"/>
                    <w:tr2bl w:val="nil"/>
                  </w:tcBorders>
                  <w:vAlign w:val="center"/>
                </w:tcPr>
                <w:p w14:paraId="58714B9F">
                  <w:pPr>
                    <w:spacing w:line="240" w:lineRule="auto"/>
                    <w:ind w:firstLine="0" w:firstLineChars="0"/>
                    <w:jc w:val="center"/>
                    <w:rPr>
                      <w:color w:val="000000" w:themeColor="text1"/>
                      <w:sz w:val="21"/>
                      <w:szCs w:val="21"/>
                    </w:rPr>
                  </w:pPr>
                </w:p>
              </w:tc>
              <w:tc>
                <w:tcPr>
                  <w:tcW w:w="1490" w:type="pct"/>
                  <w:tcBorders>
                    <w:tl2br w:val="nil"/>
                    <w:tr2bl w:val="nil"/>
                  </w:tcBorders>
                  <w:vAlign w:val="center"/>
                </w:tcPr>
                <w:p w14:paraId="273C27A5">
                  <w:pPr>
                    <w:spacing w:line="240" w:lineRule="auto"/>
                    <w:ind w:firstLine="0" w:firstLineChars="0"/>
                    <w:jc w:val="center"/>
                    <w:rPr>
                      <w:color w:val="000000" w:themeColor="text1"/>
                      <w:sz w:val="21"/>
                      <w:szCs w:val="21"/>
                    </w:rPr>
                  </w:pPr>
                  <w:r>
                    <w:rPr>
                      <w:rFonts w:hint="eastAsia"/>
                      <w:color w:val="000000" w:themeColor="text1"/>
                      <w:sz w:val="21"/>
                      <w:szCs w:val="21"/>
                    </w:rPr>
                    <w:t>最大落地浓度</w:t>
                  </w:r>
                </w:p>
              </w:tc>
              <w:tc>
                <w:tcPr>
                  <w:tcW w:w="2503" w:type="pct"/>
                  <w:tcBorders>
                    <w:tl2br w:val="nil"/>
                    <w:tr2bl w:val="nil"/>
                  </w:tcBorders>
                  <w:vAlign w:val="center"/>
                </w:tcPr>
                <w:p w14:paraId="52F2321B">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0.</w:t>
                  </w:r>
                  <w:r>
                    <w:rPr>
                      <w:color w:val="000000" w:themeColor="text1"/>
                      <w:kern w:val="0"/>
                      <w:sz w:val="21"/>
                      <w:szCs w:val="21"/>
                    </w:rPr>
                    <w:t>2792900</w:t>
                  </w:r>
                </w:p>
              </w:tc>
            </w:tr>
          </w:tbl>
          <w:p w14:paraId="375B3640">
            <w:pPr>
              <w:adjustRightInd w:val="0"/>
              <w:snapToGrid w:val="0"/>
              <w:spacing w:line="360" w:lineRule="auto"/>
              <w:ind w:firstLine="480"/>
              <w:rPr>
                <w:color w:val="000000" w:themeColor="text1"/>
                <w:kern w:val="0"/>
              </w:rPr>
            </w:pPr>
            <w:r>
              <w:rPr>
                <w:color w:val="000000" w:themeColor="text1"/>
              </w:rPr>
              <w:t>根据</w:t>
            </w:r>
            <w:r>
              <w:rPr>
                <w:rFonts w:hint="eastAsia"/>
                <w:color w:val="000000" w:themeColor="text1"/>
              </w:rPr>
              <w:t>上表</w:t>
            </w:r>
            <w:r>
              <w:rPr>
                <w:color w:val="000000" w:themeColor="text1"/>
              </w:rPr>
              <w:t>，本项目</w:t>
            </w:r>
            <w:r>
              <w:rPr>
                <w:rFonts w:hint="eastAsia"/>
                <w:color w:val="000000" w:themeColor="text1"/>
              </w:rPr>
              <w:t>无组织排放颗粒物</w:t>
            </w:r>
            <w:r>
              <w:rPr>
                <w:color w:val="000000" w:themeColor="text1"/>
              </w:rPr>
              <w:t>厂界</w:t>
            </w:r>
            <w:r>
              <w:rPr>
                <w:rFonts w:hint="eastAsia"/>
                <w:color w:val="000000" w:themeColor="text1"/>
              </w:rPr>
              <w:t>预测</w:t>
            </w:r>
            <w:r>
              <w:rPr>
                <w:color w:val="000000" w:themeColor="text1"/>
              </w:rPr>
              <w:t>浓度范围在</w:t>
            </w:r>
            <w:r>
              <w:rPr>
                <w:rFonts w:hint="eastAsia"/>
                <w:color w:val="000000" w:themeColor="text1"/>
                <w:kern w:val="0"/>
              </w:rPr>
              <w:t>0.</w:t>
            </w:r>
            <w:r>
              <w:rPr>
                <w:color w:val="000000" w:themeColor="text1"/>
                <w:kern w:val="0"/>
              </w:rPr>
              <w:t>1182200</w:t>
            </w:r>
            <w:r>
              <w:rPr>
                <w:color w:val="000000" w:themeColor="text1"/>
              </w:rPr>
              <w:t>~</w:t>
            </w:r>
            <w:r>
              <w:rPr>
                <w:rFonts w:hint="eastAsia"/>
                <w:color w:val="000000" w:themeColor="text1"/>
                <w:kern w:val="0"/>
              </w:rPr>
              <w:t>0.</w:t>
            </w:r>
            <w:r>
              <w:rPr>
                <w:color w:val="000000" w:themeColor="text1"/>
                <w:kern w:val="0"/>
              </w:rPr>
              <w:t>2774500</w:t>
            </w:r>
            <w:r>
              <w:rPr>
                <w:color w:val="000000" w:themeColor="text1"/>
              </w:rPr>
              <w:t>mg/m</w:t>
            </w:r>
            <w:r>
              <w:rPr>
                <w:rFonts w:hint="eastAsia"/>
                <w:color w:val="000000" w:themeColor="text1"/>
                <w:vertAlign w:val="superscript"/>
              </w:rPr>
              <w:t>3</w:t>
            </w:r>
            <w:r>
              <w:rPr>
                <w:rFonts w:hint="eastAsia"/>
                <w:color w:val="000000" w:themeColor="text1"/>
              </w:rPr>
              <w:t>，颗粒物最大落地浓度为</w:t>
            </w:r>
            <w:r>
              <w:rPr>
                <w:rFonts w:hint="eastAsia"/>
                <w:color w:val="000000" w:themeColor="text1"/>
                <w:kern w:val="0"/>
              </w:rPr>
              <w:t>0.</w:t>
            </w:r>
            <w:r>
              <w:rPr>
                <w:color w:val="000000" w:themeColor="text1"/>
                <w:kern w:val="0"/>
              </w:rPr>
              <w:t>2792900</w:t>
            </w:r>
            <w:r>
              <w:rPr>
                <w:color w:val="000000" w:themeColor="text1"/>
              </w:rPr>
              <w:t>mg/m</w:t>
            </w:r>
            <w:r>
              <w:rPr>
                <w:rFonts w:hint="eastAsia"/>
                <w:color w:val="000000" w:themeColor="text1"/>
                <w:vertAlign w:val="superscript"/>
              </w:rPr>
              <w:t>3</w:t>
            </w:r>
            <w:r>
              <w:rPr>
                <w:rFonts w:hint="eastAsia"/>
                <w:color w:val="000000" w:themeColor="text1"/>
              </w:rPr>
              <w:t>，颗粒物无组织排放浓度满足</w:t>
            </w:r>
            <w:r>
              <w:rPr>
                <w:color w:val="000000" w:themeColor="text1"/>
                <w:spacing w:val="-5"/>
              </w:rPr>
              <w:t>《大气污染物综合排放标准》（</w:t>
            </w:r>
            <w:r>
              <w:rPr>
                <w:rFonts w:eastAsia="Times New Roman"/>
                <w:color w:val="000000" w:themeColor="text1"/>
                <w:spacing w:val="-6"/>
              </w:rPr>
              <w:t>GB16297-1996</w:t>
            </w:r>
            <w:r>
              <w:rPr>
                <w:color w:val="000000" w:themeColor="text1"/>
                <w:spacing w:val="-6"/>
              </w:rPr>
              <w:t>）</w:t>
            </w:r>
            <w:r>
              <w:rPr>
                <w:rFonts w:hint="eastAsia"/>
                <w:color w:val="000000" w:themeColor="text1"/>
                <w:spacing w:val="-6"/>
              </w:rPr>
              <w:t>表 2 中无组织排放监控浓度限值</w:t>
            </w:r>
            <w:r>
              <w:rPr>
                <w:rFonts w:hint="eastAsia"/>
                <w:color w:val="000000" w:themeColor="text1"/>
                <w:kern w:val="0"/>
              </w:rPr>
              <w:t>1.0</w:t>
            </w:r>
            <w:r>
              <w:rPr>
                <w:color w:val="000000" w:themeColor="text1"/>
                <w:kern w:val="0"/>
              </w:rPr>
              <w:t>mg/m</w:t>
            </w:r>
            <w:r>
              <w:rPr>
                <w:color w:val="000000" w:themeColor="text1"/>
                <w:kern w:val="0"/>
                <w:vertAlign w:val="superscript"/>
              </w:rPr>
              <w:t>3</w:t>
            </w:r>
            <w:r>
              <w:rPr>
                <w:rFonts w:hint="eastAsia"/>
                <w:color w:val="000000" w:themeColor="text1"/>
                <w:kern w:val="0"/>
              </w:rPr>
              <w:t>要求，</w:t>
            </w:r>
            <w:r>
              <w:rPr>
                <w:rFonts w:hint="eastAsia"/>
                <w:color w:val="000000" w:themeColor="text1"/>
              </w:rPr>
              <w:t>亦满足《</w:t>
            </w:r>
            <w:r>
              <w:rPr>
                <w:rStyle w:val="27"/>
                <w:rFonts w:ascii="Arial" w:hAnsi="Arial" w:eastAsia="Arial" w:cs="Arial"/>
                <w:b w:val="0"/>
                <w:color w:val="000000" w:themeColor="text1"/>
                <w:shd w:val="clear" w:color="auto" w:fill="FFFFFF"/>
              </w:rPr>
              <w:t>工业炉窑大气污染物排放标准</w:t>
            </w:r>
            <w:r>
              <w:rPr>
                <w:rFonts w:hint="eastAsia"/>
                <w:color w:val="000000" w:themeColor="text1"/>
              </w:rPr>
              <w:t>》（GB 9078-1996）表3其他炉窑有车间厂房无组织排放浓度5</w:t>
            </w:r>
            <w:r>
              <w:rPr>
                <w:color w:val="000000" w:themeColor="text1"/>
                <w:kern w:val="0"/>
              </w:rPr>
              <w:t>mg/m</w:t>
            </w:r>
            <w:r>
              <w:rPr>
                <w:color w:val="000000" w:themeColor="text1"/>
                <w:kern w:val="0"/>
                <w:vertAlign w:val="superscript"/>
              </w:rPr>
              <w:t>3</w:t>
            </w:r>
            <w:r>
              <w:rPr>
                <w:rFonts w:hint="eastAsia"/>
                <w:color w:val="000000" w:themeColor="text1"/>
                <w:kern w:val="0"/>
              </w:rPr>
              <w:t>要求。</w:t>
            </w:r>
          </w:p>
          <w:p w14:paraId="3BC85DB8">
            <w:pPr>
              <w:adjustRightInd w:val="0"/>
              <w:snapToGrid w:val="0"/>
              <w:spacing w:line="360" w:lineRule="auto"/>
              <w:ind w:firstLine="480"/>
              <w:rPr>
                <w:color w:val="000000" w:themeColor="text1"/>
              </w:rPr>
            </w:pPr>
            <w:r>
              <w:rPr>
                <w:rFonts w:hint="eastAsia"/>
                <w:color w:val="000000" w:themeColor="text1"/>
              </w:rPr>
              <w:t>综上分析，本项目采取污染防治措施能实现达标排放。</w:t>
            </w:r>
          </w:p>
          <w:p w14:paraId="2B95BFE2">
            <w:pPr>
              <w:spacing w:line="360" w:lineRule="auto"/>
              <w:ind w:firstLine="480"/>
              <w:jc w:val="left"/>
              <w:rPr>
                <w:color w:val="000000" w:themeColor="text1"/>
              </w:rPr>
            </w:pPr>
            <w:r>
              <w:rPr>
                <w:rFonts w:hint="eastAsia"/>
                <w:color w:val="000000" w:themeColor="text1"/>
              </w:rPr>
              <w:t>（2）</w:t>
            </w:r>
            <w:r>
              <w:rPr>
                <w:color w:val="000000" w:themeColor="text1"/>
              </w:rPr>
              <w:t>废气源强及治理措施</w:t>
            </w:r>
          </w:p>
          <w:p w14:paraId="32CD5F91">
            <w:pPr>
              <w:pStyle w:val="34"/>
              <w:rPr>
                <w:color w:val="000000" w:themeColor="text1"/>
              </w:rPr>
            </w:pPr>
          </w:p>
          <w:p w14:paraId="101E0ACE">
            <w:pPr>
              <w:pStyle w:val="34"/>
              <w:rPr>
                <w:color w:val="000000" w:themeColor="text1"/>
              </w:rPr>
            </w:pPr>
            <w:r>
              <w:rPr>
                <w:rFonts w:hint="eastAsia"/>
                <w:color w:val="000000" w:themeColor="text1"/>
              </w:rPr>
              <w:t>表31  废气源强、治理措施一览表</w:t>
            </w:r>
          </w:p>
          <w:tbl>
            <w:tblPr>
              <w:tblStyle w:val="24"/>
              <w:tblW w:w="133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8"/>
              <w:gridCol w:w="645"/>
              <w:gridCol w:w="660"/>
              <w:gridCol w:w="825"/>
              <w:gridCol w:w="840"/>
              <w:gridCol w:w="570"/>
              <w:gridCol w:w="690"/>
              <w:gridCol w:w="675"/>
              <w:gridCol w:w="1755"/>
              <w:gridCol w:w="990"/>
              <w:gridCol w:w="780"/>
              <w:gridCol w:w="855"/>
              <w:gridCol w:w="1105"/>
              <w:gridCol w:w="594"/>
              <w:gridCol w:w="676"/>
              <w:gridCol w:w="665"/>
            </w:tblGrid>
            <w:tr w14:paraId="5EEA5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98" w:type="dxa"/>
                  <w:vMerge w:val="restart"/>
                  <w:tcBorders>
                    <w:tl2br w:val="nil"/>
                    <w:tr2bl w:val="nil"/>
                  </w:tcBorders>
                  <w:vAlign w:val="center"/>
                </w:tcPr>
                <w:p w14:paraId="043547FC">
                  <w:pPr>
                    <w:spacing w:line="0" w:lineRule="atLeast"/>
                    <w:ind w:firstLine="0" w:firstLineChars="0"/>
                    <w:jc w:val="center"/>
                    <w:rPr>
                      <w:b/>
                      <w:color w:val="000000" w:themeColor="text1"/>
                      <w:sz w:val="21"/>
                      <w:szCs w:val="21"/>
                    </w:rPr>
                  </w:pPr>
                  <w:r>
                    <w:rPr>
                      <w:b/>
                      <w:color w:val="000000" w:themeColor="text1"/>
                      <w:sz w:val="21"/>
                      <w:szCs w:val="21"/>
                    </w:rPr>
                    <w:t>产排污环节</w:t>
                  </w:r>
                </w:p>
              </w:tc>
              <w:tc>
                <w:tcPr>
                  <w:tcW w:w="645" w:type="dxa"/>
                  <w:vMerge w:val="restart"/>
                  <w:tcBorders>
                    <w:tl2br w:val="nil"/>
                    <w:tr2bl w:val="nil"/>
                  </w:tcBorders>
                  <w:vAlign w:val="center"/>
                </w:tcPr>
                <w:p w14:paraId="547DADF8">
                  <w:pPr>
                    <w:spacing w:line="0" w:lineRule="atLeast"/>
                    <w:ind w:firstLine="0" w:firstLineChars="0"/>
                    <w:jc w:val="center"/>
                    <w:rPr>
                      <w:b/>
                      <w:color w:val="000000" w:themeColor="text1"/>
                      <w:sz w:val="21"/>
                      <w:szCs w:val="21"/>
                    </w:rPr>
                  </w:pPr>
                  <w:r>
                    <w:rPr>
                      <w:b/>
                      <w:color w:val="000000" w:themeColor="text1"/>
                      <w:sz w:val="21"/>
                      <w:szCs w:val="21"/>
                    </w:rPr>
                    <w:t>污染物种类</w:t>
                  </w:r>
                </w:p>
              </w:tc>
              <w:tc>
                <w:tcPr>
                  <w:tcW w:w="2325" w:type="dxa"/>
                  <w:gridSpan w:val="3"/>
                  <w:tcBorders>
                    <w:tl2br w:val="nil"/>
                    <w:tr2bl w:val="nil"/>
                  </w:tcBorders>
                  <w:vAlign w:val="center"/>
                </w:tcPr>
                <w:p w14:paraId="06AE8580">
                  <w:pPr>
                    <w:spacing w:line="0" w:lineRule="atLeast"/>
                    <w:ind w:firstLine="0" w:firstLineChars="0"/>
                    <w:jc w:val="center"/>
                    <w:rPr>
                      <w:b/>
                      <w:color w:val="000000" w:themeColor="text1"/>
                      <w:sz w:val="21"/>
                      <w:szCs w:val="21"/>
                    </w:rPr>
                  </w:pPr>
                  <w:r>
                    <w:rPr>
                      <w:b/>
                      <w:color w:val="000000" w:themeColor="text1"/>
                      <w:sz w:val="21"/>
                      <w:szCs w:val="21"/>
                    </w:rPr>
                    <w:t>产生情况</w:t>
                  </w:r>
                </w:p>
              </w:tc>
              <w:tc>
                <w:tcPr>
                  <w:tcW w:w="570" w:type="dxa"/>
                  <w:vMerge w:val="restart"/>
                  <w:tcBorders>
                    <w:tl2br w:val="nil"/>
                    <w:tr2bl w:val="nil"/>
                  </w:tcBorders>
                  <w:vAlign w:val="center"/>
                </w:tcPr>
                <w:p w14:paraId="1FFD36CA">
                  <w:pPr>
                    <w:spacing w:line="0" w:lineRule="atLeast"/>
                    <w:ind w:firstLine="0" w:firstLineChars="0"/>
                    <w:jc w:val="center"/>
                    <w:rPr>
                      <w:b/>
                      <w:color w:val="000000" w:themeColor="text1"/>
                      <w:sz w:val="21"/>
                      <w:szCs w:val="21"/>
                    </w:rPr>
                  </w:pPr>
                  <w:r>
                    <w:rPr>
                      <w:b/>
                      <w:color w:val="000000" w:themeColor="text1"/>
                      <w:sz w:val="21"/>
                      <w:szCs w:val="21"/>
                    </w:rPr>
                    <w:t>排放形式</w:t>
                  </w:r>
                </w:p>
              </w:tc>
              <w:tc>
                <w:tcPr>
                  <w:tcW w:w="5745" w:type="dxa"/>
                  <w:gridSpan w:val="6"/>
                  <w:tcBorders>
                    <w:tl2br w:val="nil"/>
                    <w:tr2bl w:val="nil"/>
                  </w:tcBorders>
                  <w:vAlign w:val="center"/>
                </w:tcPr>
                <w:p w14:paraId="19D9300E">
                  <w:pPr>
                    <w:spacing w:line="0" w:lineRule="atLeast"/>
                    <w:ind w:firstLine="0" w:firstLineChars="0"/>
                    <w:jc w:val="center"/>
                    <w:rPr>
                      <w:b/>
                      <w:color w:val="000000" w:themeColor="text1"/>
                      <w:sz w:val="21"/>
                      <w:szCs w:val="21"/>
                    </w:rPr>
                  </w:pPr>
                  <w:r>
                    <w:rPr>
                      <w:b/>
                      <w:color w:val="000000" w:themeColor="text1"/>
                      <w:sz w:val="21"/>
                      <w:szCs w:val="21"/>
                    </w:rPr>
                    <w:t>治理措施</w:t>
                  </w:r>
                </w:p>
              </w:tc>
              <w:tc>
                <w:tcPr>
                  <w:tcW w:w="3040" w:type="dxa"/>
                  <w:gridSpan w:val="4"/>
                  <w:tcBorders>
                    <w:tl2br w:val="nil"/>
                    <w:tr2bl w:val="nil"/>
                  </w:tcBorders>
                  <w:vAlign w:val="center"/>
                </w:tcPr>
                <w:p w14:paraId="02BE1181">
                  <w:pPr>
                    <w:spacing w:line="0" w:lineRule="atLeast"/>
                    <w:ind w:firstLine="0" w:firstLineChars="0"/>
                    <w:jc w:val="center"/>
                    <w:rPr>
                      <w:b/>
                      <w:color w:val="000000" w:themeColor="text1"/>
                      <w:sz w:val="21"/>
                      <w:szCs w:val="21"/>
                    </w:rPr>
                  </w:pPr>
                  <w:r>
                    <w:rPr>
                      <w:b/>
                      <w:color w:val="000000" w:themeColor="text1"/>
                      <w:sz w:val="21"/>
                      <w:szCs w:val="21"/>
                    </w:rPr>
                    <w:t>排放情况</w:t>
                  </w:r>
                </w:p>
              </w:tc>
            </w:tr>
            <w:tr w14:paraId="193A95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98" w:type="dxa"/>
                  <w:vMerge w:val="continue"/>
                  <w:tcBorders>
                    <w:tl2br w:val="nil"/>
                    <w:tr2bl w:val="nil"/>
                  </w:tcBorders>
                  <w:vAlign w:val="center"/>
                </w:tcPr>
                <w:p w14:paraId="28E503D1">
                  <w:pPr>
                    <w:spacing w:line="0" w:lineRule="atLeast"/>
                    <w:ind w:firstLine="0" w:firstLineChars="0"/>
                    <w:jc w:val="center"/>
                    <w:rPr>
                      <w:b/>
                      <w:color w:val="000000" w:themeColor="text1"/>
                      <w:sz w:val="21"/>
                      <w:szCs w:val="21"/>
                    </w:rPr>
                  </w:pPr>
                </w:p>
              </w:tc>
              <w:tc>
                <w:tcPr>
                  <w:tcW w:w="645" w:type="dxa"/>
                  <w:vMerge w:val="continue"/>
                  <w:tcBorders>
                    <w:tl2br w:val="nil"/>
                    <w:tr2bl w:val="nil"/>
                  </w:tcBorders>
                  <w:vAlign w:val="center"/>
                </w:tcPr>
                <w:p w14:paraId="324814C8">
                  <w:pPr>
                    <w:spacing w:line="0" w:lineRule="atLeast"/>
                    <w:ind w:firstLine="0" w:firstLineChars="0"/>
                    <w:jc w:val="center"/>
                    <w:rPr>
                      <w:b/>
                      <w:color w:val="000000" w:themeColor="text1"/>
                      <w:sz w:val="21"/>
                      <w:szCs w:val="21"/>
                    </w:rPr>
                  </w:pPr>
                </w:p>
              </w:tc>
              <w:tc>
                <w:tcPr>
                  <w:tcW w:w="660" w:type="dxa"/>
                  <w:tcBorders>
                    <w:tl2br w:val="nil"/>
                    <w:tr2bl w:val="nil"/>
                  </w:tcBorders>
                  <w:vAlign w:val="center"/>
                </w:tcPr>
                <w:p w14:paraId="719A5233">
                  <w:pPr>
                    <w:spacing w:line="0" w:lineRule="atLeast"/>
                    <w:ind w:firstLine="0" w:firstLineChars="0"/>
                    <w:jc w:val="center"/>
                    <w:rPr>
                      <w:b/>
                      <w:color w:val="000000" w:themeColor="text1"/>
                      <w:sz w:val="21"/>
                      <w:szCs w:val="21"/>
                    </w:rPr>
                  </w:pPr>
                  <w:r>
                    <w:rPr>
                      <w:b/>
                      <w:color w:val="000000" w:themeColor="text1"/>
                      <w:sz w:val="21"/>
                      <w:szCs w:val="21"/>
                    </w:rPr>
                    <w:t>核算方法</w:t>
                  </w:r>
                </w:p>
              </w:tc>
              <w:tc>
                <w:tcPr>
                  <w:tcW w:w="825" w:type="dxa"/>
                  <w:tcBorders>
                    <w:tl2br w:val="nil"/>
                    <w:tr2bl w:val="nil"/>
                  </w:tcBorders>
                  <w:vAlign w:val="center"/>
                </w:tcPr>
                <w:p w14:paraId="3ECBA9E1">
                  <w:pPr>
                    <w:spacing w:line="0" w:lineRule="atLeast"/>
                    <w:ind w:firstLine="0" w:firstLineChars="0"/>
                    <w:jc w:val="center"/>
                    <w:rPr>
                      <w:b/>
                      <w:color w:val="000000" w:themeColor="text1"/>
                      <w:sz w:val="21"/>
                      <w:szCs w:val="21"/>
                    </w:rPr>
                  </w:pPr>
                  <w:r>
                    <w:rPr>
                      <w:b/>
                      <w:color w:val="000000" w:themeColor="text1"/>
                      <w:sz w:val="21"/>
                      <w:szCs w:val="21"/>
                    </w:rPr>
                    <w:t>产生量(t/a)</w:t>
                  </w:r>
                </w:p>
              </w:tc>
              <w:tc>
                <w:tcPr>
                  <w:tcW w:w="840" w:type="dxa"/>
                  <w:tcBorders>
                    <w:tl2br w:val="nil"/>
                    <w:tr2bl w:val="nil"/>
                  </w:tcBorders>
                  <w:vAlign w:val="center"/>
                </w:tcPr>
                <w:p w14:paraId="7BE03EF4">
                  <w:pPr>
                    <w:spacing w:line="0" w:lineRule="atLeast"/>
                    <w:ind w:firstLine="0" w:firstLineChars="0"/>
                    <w:jc w:val="center"/>
                    <w:rPr>
                      <w:b/>
                      <w:color w:val="000000" w:themeColor="text1"/>
                      <w:sz w:val="21"/>
                      <w:szCs w:val="21"/>
                    </w:rPr>
                  </w:pPr>
                  <w:r>
                    <w:rPr>
                      <w:b/>
                      <w:color w:val="000000" w:themeColor="text1"/>
                      <w:sz w:val="21"/>
                      <w:szCs w:val="21"/>
                    </w:rPr>
                    <w:t>产生浓度(mg/m</w:t>
                  </w:r>
                  <w:r>
                    <w:rPr>
                      <w:b/>
                      <w:color w:val="000000" w:themeColor="text1"/>
                      <w:sz w:val="21"/>
                      <w:szCs w:val="21"/>
                      <w:vertAlign w:val="superscript"/>
                    </w:rPr>
                    <w:t>3</w:t>
                  </w:r>
                  <w:r>
                    <w:rPr>
                      <w:b/>
                      <w:color w:val="000000" w:themeColor="text1"/>
                      <w:sz w:val="21"/>
                      <w:szCs w:val="21"/>
                    </w:rPr>
                    <w:t>)</w:t>
                  </w:r>
                </w:p>
              </w:tc>
              <w:tc>
                <w:tcPr>
                  <w:tcW w:w="570" w:type="dxa"/>
                  <w:vMerge w:val="continue"/>
                  <w:tcBorders>
                    <w:tl2br w:val="nil"/>
                    <w:tr2bl w:val="nil"/>
                  </w:tcBorders>
                  <w:vAlign w:val="center"/>
                </w:tcPr>
                <w:p w14:paraId="0F836810">
                  <w:pPr>
                    <w:spacing w:line="0" w:lineRule="atLeast"/>
                    <w:ind w:firstLine="0" w:firstLineChars="0"/>
                    <w:jc w:val="center"/>
                    <w:rPr>
                      <w:b/>
                      <w:color w:val="000000" w:themeColor="text1"/>
                      <w:sz w:val="21"/>
                      <w:szCs w:val="21"/>
                    </w:rPr>
                  </w:pPr>
                </w:p>
              </w:tc>
              <w:tc>
                <w:tcPr>
                  <w:tcW w:w="690" w:type="dxa"/>
                  <w:tcBorders>
                    <w:tl2br w:val="nil"/>
                    <w:tr2bl w:val="nil"/>
                  </w:tcBorders>
                  <w:vAlign w:val="center"/>
                </w:tcPr>
                <w:p w14:paraId="0FCCA000">
                  <w:pPr>
                    <w:spacing w:line="0" w:lineRule="atLeast"/>
                    <w:ind w:firstLine="0" w:firstLineChars="0"/>
                    <w:jc w:val="center"/>
                    <w:rPr>
                      <w:b/>
                      <w:color w:val="000000" w:themeColor="text1"/>
                      <w:sz w:val="21"/>
                      <w:szCs w:val="21"/>
                    </w:rPr>
                  </w:pPr>
                  <w:r>
                    <w:rPr>
                      <w:b/>
                      <w:color w:val="000000" w:themeColor="text1"/>
                      <w:sz w:val="21"/>
                      <w:szCs w:val="21"/>
                    </w:rPr>
                    <w:t>处理能力(m</w:t>
                  </w:r>
                  <w:r>
                    <w:rPr>
                      <w:b/>
                      <w:color w:val="000000" w:themeColor="text1"/>
                      <w:sz w:val="21"/>
                      <w:szCs w:val="21"/>
                      <w:vertAlign w:val="superscript"/>
                    </w:rPr>
                    <w:t>3</w:t>
                  </w:r>
                  <w:r>
                    <w:rPr>
                      <w:b/>
                      <w:color w:val="000000" w:themeColor="text1"/>
                      <w:sz w:val="21"/>
                      <w:szCs w:val="21"/>
                    </w:rPr>
                    <w:t>/h)</w:t>
                  </w:r>
                </w:p>
              </w:tc>
              <w:tc>
                <w:tcPr>
                  <w:tcW w:w="675" w:type="dxa"/>
                  <w:tcBorders>
                    <w:tl2br w:val="nil"/>
                    <w:tr2bl w:val="nil"/>
                  </w:tcBorders>
                  <w:vAlign w:val="center"/>
                </w:tcPr>
                <w:p w14:paraId="38515834">
                  <w:pPr>
                    <w:spacing w:line="0" w:lineRule="atLeast"/>
                    <w:ind w:firstLine="0" w:firstLineChars="0"/>
                    <w:jc w:val="center"/>
                    <w:rPr>
                      <w:b/>
                      <w:color w:val="000000" w:themeColor="text1"/>
                      <w:sz w:val="21"/>
                      <w:szCs w:val="21"/>
                    </w:rPr>
                  </w:pPr>
                  <w:r>
                    <w:rPr>
                      <w:b/>
                      <w:color w:val="000000" w:themeColor="text1"/>
                      <w:sz w:val="21"/>
                      <w:szCs w:val="21"/>
                    </w:rPr>
                    <w:t>收集效率(%)</w:t>
                  </w:r>
                </w:p>
              </w:tc>
              <w:tc>
                <w:tcPr>
                  <w:tcW w:w="2745" w:type="dxa"/>
                  <w:gridSpan w:val="2"/>
                  <w:tcBorders>
                    <w:tl2br w:val="nil"/>
                    <w:tr2bl w:val="nil"/>
                  </w:tcBorders>
                  <w:vAlign w:val="center"/>
                </w:tcPr>
                <w:p w14:paraId="1E56A371">
                  <w:pPr>
                    <w:spacing w:line="0" w:lineRule="atLeast"/>
                    <w:ind w:firstLine="0" w:firstLineChars="0"/>
                    <w:jc w:val="center"/>
                    <w:rPr>
                      <w:b/>
                      <w:color w:val="000000" w:themeColor="text1"/>
                      <w:sz w:val="21"/>
                      <w:szCs w:val="21"/>
                    </w:rPr>
                  </w:pPr>
                  <w:r>
                    <w:rPr>
                      <w:b/>
                      <w:color w:val="000000" w:themeColor="text1"/>
                      <w:sz w:val="21"/>
                      <w:szCs w:val="21"/>
                    </w:rPr>
                    <w:t>工艺</w:t>
                  </w:r>
                </w:p>
              </w:tc>
              <w:tc>
                <w:tcPr>
                  <w:tcW w:w="780" w:type="dxa"/>
                  <w:tcBorders>
                    <w:tl2br w:val="nil"/>
                    <w:tr2bl w:val="nil"/>
                  </w:tcBorders>
                  <w:vAlign w:val="center"/>
                </w:tcPr>
                <w:p w14:paraId="1E721F7F">
                  <w:pPr>
                    <w:spacing w:line="0" w:lineRule="atLeast"/>
                    <w:ind w:firstLine="0" w:firstLineChars="0"/>
                    <w:jc w:val="center"/>
                    <w:rPr>
                      <w:b/>
                      <w:color w:val="000000" w:themeColor="text1"/>
                      <w:sz w:val="21"/>
                      <w:szCs w:val="21"/>
                    </w:rPr>
                  </w:pPr>
                  <w:r>
                    <w:rPr>
                      <w:b/>
                      <w:color w:val="000000" w:themeColor="text1"/>
                      <w:sz w:val="21"/>
                      <w:szCs w:val="21"/>
                    </w:rPr>
                    <w:t>去除率(%)</w:t>
                  </w:r>
                </w:p>
              </w:tc>
              <w:tc>
                <w:tcPr>
                  <w:tcW w:w="855" w:type="dxa"/>
                  <w:tcBorders>
                    <w:tl2br w:val="nil"/>
                    <w:tr2bl w:val="nil"/>
                  </w:tcBorders>
                  <w:vAlign w:val="center"/>
                </w:tcPr>
                <w:p w14:paraId="65C20620">
                  <w:pPr>
                    <w:spacing w:line="0" w:lineRule="atLeast"/>
                    <w:ind w:firstLine="0" w:firstLineChars="0"/>
                    <w:jc w:val="center"/>
                    <w:rPr>
                      <w:b/>
                      <w:color w:val="000000" w:themeColor="text1"/>
                      <w:sz w:val="21"/>
                      <w:szCs w:val="21"/>
                    </w:rPr>
                  </w:pPr>
                  <w:r>
                    <w:rPr>
                      <w:b/>
                      <w:color w:val="000000" w:themeColor="text1"/>
                      <w:sz w:val="21"/>
                      <w:szCs w:val="21"/>
                    </w:rPr>
                    <w:t>是否为可行性技术</w:t>
                  </w:r>
                </w:p>
              </w:tc>
              <w:tc>
                <w:tcPr>
                  <w:tcW w:w="1105" w:type="dxa"/>
                  <w:tcBorders>
                    <w:tl2br w:val="nil"/>
                    <w:tr2bl w:val="nil"/>
                  </w:tcBorders>
                  <w:vAlign w:val="center"/>
                </w:tcPr>
                <w:p w14:paraId="7788F4E5">
                  <w:pPr>
                    <w:spacing w:line="0" w:lineRule="atLeast"/>
                    <w:ind w:firstLine="0" w:firstLineChars="0"/>
                    <w:jc w:val="center"/>
                    <w:rPr>
                      <w:b/>
                      <w:color w:val="000000" w:themeColor="text1"/>
                      <w:sz w:val="21"/>
                      <w:szCs w:val="21"/>
                    </w:rPr>
                  </w:pPr>
                  <w:r>
                    <w:rPr>
                      <w:b/>
                      <w:color w:val="000000" w:themeColor="text1"/>
                      <w:sz w:val="21"/>
                      <w:szCs w:val="21"/>
                    </w:rPr>
                    <w:t>排放浓度(mg/m</w:t>
                  </w:r>
                  <w:r>
                    <w:rPr>
                      <w:b/>
                      <w:color w:val="000000" w:themeColor="text1"/>
                      <w:sz w:val="21"/>
                      <w:szCs w:val="21"/>
                      <w:vertAlign w:val="superscript"/>
                    </w:rPr>
                    <w:t>3</w:t>
                  </w:r>
                  <w:r>
                    <w:rPr>
                      <w:b/>
                      <w:color w:val="000000" w:themeColor="text1"/>
                      <w:sz w:val="21"/>
                      <w:szCs w:val="21"/>
                    </w:rPr>
                    <w:t>)</w:t>
                  </w:r>
                </w:p>
              </w:tc>
              <w:tc>
                <w:tcPr>
                  <w:tcW w:w="594" w:type="dxa"/>
                  <w:tcBorders>
                    <w:tl2br w:val="nil"/>
                    <w:tr2bl w:val="nil"/>
                  </w:tcBorders>
                  <w:vAlign w:val="center"/>
                </w:tcPr>
                <w:p w14:paraId="7B800886">
                  <w:pPr>
                    <w:spacing w:line="0" w:lineRule="atLeast"/>
                    <w:ind w:firstLine="0" w:firstLineChars="0"/>
                    <w:jc w:val="center"/>
                    <w:rPr>
                      <w:b/>
                      <w:color w:val="000000" w:themeColor="text1"/>
                      <w:sz w:val="21"/>
                      <w:szCs w:val="21"/>
                    </w:rPr>
                  </w:pPr>
                  <w:r>
                    <w:rPr>
                      <w:b/>
                      <w:color w:val="000000" w:themeColor="text1"/>
                      <w:sz w:val="21"/>
                      <w:szCs w:val="21"/>
                    </w:rPr>
                    <w:t>排放速率(kg/h)</w:t>
                  </w:r>
                </w:p>
              </w:tc>
              <w:tc>
                <w:tcPr>
                  <w:tcW w:w="676" w:type="dxa"/>
                  <w:tcBorders>
                    <w:tl2br w:val="nil"/>
                    <w:tr2bl w:val="nil"/>
                  </w:tcBorders>
                  <w:vAlign w:val="center"/>
                </w:tcPr>
                <w:p w14:paraId="46E97515">
                  <w:pPr>
                    <w:spacing w:line="0" w:lineRule="atLeast"/>
                    <w:ind w:firstLine="0" w:firstLineChars="0"/>
                    <w:jc w:val="center"/>
                    <w:rPr>
                      <w:b/>
                      <w:color w:val="000000" w:themeColor="text1"/>
                      <w:sz w:val="21"/>
                      <w:szCs w:val="21"/>
                    </w:rPr>
                  </w:pPr>
                  <w:r>
                    <w:rPr>
                      <w:b/>
                      <w:color w:val="000000" w:themeColor="text1"/>
                      <w:sz w:val="21"/>
                      <w:szCs w:val="21"/>
                    </w:rPr>
                    <w:t>有组织排放量(t/a)</w:t>
                  </w:r>
                </w:p>
              </w:tc>
              <w:tc>
                <w:tcPr>
                  <w:tcW w:w="665" w:type="dxa"/>
                  <w:tcBorders>
                    <w:tl2br w:val="nil"/>
                    <w:tr2bl w:val="nil"/>
                  </w:tcBorders>
                  <w:vAlign w:val="center"/>
                </w:tcPr>
                <w:p w14:paraId="4D234964">
                  <w:pPr>
                    <w:spacing w:line="0" w:lineRule="atLeast"/>
                    <w:ind w:firstLine="0" w:firstLineChars="0"/>
                    <w:jc w:val="center"/>
                    <w:rPr>
                      <w:b/>
                      <w:color w:val="000000" w:themeColor="text1"/>
                      <w:sz w:val="21"/>
                      <w:szCs w:val="21"/>
                    </w:rPr>
                  </w:pPr>
                  <w:r>
                    <w:rPr>
                      <w:b/>
                      <w:color w:val="000000" w:themeColor="text1"/>
                      <w:sz w:val="21"/>
                      <w:szCs w:val="21"/>
                    </w:rPr>
                    <w:t>无组织排放量(t/a)</w:t>
                  </w:r>
                </w:p>
              </w:tc>
            </w:tr>
            <w:tr w14:paraId="34DCC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restart"/>
                  <w:tcBorders>
                    <w:tl2br w:val="nil"/>
                    <w:tr2bl w:val="nil"/>
                  </w:tcBorders>
                  <w:vAlign w:val="center"/>
                </w:tcPr>
                <w:p w14:paraId="4A79F053">
                  <w:pPr>
                    <w:pStyle w:val="15"/>
                    <w:spacing w:after="0" w:line="240" w:lineRule="auto"/>
                    <w:ind w:left="0" w:leftChars="0" w:right="0" w:rightChars="0" w:firstLine="0" w:firstLineChars="0"/>
                    <w:jc w:val="center"/>
                    <w:rPr>
                      <w:bCs/>
                      <w:color w:val="000000" w:themeColor="text1"/>
                      <w:sz w:val="21"/>
                      <w:szCs w:val="21"/>
                    </w:rPr>
                  </w:pPr>
                  <w:r>
                    <w:rPr>
                      <w:rFonts w:hint="eastAsia"/>
                      <w:bCs/>
                      <w:color w:val="000000" w:themeColor="text1"/>
                      <w:sz w:val="21"/>
                      <w:szCs w:val="21"/>
                    </w:rPr>
                    <w:t>烘干废气</w:t>
                  </w:r>
                  <w:r>
                    <w:rPr>
                      <w:rFonts w:hint="eastAsia"/>
                      <w:color w:val="000000" w:themeColor="text1"/>
                      <w:sz w:val="21"/>
                      <w:szCs w:val="21"/>
                    </w:rPr>
                    <w:t>（</w:t>
                  </w:r>
                  <w:r>
                    <w:rPr>
                      <w:color w:val="000000" w:themeColor="text1"/>
                      <w:sz w:val="21"/>
                      <w:szCs w:val="21"/>
                    </w:rPr>
                    <w:t>包括热风炉燃料燃烧废气和物料烘干工艺废气</w:t>
                  </w:r>
                  <w:r>
                    <w:rPr>
                      <w:rFonts w:hint="eastAsia"/>
                      <w:color w:val="000000" w:themeColor="text1"/>
                      <w:sz w:val="21"/>
                      <w:szCs w:val="21"/>
                    </w:rPr>
                    <w:t>）</w:t>
                  </w:r>
                </w:p>
              </w:tc>
              <w:tc>
                <w:tcPr>
                  <w:tcW w:w="645" w:type="dxa"/>
                  <w:tcBorders>
                    <w:tl2br w:val="nil"/>
                    <w:tr2bl w:val="nil"/>
                  </w:tcBorders>
                  <w:vAlign w:val="center"/>
                </w:tcPr>
                <w:p w14:paraId="6D747A79">
                  <w:pPr>
                    <w:pStyle w:val="35"/>
                    <w:spacing w:line="0" w:lineRule="atLeast"/>
                    <w:ind w:left="0" w:leftChars="0" w:right="0" w:rightChars="0"/>
                    <w:rPr>
                      <w:color w:val="000000" w:themeColor="text1"/>
                    </w:rPr>
                  </w:pPr>
                  <w:r>
                    <w:rPr>
                      <w:color w:val="000000" w:themeColor="text1"/>
                    </w:rPr>
                    <w:t>颗粒物</w:t>
                  </w:r>
                </w:p>
              </w:tc>
              <w:tc>
                <w:tcPr>
                  <w:tcW w:w="660" w:type="dxa"/>
                  <w:tcBorders>
                    <w:tl2br w:val="nil"/>
                    <w:tr2bl w:val="nil"/>
                  </w:tcBorders>
                  <w:vAlign w:val="center"/>
                </w:tcPr>
                <w:p w14:paraId="1C7956B3">
                  <w:pPr>
                    <w:spacing w:line="0" w:lineRule="atLeast"/>
                    <w:ind w:firstLine="0" w:firstLineChars="0"/>
                    <w:jc w:val="center"/>
                    <w:rPr>
                      <w:bCs/>
                      <w:color w:val="000000" w:themeColor="text1"/>
                      <w:sz w:val="21"/>
                      <w:szCs w:val="21"/>
                    </w:rPr>
                  </w:pPr>
                  <w:r>
                    <w:rPr>
                      <w:bCs/>
                      <w:color w:val="000000" w:themeColor="text1"/>
                      <w:sz w:val="21"/>
                      <w:szCs w:val="21"/>
                    </w:rPr>
                    <w:t>产污系数法</w:t>
                  </w:r>
                </w:p>
              </w:tc>
              <w:tc>
                <w:tcPr>
                  <w:tcW w:w="825" w:type="dxa"/>
                  <w:tcBorders>
                    <w:tl2br w:val="nil"/>
                    <w:tr2bl w:val="nil"/>
                  </w:tcBorders>
                  <w:vAlign w:val="center"/>
                </w:tcPr>
                <w:p w14:paraId="1FB7C2DD">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sz w:val="21"/>
                      <w:szCs w:val="21"/>
                    </w:rPr>
                    <w:t>52.433</w:t>
                  </w:r>
                </w:p>
              </w:tc>
              <w:tc>
                <w:tcPr>
                  <w:tcW w:w="840" w:type="dxa"/>
                  <w:tcBorders>
                    <w:tl2br w:val="nil"/>
                    <w:tr2bl w:val="nil"/>
                  </w:tcBorders>
                  <w:vAlign w:val="center"/>
                </w:tcPr>
                <w:p w14:paraId="424322CE">
                  <w:pPr>
                    <w:spacing w:line="0" w:lineRule="atLeast"/>
                    <w:ind w:firstLine="0" w:firstLineChars="0"/>
                    <w:jc w:val="center"/>
                    <w:rPr>
                      <w:bCs/>
                      <w:color w:val="000000" w:themeColor="text1"/>
                      <w:sz w:val="21"/>
                      <w:szCs w:val="21"/>
                    </w:rPr>
                  </w:pPr>
                  <w:r>
                    <w:rPr>
                      <w:rFonts w:hint="eastAsia"/>
                      <w:bCs/>
                      <w:color w:val="000000" w:themeColor="text1"/>
                      <w:sz w:val="21"/>
                      <w:szCs w:val="21"/>
                    </w:rPr>
                    <w:t>1456.5</w:t>
                  </w:r>
                </w:p>
              </w:tc>
              <w:tc>
                <w:tcPr>
                  <w:tcW w:w="570" w:type="dxa"/>
                  <w:vMerge w:val="restart"/>
                  <w:tcBorders>
                    <w:tl2br w:val="nil"/>
                    <w:tr2bl w:val="nil"/>
                  </w:tcBorders>
                  <w:vAlign w:val="center"/>
                </w:tcPr>
                <w:p w14:paraId="3ACCB9DD">
                  <w:pPr>
                    <w:spacing w:line="0" w:lineRule="atLeast"/>
                    <w:ind w:firstLine="0" w:firstLineChars="0"/>
                    <w:jc w:val="center"/>
                    <w:rPr>
                      <w:bCs/>
                      <w:color w:val="000000" w:themeColor="text1"/>
                      <w:sz w:val="21"/>
                      <w:szCs w:val="21"/>
                    </w:rPr>
                  </w:pPr>
                  <w:r>
                    <w:rPr>
                      <w:bCs/>
                      <w:color w:val="000000" w:themeColor="text1"/>
                      <w:sz w:val="21"/>
                      <w:szCs w:val="21"/>
                    </w:rPr>
                    <w:t>有组织</w:t>
                  </w:r>
                </w:p>
              </w:tc>
              <w:tc>
                <w:tcPr>
                  <w:tcW w:w="690" w:type="dxa"/>
                  <w:vMerge w:val="restart"/>
                  <w:tcBorders>
                    <w:tl2br w:val="nil"/>
                    <w:tr2bl w:val="nil"/>
                  </w:tcBorders>
                  <w:vAlign w:val="center"/>
                </w:tcPr>
                <w:p w14:paraId="59DFEA4F">
                  <w:pPr>
                    <w:spacing w:line="0" w:lineRule="atLeast"/>
                    <w:ind w:firstLine="0" w:firstLineChars="0"/>
                    <w:jc w:val="center"/>
                    <w:rPr>
                      <w:bCs/>
                      <w:color w:val="000000" w:themeColor="text1"/>
                      <w:sz w:val="21"/>
                      <w:szCs w:val="21"/>
                    </w:rPr>
                  </w:pPr>
                  <w:r>
                    <w:rPr>
                      <w:rFonts w:hint="eastAsia"/>
                      <w:bCs/>
                      <w:color w:val="000000" w:themeColor="text1"/>
                      <w:sz w:val="21"/>
                      <w:szCs w:val="21"/>
                    </w:rPr>
                    <w:t>20000</w:t>
                  </w:r>
                </w:p>
              </w:tc>
              <w:tc>
                <w:tcPr>
                  <w:tcW w:w="675" w:type="dxa"/>
                  <w:vMerge w:val="restart"/>
                  <w:tcBorders>
                    <w:tl2br w:val="nil"/>
                    <w:tr2bl w:val="nil"/>
                  </w:tcBorders>
                  <w:vAlign w:val="center"/>
                </w:tcPr>
                <w:p w14:paraId="3F5BA6D1">
                  <w:pPr>
                    <w:spacing w:line="0" w:lineRule="atLeast"/>
                    <w:ind w:firstLine="0" w:firstLineChars="0"/>
                    <w:jc w:val="center"/>
                    <w:rPr>
                      <w:bCs/>
                      <w:color w:val="000000" w:themeColor="text1"/>
                      <w:sz w:val="21"/>
                      <w:szCs w:val="21"/>
                    </w:rPr>
                  </w:pPr>
                  <w:r>
                    <w:rPr>
                      <w:rFonts w:hint="eastAsia"/>
                      <w:bCs/>
                      <w:color w:val="000000" w:themeColor="text1"/>
                      <w:sz w:val="21"/>
                      <w:szCs w:val="21"/>
                    </w:rPr>
                    <w:t>100</w:t>
                  </w:r>
                </w:p>
              </w:tc>
              <w:tc>
                <w:tcPr>
                  <w:tcW w:w="2745" w:type="dxa"/>
                  <w:gridSpan w:val="2"/>
                  <w:vMerge w:val="restart"/>
                  <w:tcBorders>
                    <w:tl2br w:val="nil"/>
                    <w:tr2bl w:val="nil"/>
                  </w:tcBorders>
                  <w:vAlign w:val="center"/>
                </w:tcPr>
                <w:p w14:paraId="11FF5227">
                  <w:pPr>
                    <w:spacing w:line="0" w:lineRule="atLeast"/>
                    <w:ind w:firstLine="0" w:firstLineChars="0"/>
                    <w:jc w:val="center"/>
                    <w:rPr>
                      <w:color w:val="000000" w:themeColor="text1"/>
                      <w:sz w:val="21"/>
                      <w:szCs w:val="21"/>
                    </w:rPr>
                  </w:pPr>
                  <w:r>
                    <w:rPr>
                      <w:rFonts w:hint="eastAsia"/>
                      <w:color w:val="000000" w:themeColor="text1"/>
                      <w:sz w:val="21"/>
                      <w:szCs w:val="21"/>
                    </w:rPr>
                    <w:t>烘干机设备密闭，烘干方式为热风直接与物料接触烘干，烘干废气经烘干机废气出口设置的集气管道收集后，通过“沙克龙除尘器+布袋除尘器”处理后由1根15m高排气筒（DA001）排放</w:t>
                  </w:r>
                </w:p>
              </w:tc>
              <w:tc>
                <w:tcPr>
                  <w:tcW w:w="780" w:type="dxa"/>
                  <w:tcBorders>
                    <w:tl2br w:val="nil"/>
                    <w:tr2bl w:val="nil"/>
                  </w:tcBorders>
                  <w:vAlign w:val="center"/>
                </w:tcPr>
                <w:p w14:paraId="7B63FD03">
                  <w:pPr>
                    <w:spacing w:line="0" w:lineRule="atLeast"/>
                    <w:ind w:firstLine="0" w:firstLineChars="0"/>
                    <w:jc w:val="center"/>
                    <w:rPr>
                      <w:bCs/>
                      <w:color w:val="000000" w:themeColor="text1"/>
                      <w:sz w:val="21"/>
                      <w:szCs w:val="21"/>
                    </w:rPr>
                  </w:pPr>
                  <w:r>
                    <w:rPr>
                      <w:rFonts w:hint="eastAsia"/>
                      <w:bCs/>
                      <w:color w:val="000000" w:themeColor="text1"/>
                      <w:sz w:val="21"/>
                      <w:szCs w:val="21"/>
                    </w:rPr>
                    <w:t>99.9</w:t>
                  </w:r>
                </w:p>
              </w:tc>
              <w:tc>
                <w:tcPr>
                  <w:tcW w:w="855" w:type="dxa"/>
                  <w:vMerge w:val="restart"/>
                  <w:tcBorders>
                    <w:tl2br w:val="nil"/>
                    <w:tr2bl w:val="nil"/>
                  </w:tcBorders>
                  <w:vAlign w:val="center"/>
                </w:tcPr>
                <w:p w14:paraId="54426EC1">
                  <w:pPr>
                    <w:spacing w:line="0" w:lineRule="atLeast"/>
                    <w:ind w:firstLine="0" w:firstLineChars="0"/>
                    <w:jc w:val="center"/>
                    <w:rPr>
                      <w:bCs/>
                      <w:color w:val="000000" w:themeColor="text1"/>
                      <w:sz w:val="21"/>
                      <w:szCs w:val="21"/>
                    </w:rPr>
                  </w:pPr>
                  <w:r>
                    <w:rPr>
                      <w:bCs/>
                      <w:color w:val="000000" w:themeColor="text1"/>
                      <w:sz w:val="21"/>
                      <w:szCs w:val="21"/>
                    </w:rPr>
                    <w:t>是</w:t>
                  </w:r>
                </w:p>
              </w:tc>
              <w:tc>
                <w:tcPr>
                  <w:tcW w:w="1105" w:type="dxa"/>
                  <w:tcBorders>
                    <w:tl2br w:val="nil"/>
                    <w:tr2bl w:val="nil"/>
                  </w:tcBorders>
                  <w:vAlign w:val="center"/>
                </w:tcPr>
                <w:p w14:paraId="5A2BA05B">
                  <w:pPr>
                    <w:spacing w:line="0" w:lineRule="atLeast"/>
                    <w:ind w:firstLine="0" w:firstLineChars="0"/>
                    <w:jc w:val="center"/>
                    <w:rPr>
                      <w:bCs/>
                      <w:color w:val="000000" w:themeColor="text1"/>
                      <w:sz w:val="21"/>
                      <w:szCs w:val="21"/>
                    </w:rPr>
                  </w:pPr>
                  <w:r>
                    <w:rPr>
                      <w:rFonts w:hint="eastAsia"/>
                      <w:color w:val="000000" w:themeColor="text1"/>
                      <w:sz w:val="21"/>
                      <w:szCs w:val="21"/>
                    </w:rPr>
                    <w:t>1.5（折算浓度25.0）</w:t>
                  </w:r>
                </w:p>
              </w:tc>
              <w:tc>
                <w:tcPr>
                  <w:tcW w:w="594" w:type="dxa"/>
                  <w:tcBorders>
                    <w:tl2br w:val="nil"/>
                    <w:tr2bl w:val="nil"/>
                  </w:tcBorders>
                  <w:vAlign w:val="center"/>
                </w:tcPr>
                <w:p w14:paraId="2A260EB5">
                  <w:pPr>
                    <w:spacing w:line="0" w:lineRule="atLeast"/>
                    <w:ind w:firstLine="0" w:firstLineChars="0"/>
                    <w:jc w:val="center"/>
                    <w:rPr>
                      <w:bCs/>
                      <w:color w:val="000000" w:themeColor="text1"/>
                      <w:sz w:val="21"/>
                      <w:szCs w:val="21"/>
                    </w:rPr>
                  </w:pPr>
                  <w:r>
                    <w:rPr>
                      <w:rFonts w:hint="eastAsia"/>
                      <w:color w:val="000000" w:themeColor="text1"/>
                      <w:sz w:val="21"/>
                      <w:szCs w:val="21"/>
                    </w:rPr>
                    <w:t>0.029</w:t>
                  </w:r>
                </w:p>
              </w:tc>
              <w:tc>
                <w:tcPr>
                  <w:tcW w:w="676" w:type="dxa"/>
                  <w:tcBorders>
                    <w:tl2br w:val="nil"/>
                    <w:tr2bl w:val="nil"/>
                  </w:tcBorders>
                  <w:vAlign w:val="center"/>
                </w:tcPr>
                <w:p w14:paraId="58305578">
                  <w:pPr>
                    <w:spacing w:line="0" w:lineRule="atLeast"/>
                    <w:ind w:firstLine="0" w:firstLineChars="0"/>
                    <w:jc w:val="center"/>
                    <w:rPr>
                      <w:bCs/>
                      <w:color w:val="000000" w:themeColor="text1"/>
                      <w:sz w:val="21"/>
                      <w:szCs w:val="21"/>
                    </w:rPr>
                  </w:pPr>
                  <w:r>
                    <w:rPr>
                      <w:rFonts w:hint="eastAsia"/>
                      <w:color w:val="000000" w:themeColor="text1"/>
                      <w:sz w:val="21"/>
                      <w:szCs w:val="21"/>
                    </w:rPr>
                    <w:t>0.052</w:t>
                  </w:r>
                </w:p>
              </w:tc>
              <w:tc>
                <w:tcPr>
                  <w:tcW w:w="665" w:type="dxa"/>
                  <w:tcBorders>
                    <w:tl2br w:val="nil"/>
                    <w:tr2bl w:val="nil"/>
                  </w:tcBorders>
                  <w:vAlign w:val="center"/>
                </w:tcPr>
                <w:p w14:paraId="2471DB1D">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61F232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637B7A34">
                  <w:pPr>
                    <w:pStyle w:val="15"/>
                    <w:spacing w:after="0" w:line="240" w:lineRule="auto"/>
                    <w:ind w:left="0" w:leftChars="0" w:right="0" w:rightChars="0" w:firstLine="0" w:firstLineChars="0"/>
                    <w:jc w:val="center"/>
                    <w:rPr>
                      <w:bCs/>
                      <w:color w:val="000000" w:themeColor="text1"/>
                      <w:sz w:val="21"/>
                      <w:szCs w:val="21"/>
                    </w:rPr>
                  </w:pPr>
                </w:p>
              </w:tc>
              <w:tc>
                <w:tcPr>
                  <w:tcW w:w="645" w:type="dxa"/>
                  <w:tcBorders>
                    <w:tl2br w:val="nil"/>
                    <w:tr2bl w:val="nil"/>
                  </w:tcBorders>
                  <w:vAlign w:val="center"/>
                </w:tcPr>
                <w:p w14:paraId="27F8D57F">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660" w:type="dxa"/>
                  <w:tcBorders>
                    <w:tl2br w:val="nil"/>
                    <w:tr2bl w:val="nil"/>
                  </w:tcBorders>
                  <w:vAlign w:val="center"/>
                </w:tcPr>
                <w:p w14:paraId="75C7FFBC">
                  <w:pPr>
                    <w:spacing w:line="0" w:lineRule="atLeast"/>
                    <w:ind w:firstLine="0" w:firstLineChars="0"/>
                    <w:jc w:val="center"/>
                    <w:rPr>
                      <w:bCs/>
                      <w:color w:val="000000" w:themeColor="text1"/>
                      <w:sz w:val="21"/>
                      <w:szCs w:val="21"/>
                    </w:rPr>
                  </w:pPr>
                  <w:r>
                    <w:rPr>
                      <w:rFonts w:hint="eastAsia"/>
                      <w:bCs/>
                      <w:color w:val="000000" w:themeColor="text1"/>
                      <w:sz w:val="21"/>
                      <w:szCs w:val="21"/>
                    </w:rPr>
                    <w:t>产污系数法</w:t>
                  </w:r>
                </w:p>
              </w:tc>
              <w:tc>
                <w:tcPr>
                  <w:tcW w:w="825" w:type="dxa"/>
                  <w:tcBorders>
                    <w:tl2br w:val="nil"/>
                    <w:tr2bl w:val="nil"/>
                  </w:tcBorders>
                  <w:vAlign w:val="center"/>
                </w:tcPr>
                <w:p w14:paraId="6BB5F7F0">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sz w:val="21"/>
                      <w:szCs w:val="21"/>
                    </w:rPr>
                    <w:t>0.279</w:t>
                  </w:r>
                </w:p>
              </w:tc>
              <w:tc>
                <w:tcPr>
                  <w:tcW w:w="840" w:type="dxa"/>
                  <w:tcBorders>
                    <w:tl2br w:val="nil"/>
                    <w:tr2bl w:val="nil"/>
                  </w:tcBorders>
                  <w:vAlign w:val="center"/>
                </w:tcPr>
                <w:p w14:paraId="329A6321">
                  <w:pPr>
                    <w:spacing w:line="0" w:lineRule="atLeast"/>
                    <w:ind w:firstLine="0" w:firstLineChars="0"/>
                    <w:jc w:val="center"/>
                    <w:rPr>
                      <w:bCs/>
                      <w:color w:val="000000" w:themeColor="text1"/>
                      <w:sz w:val="21"/>
                      <w:szCs w:val="21"/>
                    </w:rPr>
                  </w:pPr>
                  <w:r>
                    <w:rPr>
                      <w:rFonts w:hint="eastAsia"/>
                      <w:bCs/>
                      <w:color w:val="000000" w:themeColor="text1"/>
                      <w:sz w:val="21"/>
                      <w:szCs w:val="21"/>
                    </w:rPr>
                    <w:t>7.8</w:t>
                  </w:r>
                </w:p>
              </w:tc>
              <w:tc>
                <w:tcPr>
                  <w:tcW w:w="570" w:type="dxa"/>
                  <w:vMerge w:val="continue"/>
                  <w:tcBorders>
                    <w:tl2br w:val="nil"/>
                    <w:tr2bl w:val="nil"/>
                  </w:tcBorders>
                  <w:vAlign w:val="center"/>
                </w:tcPr>
                <w:p w14:paraId="12CD96EA">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67100EDA">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4152C833">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48C6CD11">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459A4E99">
                  <w:pPr>
                    <w:spacing w:line="0" w:lineRule="atLeast"/>
                    <w:ind w:firstLine="0" w:firstLineChars="0"/>
                    <w:jc w:val="center"/>
                    <w:rPr>
                      <w:bCs/>
                      <w:color w:val="000000" w:themeColor="text1"/>
                      <w:sz w:val="21"/>
                      <w:szCs w:val="21"/>
                    </w:rPr>
                  </w:pPr>
                  <w:r>
                    <w:rPr>
                      <w:rFonts w:hint="eastAsia"/>
                      <w:bCs/>
                      <w:color w:val="000000" w:themeColor="text1"/>
                      <w:sz w:val="21"/>
                      <w:szCs w:val="21"/>
                    </w:rPr>
                    <w:t>0</w:t>
                  </w:r>
                </w:p>
              </w:tc>
              <w:tc>
                <w:tcPr>
                  <w:tcW w:w="855" w:type="dxa"/>
                  <w:vMerge w:val="continue"/>
                  <w:tcBorders>
                    <w:tl2br w:val="nil"/>
                    <w:tr2bl w:val="nil"/>
                  </w:tcBorders>
                  <w:vAlign w:val="center"/>
                </w:tcPr>
                <w:p w14:paraId="7ED92AB3">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41B5AF48">
                  <w:pPr>
                    <w:spacing w:line="0" w:lineRule="atLeast"/>
                    <w:ind w:firstLine="0" w:firstLineChars="0"/>
                    <w:jc w:val="center"/>
                    <w:rPr>
                      <w:bCs/>
                      <w:color w:val="000000" w:themeColor="text1"/>
                      <w:sz w:val="21"/>
                      <w:szCs w:val="21"/>
                    </w:rPr>
                  </w:pPr>
                  <w:r>
                    <w:rPr>
                      <w:rFonts w:hint="eastAsia"/>
                      <w:color w:val="000000" w:themeColor="text1"/>
                      <w:sz w:val="21"/>
                      <w:szCs w:val="21"/>
                    </w:rPr>
                    <w:t>7.8（折算浓度130.2）</w:t>
                  </w:r>
                </w:p>
              </w:tc>
              <w:tc>
                <w:tcPr>
                  <w:tcW w:w="594" w:type="dxa"/>
                  <w:tcBorders>
                    <w:tl2br w:val="nil"/>
                    <w:tr2bl w:val="nil"/>
                  </w:tcBorders>
                  <w:vAlign w:val="center"/>
                </w:tcPr>
                <w:p w14:paraId="7E133145">
                  <w:pPr>
                    <w:spacing w:line="0" w:lineRule="atLeast"/>
                    <w:ind w:firstLine="0" w:firstLineChars="0"/>
                    <w:jc w:val="center"/>
                    <w:rPr>
                      <w:bCs/>
                      <w:color w:val="000000" w:themeColor="text1"/>
                      <w:sz w:val="21"/>
                      <w:szCs w:val="21"/>
                    </w:rPr>
                  </w:pPr>
                  <w:r>
                    <w:rPr>
                      <w:rFonts w:hint="eastAsia"/>
                      <w:color w:val="000000" w:themeColor="text1"/>
                      <w:sz w:val="21"/>
                      <w:szCs w:val="21"/>
                    </w:rPr>
                    <w:t>0.155</w:t>
                  </w:r>
                </w:p>
              </w:tc>
              <w:tc>
                <w:tcPr>
                  <w:tcW w:w="676" w:type="dxa"/>
                  <w:tcBorders>
                    <w:tl2br w:val="nil"/>
                    <w:tr2bl w:val="nil"/>
                  </w:tcBorders>
                  <w:vAlign w:val="center"/>
                </w:tcPr>
                <w:p w14:paraId="4A6665D9">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c>
                <w:tcPr>
                  <w:tcW w:w="665" w:type="dxa"/>
                  <w:tcBorders>
                    <w:tl2br w:val="nil"/>
                    <w:tr2bl w:val="nil"/>
                  </w:tcBorders>
                  <w:vAlign w:val="center"/>
                </w:tcPr>
                <w:p w14:paraId="318F9033">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1B84A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69BAEF48">
                  <w:pPr>
                    <w:pStyle w:val="15"/>
                    <w:spacing w:after="0" w:line="240" w:lineRule="auto"/>
                    <w:ind w:left="0" w:leftChars="0" w:right="0" w:rightChars="0" w:firstLine="0" w:firstLineChars="0"/>
                    <w:jc w:val="center"/>
                    <w:rPr>
                      <w:color w:val="000000" w:themeColor="text1"/>
                      <w:spacing w:val="-6"/>
                      <w:sz w:val="21"/>
                      <w:szCs w:val="21"/>
                    </w:rPr>
                  </w:pPr>
                </w:p>
              </w:tc>
              <w:tc>
                <w:tcPr>
                  <w:tcW w:w="645" w:type="dxa"/>
                  <w:tcBorders>
                    <w:tl2br w:val="nil"/>
                    <w:tr2bl w:val="nil"/>
                  </w:tcBorders>
                  <w:vAlign w:val="center"/>
                </w:tcPr>
                <w:p w14:paraId="5B4D79C7">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660" w:type="dxa"/>
                  <w:tcBorders>
                    <w:tl2br w:val="nil"/>
                    <w:tr2bl w:val="nil"/>
                  </w:tcBorders>
                  <w:vAlign w:val="center"/>
                </w:tcPr>
                <w:p w14:paraId="5108CCDE">
                  <w:pPr>
                    <w:spacing w:line="0" w:lineRule="atLeast"/>
                    <w:ind w:firstLine="0" w:firstLineChars="0"/>
                    <w:jc w:val="center"/>
                    <w:rPr>
                      <w:bCs/>
                      <w:color w:val="000000" w:themeColor="text1"/>
                      <w:sz w:val="21"/>
                      <w:szCs w:val="21"/>
                    </w:rPr>
                  </w:pPr>
                  <w:r>
                    <w:rPr>
                      <w:bCs/>
                      <w:color w:val="000000" w:themeColor="text1"/>
                      <w:sz w:val="21"/>
                      <w:szCs w:val="21"/>
                    </w:rPr>
                    <w:t>产污系数法</w:t>
                  </w:r>
                </w:p>
              </w:tc>
              <w:tc>
                <w:tcPr>
                  <w:tcW w:w="825" w:type="dxa"/>
                  <w:tcBorders>
                    <w:tl2br w:val="nil"/>
                    <w:tr2bl w:val="nil"/>
                  </w:tcBorders>
                  <w:vAlign w:val="center"/>
                </w:tcPr>
                <w:p w14:paraId="10ED03C9">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sz w:val="21"/>
                      <w:szCs w:val="21"/>
                    </w:rPr>
                    <w:t>0.335</w:t>
                  </w:r>
                </w:p>
              </w:tc>
              <w:tc>
                <w:tcPr>
                  <w:tcW w:w="840" w:type="dxa"/>
                  <w:tcBorders>
                    <w:tl2br w:val="nil"/>
                    <w:tr2bl w:val="nil"/>
                  </w:tcBorders>
                  <w:vAlign w:val="center"/>
                </w:tcPr>
                <w:p w14:paraId="10FA72D0">
                  <w:pPr>
                    <w:spacing w:line="0" w:lineRule="atLeast"/>
                    <w:ind w:firstLine="0" w:firstLineChars="0"/>
                    <w:jc w:val="center"/>
                    <w:rPr>
                      <w:bCs/>
                      <w:color w:val="000000" w:themeColor="text1"/>
                      <w:sz w:val="21"/>
                      <w:szCs w:val="21"/>
                    </w:rPr>
                  </w:pPr>
                  <w:r>
                    <w:rPr>
                      <w:rFonts w:hint="eastAsia"/>
                      <w:bCs/>
                      <w:color w:val="000000" w:themeColor="text1"/>
                      <w:sz w:val="21"/>
                      <w:szCs w:val="21"/>
                    </w:rPr>
                    <w:t>9.3</w:t>
                  </w:r>
                </w:p>
              </w:tc>
              <w:tc>
                <w:tcPr>
                  <w:tcW w:w="570" w:type="dxa"/>
                  <w:vMerge w:val="continue"/>
                  <w:tcBorders>
                    <w:tl2br w:val="nil"/>
                    <w:tr2bl w:val="nil"/>
                  </w:tcBorders>
                  <w:vAlign w:val="center"/>
                </w:tcPr>
                <w:p w14:paraId="6E28A9B6">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544D3A4C">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2EEA3845">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5A7AEDB1">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6E35B1F4">
                  <w:pPr>
                    <w:spacing w:line="0" w:lineRule="atLeast"/>
                    <w:ind w:firstLine="0" w:firstLineChars="0"/>
                    <w:jc w:val="center"/>
                    <w:rPr>
                      <w:bCs/>
                      <w:color w:val="000000" w:themeColor="text1"/>
                      <w:sz w:val="21"/>
                      <w:szCs w:val="21"/>
                    </w:rPr>
                  </w:pPr>
                  <w:r>
                    <w:rPr>
                      <w:rFonts w:hint="eastAsia"/>
                      <w:bCs/>
                      <w:color w:val="000000" w:themeColor="text1"/>
                      <w:sz w:val="21"/>
                      <w:szCs w:val="21"/>
                    </w:rPr>
                    <w:t>0</w:t>
                  </w:r>
                </w:p>
              </w:tc>
              <w:tc>
                <w:tcPr>
                  <w:tcW w:w="855" w:type="dxa"/>
                  <w:vMerge w:val="continue"/>
                  <w:tcBorders>
                    <w:tl2br w:val="nil"/>
                    <w:tr2bl w:val="nil"/>
                  </w:tcBorders>
                  <w:vAlign w:val="center"/>
                </w:tcPr>
                <w:p w14:paraId="21098CB3">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07E30653">
                  <w:pPr>
                    <w:spacing w:line="0" w:lineRule="atLeast"/>
                    <w:ind w:firstLine="0" w:firstLineChars="0"/>
                    <w:jc w:val="center"/>
                    <w:rPr>
                      <w:bCs/>
                      <w:color w:val="000000" w:themeColor="text1"/>
                      <w:sz w:val="21"/>
                      <w:szCs w:val="21"/>
                    </w:rPr>
                  </w:pPr>
                  <w:r>
                    <w:rPr>
                      <w:rFonts w:hint="eastAsia"/>
                      <w:color w:val="000000" w:themeColor="text1"/>
                      <w:sz w:val="21"/>
                      <w:szCs w:val="21"/>
                    </w:rPr>
                    <w:t>9.3（折算浓度155.2）</w:t>
                  </w:r>
                </w:p>
              </w:tc>
              <w:tc>
                <w:tcPr>
                  <w:tcW w:w="594" w:type="dxa"/>
                  <w:tcBorders>
                    <w:tl2br w:val="nil"/>
                    <w:tr2bl w:val="nil"/>
                  </w:tcBorders>
                  <w:vAlign w:val="center"/>
                </w:tcPr>
                <w:p w14:paraId="6E0AAC39">
                  <w:pPr>
                    <w:spacing w:line="0" w:lineRule="atLeast"/>
                    <w:ind w:firstLine="0" w:firstLineChars="0"/>
                    <w:jc w:val="center"/>
                    <w:rPr>
                      <w:bCs/>
                      <w:color w:val="000000" w:themeColor="text1"/>
                      <w:sz w:val="21"/>
                      <w:szCs w:val="21"/>
                    </w:rPr>
                  </w:pPr>
                  <w:r>
                    <w:rPr>
                      <w:rFonts w:hint="eastAsia"/>
                      <w:color w:val="000000" w:themeColor="text1"/>
                      <w:sz w:val="21"/>
                      <w:szCs w:val="21"/>
                    </w:rPr>
                    <w:t>0.186</w:t>
                  </w:r>
                </w:p>
              </w:tc>
              <w:tc>
                <w:tcPr>
                  <w:tcW w:w="676" w:type="dxa"/>
                  <w:tcBorders>
                    <w:tl2br w:val="nil"/>
                    <w:tr2bl w:val="nil"/>
                  </w:tcBorders>
                  <w:vAlign w:val="center"/>
                </w:tcPr>
                <w:p w14:paraId="0C33D41A">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c>
                <w:tcPr>
                  <w:tcW w:w="665" w:type="dxa"/>
                  <w:tcBorders>
                    <w:tl2br w:val="nil"/>
                    <w:tr2bl w:val="nil"/>
                  </w:tcBorders>
                  <w:vAlign w:val="center"/>
                </w:tcPr>
                <w:p w14:paraId="197F3FC7">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0B6D0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084F7EE4">
                  <w:pPr>
                    <w:pStyle w:val="15"/>
                    <w:spacing w:after="0" w:line="240" w:lineRule="auto"/>
                    <w:ind w:left="0" w:leftChars="0" w:right="0" w:rightChars="0" w:firstLine="0" w:firstLineChars="0"/>
                    <w:jc w:val="center"/>
                    <w:rPr>
                      <w:color w:val="000000" w:themeColor="text1"/>
                      <w:spacing w:val="-6"/>
                      <w:sz w:val="21"/>
                      <w:szCs w:val="21"/>
                    </w:rPr>
                  </w:pPr>
                </w:p>
              </w:tc>
              <w:tc>
                <w:tcPr>
                  <w:tcW w:w="645" w:type="dxa"/>
                  <w:tcBorders>
                    <w:tl2br w:val="nil"/>
                    <w:tr2bl w:val="nil"/>
                  </w:tcBorders>
                  <w:vAlign w:val="center"/>
                </w:tcPr>
                <w:p w14:paraId="2FBFAE03">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660" w:type="dxa"/>
                  <w:tcBorders>
                    <w:tl2br w:val="nil"/>
                    <w:tr2bl w:val="nil"/>
                  </w:tcBorders>
                  <w:vAlign w:val="center"/>
                </w:tcPr>
                <w:p w14:paraId="1D48C269">
                  <w:pPr>
                    <w:spacing w:line="0" w:lineRule="atLeast"/>
                    <w:ind w:firstLine="0" w:firstLineChars="0"/>
                    <w:jc w:val="center"/>
                    <w:rPr>
                      <w:bCs/>
                      <w:color w:val="000000" w:themeColor="text1"/>
                      <w:sz w:val="21"/>
                      <w:szCs w:val="21"/>
                    </w:rPr>
                  </w:pPr>
                  <w:r>
                    <w:rPr>
                      <w:rFonts w:hint="eastAsia"/>
                      <w:bCs/>
                      <w:color w:val="000000" w:themeColor="text1"/>
                      <w:sz w:val="21"/>
                      <w:szCs w:val="21"/>
                    </w:rPr>
                    <w:t>产污系数法</w:t>
                  </w:r>
                </w:p>
              </w:tc>
              <w:tc>
                <w:tcPr>
                  <w:tcW w:w="825" w:type="dxa"/>
                  <w:tcBorders>
                    <w:tl2br w:val="nil"/>
                    <w:tr2bl w:val="nil"/>
                  </w:tcBorders>
                  <w:vAlign w:val="center"/>
                </w:tcPr>
                <w:p w14:paraId="3DBD46F4">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5.443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840" w:type="dxa"/>
                  <w:tcBorders>
                    <w:tl2br w:val="nil"/>
                    <w:tr2bl w:val="nil"/>
                  </w:tcBorders>
                  <w:vAlign w:val="center"/>
                </w:tcPr>
                <w:p w14:paraId="49C11E04">
                  <w:pPr>
                    <w:spacing w:line="0" w:lineRule="atLeast"/>
                    <w:ind w:firstLine="0" w:firstLineChars="0"/>
                    <w:jc w:val="center"/>
                    <w:rPr>
                      <w:bCs/>
                      <w:color w:val="000000" w:themeColor="text1"/>
                      <w:sz w:val="21"/>
                      <w:szCs w:val="21"/>
                    </w:rPr>
                  </w:pPr>
                  <w:r>
                    <w:rPr>
                      <w:rFonts w:hint="eastAsia"/>
                      <w:bCs/>
                      <w:color w:val="000000" w:themeColor="text1"/>
                      <w:sz w:val="21"/>
                      <w:szCs w:val="21"/>
                    </w:rPr>
                    <w:t>1.5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p>
              </w:tc>
              <w:tc>
                <w:tcPr>
                  <w:tcW w:w="570" w:type="dxa"/>
                  <w:vMerge w:val="continue"/>
                  <w:tcBorders>
                    <w:tl2br w:val="nil"/>
                    <w:tr2bl w:val="nil"/>
                  </w:tcBorders>
                  <w:vAlign w:val="center"/>
                </w:tcPr>
                <w:p w14:paraId="697D0565">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401DD185">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54CDC41A">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69314FC7">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72B14E65">
                  <w:pPr>
                    <w:spacing w:line="0" w:lineRule="atLeast"/>
                    <w:ind w:firstLine="0" w:firstLineChars="0"/>
                    <w:jc w:val="center"/>
                    <w:rPr>
                      <w:bCs/>
                      <w:color w:val="000000" w:themeColor="text1"/>
                      <w:sz w:val="21"/>
                      <w:szCs w:val="21"/>
                    </w:rPr>
                  </w:pPr>
                  <w:r>
                    <w:rPr>
                      <w:rFonts w:hint="eastAsia"/>
                      <w:bCs/>
                      <w:color w:val="000000" w:themeColor="text1"/>
                      <w:sz w:val="21"/>
                      <w:szCs w:val="21"/>
                    </w:rPr>
                    <w:t>70</w:t>
                  </w:r>
                </w:p>
              </w:tc>
              <w:tc>
                <w:tcPr>
                  <w:tcW w:w="855" w:type="dxa"/>
                  <w:vMerge w:val="continue"/>
                  <w:tcBorders>
                    <w:tl2br w:val="nil"/>
                    <w:tr2bl w:val="nil"/>
                  </w:tcBorders>
                  <w:vAlign w:val="center"/>
                </w:tcPr>
                <w:p w14:paraId="52452683">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43017AEB">
                  <w:pPr>
                    <w:spacing w:line="0" w:lineRule="atLeast"/>
                    <w:ind w:firstLine="0" w:firstLineChars="0"/>
                    <w:jc w:val="center"/>
                    <w:rPr>
                      <w:color w:val="000000" w:themeColor="text1"/>
                      <w:sz w:val="21"/>
                      <w:szCs w:val="21"/>
                    </w:rPr>
                  </w:pPr>
                  <w:r>
                    <w:rPr>
                      <w:rFonts w:hint="eastAsia"/>
                      <w:color w:val="000000" w:themeColor="text1"/>
                      <w:sz w:val="21"/>
                      <w:szCs w:val="21"/>
                    </w:rPr>
                    <w:t>4.5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5</w:t>
                  </w:r>
                  <w:r>
                    <w:rPr>
                      <w:rFonts w:hint="eastAsia"/>
                      <w:color w:val="000000" w:themeColor="text1"/>
                      <w:sz w:val="21"/>
                      <w:szCs w:val="21"/>
                    </w:rPr>
                    <w:t>（折算浓度7.5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w:t>
                  </w:r>
                </w:p>
              </w:tc>
              <w:tc>
                <w:tcPr>
                  <w:tcW w:w="594" w:type="dxa"/>
                  <w:tcBorders>
                    <w:tl2br w:val="nil"/>
                    <w:tr2bl w:val="nil"/>
                  </w:tcBorders>
                  <w:vAlign w:val="center"/>
                </w:tcPr>
                <w:p w14:paraId="0D2D4E26">
                  <w:pPr>
                    <w:spacing w:line="0" w:lineRule="atLeast"/>
                    <w:ind w:firstLine="0" w:firstLineChars="0"/>
                    <w:jc w:val="center"/>
                    <w:rPr>
                      <w:color w:val="000000" w:themeColor="text1"/>
                      <w:sz w:val="21"/>
                      <w:szCs w:val="21"/>
                    </w:rPr>
                  </w:pPr>
                  <w:r>
                    <w:rPr>
                      <w:rFonts w:hint="eastAsia"/>
                      <w:color w:val="000000" w:themeColor="text1"/>
                      <w:kern w:val="0"/>
                      <w:sz w:val="21"/>
                      <w:szCs w:val="21"/>
                    </w:rPr>
                    <w:t>9.072</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7</w:t>
                  </w:r>
                </w:p>
              </w:tc>
              <w:tc>
                <w:tcPr>
                  <w:tcW w:w="676" w:type="dxa"/>
                  <w:tcBorders>
                    <w:tl2br w:val="nil"/>
                    <w:tr2bl w:val="nil"/>
                  </w:tcBorders>
                  <w:vAlign w:val="center"/>
                </w:tcPr>
                <w:p w14:paraId="06349E9B">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665" w:type="dxa"/>
                  <w:tcBorders>
                    <w:tl2br w:val="nil"/>
                    <w:tr2bl w:val="nil"/>
                  </w:tcBorders>
                  <w:shd w:val="clear" w:color="auto" w:fill="auto"/>
                  <w:vAlign w:val="center"/>
                </w:tcPr>
                <w:p w14:paraId="0AEEE27B">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25AE14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vMerge w:val="continue"/>
                  <w:tcBorders>
                    <w:tl2br w:val="nil"/>
                    <w:tr2bl w:val="nil"/>
                  </w:tcBorders>
                  <w:vAlign w:val="center"/>
                </w:tcPr>
                <w:p w14:paraId="07749817">
                  <w:pPr>
                    <w:pStyle w:val="15"/>
                    <w:spacing w:after="0" w:line="240" w:lineRule="auto"/>
                    <w:ind w:left="0" w:leftChars="0" w:right="0" w:rightChars="0" w:firstLine="0" w:firstLineChars="0"/>
                    <w:jc w:val="center"/>
                    <w:rPr>
                      <w:color w:val="000000" w:themeColor="text1"/>
                      <w:spacing w:val="-6"/>
                      <w:sz w:val="21"/>
                      <w:szCs w:val="21"/>
                    </w:rPr>
                  </w:pPr>
                </w:p>
              </w:tc>
              <w:tc>
                <w:tcPr>
                  <w:tcW w:w="645" w:type="dxa"/>
                  <w:tcBorders>
                    <w:tl2br w:val="nil"/>
                    <w:tr2bl w:val="nil"/>
                  </w:tcBorders>
                  <w:vAlign w:val="center"/>
                </w:tcPr>
                <w:p w14:paraId="2EF49F3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660" w:type="dxa"/>
                  <w:tcBorders>
                    <w:tl2br w:val="nil"/>
                    <w:tr2bl w:val="nil"/>
                  </w:tcBorders>
                  <w:vAlign w:val="center"/>
                </w:tcPr>
                <w:p w14:paraId="63084CE4">
                  <w:pPr>
                    <w:spacing w:line="0" w:lineRule="atLeast"/>
                    <w:ind w:firstLine="0" w:firstLineChars="0"/>
                    <w:jc w:val="center"/>
                    <w:rPr>
                      <w:bCs/>
                      <w:color w:val="000000" w:themeColor="text1"/>
                      <w:sz w:val="21"/>
                      <w:szCs w:val="21"/>
                    </w:rPr>
                  </w:pPr>
                  <w:r>
                    <w:rPr>
                      <w:rFonts w:hint="eastAsia"/>
                      <w:bCs/>
                      <w:color w:val="000000" w:themeColor="text1"/>
                      <w:sz w:val="21"/>
                      <w:szCs w:val="21"/>
                    </w:rPr>
                    <w:t>类比法</w:t>
                  </w:r>
                </w:p>
              </w:tc>
              <w:tc>
                <w:tcPr>
                  <w:tcW w:w="825" w:type="dxa"/>
                  <w:tcBorders>
                    <w:tl2br w:val="nil"/>
                    <w:tr2bl w:val="nil"/>
                  </w:tcBorders>
                  <w:vAlign w:val="center"/>
                </w:tcPr>
                <w:p w14:paraId="497E2E8C">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w:t>
                  </w:r>
                </w:p>
              </w:tc>
              <w:tc>
                <w:tcPr>
                  <w:tcW w:w="840" w:type="dxa"/>
                  <w:tcBorders>
                    <w:tl2br w:val="nil"/>
                    <w:tr2bl w:val="nil"/>
                  </w:tcBorders>
                  <w:vAlign w:val="center"/>
                </w:tcPr>
                <w:p w14:paraId="70EC54C9">
                  <w:pPr>
                    <w:spacing w:line="0" w:lineRule="atLeast"/>
                    <w:ind w:firstLine="0" w:firstLineChars="0"/>
                    <w:jc w:val="center"/>
                    <w:rPr>
                      <w:bCs/>
                      <w:color w:val="000000" w:themeColor="text1"/>
                      <w:sz w:val="21"/>
                      <w:szCs w:val="21"/>
                    </w:rPr>
                  </w:pPr>
                  <w:r>
                    <w:rPr>
                      <w:rFonts w:hint="eastAsia"/>
                      <w:color w:val="000000" w:themeColor="text1"/>
                      <w:sz w:val="21"/>
                      <w:szCs w:val="21"/>
                    </w:rPr>
                    <w:t>﹤1级</w:t>
                  </w:r>
                </w:p>
              </w:tc>
              <w:tc>
                <w:tcPr>
                  <w:tcW w:w="570" w:type="dxa"/>
                  <w:vMerge w:val="continue"/>
                  <w:tcBorders>
                    <w:tl2br w:val="nil"/>
                    <w:tr2bl w:val="nil"/>
                  </w:tcBorders>
                  <w:vAlign w:val="center"/>
                </w:tcPr>
                <w:p w14:paraId="5061DD97">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0FBA5D09">
                  <w:pPr>
                    <w:spacing w:line="0" w:lineRule="atLeast"/>
                    <w:ind w:firstLine="0" w:firstLineChars="0"/>
                    <w:jc w:val="center"/>
                    <w:rPr>
                      <w:bCs/>
                      <w:color w:val="000000" w:themeColor="text1"/>
                      <w:sz w:val="21"/>
                      <w:szCs w:val="21"/>
                    </w:rPr>
                  </w:pPr>
                </w:p>
              </w:tc>
              <w:tc>
                <w:tcPr>
                  <w:tcW w:w="675" w:type="dxa"/>
                  <w:vMerge w:val="continue"/>
                  <w:tcBorders>
                    <w:tl2br w:val="nil"/>
                    <w:tr2bl w:val="nil"/>
                  </w:tcBorders>
                  <w:vAlign w:val="center"/>
                </w:tcPr>
                <w:p w14:paraId="7CE374AF">
                  <w:pPr>
                    <w:spacing w:line="0" w:lineRule="atLeast"/>
                    <w:ind w:firstLine="0" w:firstLineChars="0"/>
                    <w:jc w:val="center"/>
                    <w:rPr>
                      <w:bCs/>
                      <w:color w:val="000000" w:themeColor="text1"/>
                      <w:sz w:val="21"/>
                      <w:szCs w:val="21"/>
                    </w:rPr>
                  </w:pPr>
                </w:p>
              </w:tc>
              <w:tc>
                <w:tcPr>
                  <w:tcW w:w="2745" w:type="dxa"/>
                  <w:gridSpan w:val="2"/>
                  <w:vMerge w:val="continue"/>
                  <w:tcBorders>
                    <w:tl2br w:val="nil"/>
                    <w:tr2bl w:val="nil"/>
                  </w:tcBorders>
                  <w:vAlign w:val="center"/>
                </w:tcPr>
                <w:p w14:paraId="3BA665FE">
                  <w:pPr>
                    <w:spacing w:line="0" w:lineRule="atLeast"/>
                    <w:ind w:firstLine="0" w:firstLineChars="0"/>
                    <w:jc w:val="center"/>
                    <w:rPr>
                      <w:color w:val="000000" w:themeColor="text1"/>
                      <w:sz w:val="21"/>
                      <w:szCs w:val="21"/>
                    </w:rPr>
                  </w:pPr>
                </w:p>
              </w:tc>
              <w:tc>
                <w:tcPr>
                  <w:tcW w:w="780" w:type="dxa"/>
                  <w:tcBorders>
                    <w:tl2br w:val="nil"/>
                    <w:tr2bl w:val="nil"/>
                  </w:tcBorders>
                  <w:vAlign w:val="center"/>
                </w:tcPr>
                <w:p w14:paraId="4AE9A648">
                  <w:pPr>
                    <w:spacing w:line="0" w:lineRule="atLeast"/>
                    <w:ind w:firstLine="0" w:firstLineChars="0"/>
                    <w:jc w:val="center"/>
                    <w:rPr>
                      <w:bCs/>
                      <w:color w:val="000000" w:themeColor="text1"/>
                      <w:sz w:val="21"/>
                      <w:szCs w:val="21"/>
                    </w:rPr>
                  </w:pPr>
                  <w:r>
                    <w:rPr>
                      <w:rFonts w:hint="eastAsia"/>
                      <w:bCs/>
                      <w:color w:val="000000" w:themeColor="text1"/>
                      <w:sz w:val="21"/>
                      <w:szCs w:val="21"/>
                    </w:rPr>
                    <w:t>0</w:t>
                  </w:r>
                </w:p>
              </w:tc>
              <w:tc>
                <w:tcPr>
                  <w:tcW w:w="855" w:type="dxa"/>
                  <w:vMerge w:val="continue"/>
                  <w:tcBorders>
                    <w:tl2br w:val="nil"/>
                    <w:tr2bl w:val="nil"/>
                  </w:tcBorders>
                  <w:vAlign w:val="center"/>
                </w:tcPr>
                <w:p w14:paraId="724D811F">
                  <w:pPr>
                    <w:spacing w:line="0" w:lineRule="atLeast"/>
                    <w:ind w:firstLine="0" w:firstLineChars="0"/>
                    <w:jc w:val="center"/>
                    <w:rPr>
                      <w:bCs/>
                      <w:color w:val="000000" w:themeColor="text1"/>
                      <w:sz w:val="21"/>
                      <w:szCs w:val="21"/>
                    </w:rPr>
                  </w:pPr>
                </w:p>
              </w:tc>
              <w:tc>
                <w:tcPr>
                  <w:tcW w:w="1105" w:type="dxa"/>
                  <w:tcBorders>
                    <w:tl2br w:val="nil"/>
                    <w:tr2bl w:val="nil"/>
                  </w:tcBorders>
                  <w:vAlign w:val="center"/>
                </w:tcPr>
                <w:p w14:paraId="32BA1D21">
                  <w:pPr>
                    <w:spacing w:line="0" w:lineRule="atLeast"/>
                    <w:ind w:firstLine="0" w:firstLineChars="0"/>
                    <w:jc w:val="center"/>
                    <w:rPr>
                      <w:color w:val="000000" w:themeColor="text1"/>
                      <w:sz w:val="21"/>
                      <w:szCs w:val="21"/>
                    </w:rPr>
                  </w:pPr>
                  <w:r>
                    <w:rPr>
                      <w:rFonts w:hint="eastAsia"/>
                      <w:color w:val="000000" w:themeColor="text1"/>
                      <w:sz w:val="21"/>
                      <w:szCs w:val="21"/>
                    </w:rPr>
                    <w:t>﹤1级</w:t>
                  </w:r>
                </w:p>
              </w:tc>
              <w:tc>
                <w:tcPr>
                  <w:tcW w:w="594" w:type="dxa"/>
                  <w:tcBorders>
                    <w:tl2br w:val="nil"/>
                    <w:tr2bl w:val="nil"/>
                  </w:tcBorders>
                  <w:vAlign w:val="center"/>
                </w:tcPr>
                <w:p w14:paraId="2C2666BE">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676" w:type="dxa"/>
                  <w:tcBorders>
                    <w:tl2br w:val="nil"/>
                    <w:tr2bl w:val="nil"/>
                  </w:tcBorders>
                  <w:vAlign w:val="center"/>
                </w:tcPr>
                <w:p w14:paraId="0D2A5B0B">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665" w:type="dxa"/>
                  <w:tcBorders>
                    <w:tl2br w:val="nil"/>
                    <w:tr2bl w:val="nil"/>
                  </w:tcBorders>
                  <w:shd w:val="clear" w:color="auto" w:fill="auto"/>
                  <w:vAlign w:val="center"/>
                </w:tcPr>
                <w:p w14:paraId="05FA0FEF">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r>
            <w:tr w14:paraId="5235BA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565BD940">
                  <w:pPr>
                    <w:pStyle w:val="66"/>
                    <w:spacing w:line="240" w:lineRule="auto"/>
                    <w:ind w:left="0" w:right="0" w:firstLine="0" w:firstLineChars="0"/>
                    <w:rPr>
                      <w:color w:val="000000" w:themeColor="text1"/>
                      <w:sz w:val="21"/>
                    </w:rPr>
                  </w:pPr>
                  <w:r>
                    <w:rPr>
                      <w:rFonts w:hint="eastAsia"/>
                      <w:color w:val="000000" w:themeColor="text1"/>
                      <w:sz w:val="21"/>
                    </w:rPr>
                    <w:t>中转仓落料及入料</w:t>
                  </w:r>
                </w:p>
              </w:tc>
              <w:tc>
                <w:tcPr>
                  <w:tcW w:w="645" w:type="dxa"/>
                  <w:vMerge w:val="restart"/>
                  <w:tcBorders>
                    <w:tl2br w:val="nil"/>
                    <w:tr2bl w:val="nil"/>
                  </w:tcBorders>
                  <w:vAlign w:val="center"/>
                </w:tcPr>
                <w:p w14:paraId="5255B52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660" w:type="dxa"/>
                  <w:vMerge w:val="restart"/>
                  <w:tcBorders>
                    <w:tl2br w:val="nil"/>
                    <w:tr2bl w:val="nil"/>
                  </w:tcBorders>
                  <w:vAlign w:val="center"/>
                </w:tcPr>
                <w:p w14:paraId="746B6E84">
                  <w:pPr>
                    <w:spacing w:line="0" w:lineRule="atLeast"/>
                    <w:ind w:firstLine="0" w:firstLineChars="0"/>
                    <w:jc w:val="center"/>
                    <w:rPr>
                      <w:bCs/>
                      <w:color w:val="000000" w:themeColor="text1"/>
                      <w:sz w:val="21"/>
                      <w:szCs w:val="21"/>
                    </w:rPr>
                  </w:pPr>
                  <w:r>
                    <w:rPr>
                      <w:rFonts w:hint="eastAsia"/>
                      <w:bCs/>
                      <w:color w:val="000000" w:themeColor="text1"/>
                      <w:sz w:val="21"/>
                      <w:szCs w:val="21"/>
                    </w:rPr>
                    <w:t>产污系数法</w:t>
                  </w:r>
                </w:p>
              </w:tc>
              <w:tc>
                <w:tcPr>
                  <w:tcW w:w="825" w:type="dxa"/>
                  <w:vMerge w:val="restart"/>
                  <w:tcBorders>
                    <w:tl2br w:val="nil"/>
                    <w:tr2bl w:val="nil"/>
                  </w:tcBorders>
                  <w:vAlign w:val="center"/>
                </w:tcPr>
                <w:p w14:paraId="798F2774">
                  <w:pPr>
                    <w:pStyle w:val="15"/>
                    <w:spacing w:after="0" w:line="240" w:lineRule="auto"/>
                    <w:ind w:left="0" w:leftChars="0" w:right="0" w:rightChars="0" w:firstLine="0" w:firstLineChars="0"/>
                    <w:jc w:val="center"/>
                    <w:rPr>
                      <w:color w:val="000000" w:themeColor="text1"/>
                      <w:sz w:val="21"/>
                      <w:szCs w:val="21"/>
                    </w:rPr>
                  </w:pPr>
                  <w:r>
                    <w:rPr>
                      <w:color w:val="000000" w:themeColor="text1"/>
                      <w:kern w:val="0"/>
                      <w:sz w:val="21"/>
                      <w:szCs w:val="21"/>
                    </w:rPr>
                    <w:t>2</w:t>
                  </w:r>
                  <w:r>
                    <w:rPr>
                      <w:rFonts w:hint="eastAsia"/>
                      <w:color w:val="000000" w:themeColor="text1"/>
                      <w:kern w:val="0"/>
                      <w:sz w:val="21"/>
                      <w:szCs w:val="21"/>
                    </w:rPr>
                    <w:t>1.408</w:t>
                  </w:r>
                </w:p>
              </w:tc>
              <w:tc>
                <w:tcPr>
                  <w:tcW w:w="840" w:type="dxa"/>
                  <w:vMerge w:val="restart"/>
                  <w:tcBorders>
                    <w:tl2br w:val="nil"/>
                    <w:tr2bl w:val="nil"/>
                  </w:tcBorders>
                  <w:vAlign w:val="center"/>
                </w:tcPr>
                <w:p w14:paraId="6767F484">
                  <w:pPr>
                    <w:spacing w:line="0" w:lineRule="atLeast"/>
                    <w:ind w:firstLine="0" w:firstLineChars="0"/>
                    <w:jc w:val="center"/>
                    <w:rPr>
                      <w:bCs/>
                      <w:color w:val="000000" w:themeColor="text1"/>
                      <w:sz w:val="21"/>
                      <w:szCs w:val="21"/>
                    </w:rPr>
                  </w:pPr>
                  <w:r>
                    <w:rPr>
                      <w:rFonts w:hint="eastAsia"/>
                      <w:bCs/>
                      <w:color w:val="000000" w:themeColor="text1"/>
                      <w:sz w:val="21"/>
                      <w:szCs w:val="21"/>
                    </w:rPr>
                    <w:t>497.1</w:t>
                  </w:r>
                </w:p>
              </w:tc>
              <w:tc>
                <w:tcPr>
                  <w:tcW w:w="570" w:type="dxa"/>
                  <w:vMerge w:val="restart"/>
                  <w:tcBorders>
                    <w:tl2br w:val="nil"/>
                    <w:tr2bl w:val="nil"/>
                  </w:tcBorders>
                  <w:vAlign w:val="center"/>
                </w:tcPr>
                <w:p w14:paraId="1E0FC8E9">
                  <w:pPr>
                    <w:spacing w:line="0" w:lineRule="atLeast"/>
                    <w:ind w:firstLine="0" w:firstLineChars="0"/>
                    <w:jc w:val="center"/>
                    <w:rPr>
                      <w:bCs/>
                      <w:color w:val="000000" w:themeColor="text1"/>
                      <w:sz w:val="21"/>
                      <w:szCs w:val="21"/>
                    </w:rPr>
                  </w:pPr>
                  <w:r>
                    <w:rPr>
                      <w:rFonts w:hint="eastAsia"/>
                      <w:bCs/>
                      <w:color w:val="000000" w:themeColor="text1"/>
                      <w:sz w:val="21"/>
                      <w:szCs w:val="21"/>
                    </w:rPr>
                    <w:t>有组织</w:t>
                  </w:r>
                </w:p>
              </w:tc>
              <w:tc>
                <w:tcPr>
                  <w:tcW w:w="690" w:type="dxa"/>
                  <w:vMerge w:val="restart"/>
                  <w:tcBorders>
                    <w:tl2br w:val="nil"/>
                    <w:tr2bl w:val="nil"/>
                  </w:tcBorders>
                  <w:vAlign w:val="center"/>
                </w:tcPr>
                <w:p w14:paraId="3E35554E">
                  <w:pPr>
                    <w:spacing w:line="0" w:lineRule="atLeast"/>
                    <w:ind w:firstLine="0" w:firstLineChars="0"/>
                    <w:jc w:val="center"/>
                    <w:rPr>
                      <w:bCs/>
                      <w:color w:val="000000" w:themeColor="text1"/>
                      <w:sz w:val="21"/>
                      <w:szCs w:val="21"/>
                    </w:rPr>
                  </w:pPr>
                  <w:r>
                    <w:rPr>
                      <w:rFonts w:hint="eastAsia"/>
                      <w:bCs/>
                      <w:color w:val="000000" w:themeColor="text1"/>
                      <w:sz w:val="21"/>
                      <w:szCs w:val="21"/>
                    </w:rPr>
                    <w:t>35000</w:t>
                  </w:r>
                </w:p>
              </w:tc>
              <w:tc>
                <w:tcPr>
                  <w:tcW w:w="675" w:type="dxa"/>
                  <w:tcBorders>
                    <w:tl2br w:val="nil"/>
                    <w:tr2bl w:val="nil"/>
                  </w:tcBorders>
                  <w:shd w:val="clear" w:color="auto" w:fill="auto"/>
                  <w:vAlign w:val="center"/>
                </w:tcPr>
                <w:p w14:paraId="05369FEF">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755" w:type="dxa"/>
                  <w:tcBorders>
                    <w:tl2br w:val="nil"/>
                    <w:tr2bl w:val="nil"/>
                  </w:tcBorders>
                  <w:shd w:val="clear" w:color="auto" w:fill="auto"/>
                  <w:vAlign w:val="center"/>
                </w:tcPr>
                <w:p w14:paraId="3E32F38C">
                  <w:pPr>
                    <w:pStyle w:val="66"/>
                    <w:spacing w:line="240" w:lineRule="auto"/>
                    <w:ind w:left="0" w:right="0" w:firstLine="0" w:firstLineChars="0"/>
                    <w:rPr>
                      <w:color w:val="000000" w:themeColor="text1"/>
                      <w:sz w:val="21"/>
                    </w:rPr>
                  </w:pPr>
                  <w:r>
                    <w:rPr>
                      <w:rFonts w:hint="eastAsia"/>
                      <w:color w:val="000000" w:themeColor="text1"/>
                      <w:sz w:val="21"/>
                    </w:rPr>
                    <w:t>中转仓封闭设置，其入料口设软帘，顶部设置集气管</w:t>
                  </w:r>
                </w:p>
              </w:tc>
              <w:tc>
                <w:tcPr>
                  <w:tcW w:w="990" w:type="dxa"/>
                  <w:vMerge w:val="restart"/>
                  <w:tcBorders>
                    <w:tl2br w:val="nil"/>
                    <w:tr2bl w:val="nil"/>
                  </w:tcBorders>
                  <w:vAlign w:val="center"/>
                </w:tcPr>
                <w:p w14:paraId="1B976389">
                  <w:pPr>
                    <w:spacing w:line="0" w:lineRule="atLeast"/>
                    <w:ind w:firstLine="0" w:firstLineChars="0"/>
                    <w:jc w:val="center"/>
                    <w:rPr>
                      <w:color w:val="000000" w:themeColor="text1"/>
                      <w:sz w:val="21"/>
                      <w:szCs w:val="21"/>
                    </w:rPr>
                  </w:pPr>
                  <w:r>
                    <w:rPr>
                      <w:rFonts w:hint="eastAsia"/>
                      <w:color w:val="000000" w:themeColor="text1"/>
                      <w:sz w:val="21"/>
                      <w:szCs w:val="21"/>
                    </w:rPr>
                    <w:t>共用1台布袋除尘器处理后由1根15m高排气筒（DA002）排放</w:t>
                  </w:r>
                </w:p>
              </w:tc>
              <w:tc>
                <w:tcPr>
                  <w:tcW w:w="780" w:type="dxa"/>
                  <w:tcBorders>
                    <w:tl2br w:val="nil"/>
                    <w:tr2bl w:val="nil"/>
                  </w:tcBorders>
                  <w:shd w:val="clear" w:color="auto" w:fill="auto"/>
                  <w:vAlign w:val="center"/>
                </w:tcPr>
                <w:p w14:paraId="63AC6827">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restart"/>
                  <w:tcBorders>
                    <w:tl2br w:val="nil"/>
                    <w:tr2bl w:val="nil"/>
                  </w:tcBorders>
                  <w:vAlign w:val="center"/>
                </w:tcPr>
                <w:p w14:paraId="249E98A1">
                  <w:pPr>
                    <w:spacing w:line="0" w:lineRule="atLeast"/>
                    <w:ind w:firstLine="0" w:firstLineChars="0"/>
                    <w:jc w:val="center"/>
                    <w:rPr>
                      <w:bCs/>
                      <w:color w:val="000000" w:themeColor="text1"/>
                      <w:sz w:val="21"/>
                      <w:szCs w:val="21"/>
                    </w:rPr>
                  </w:pPr>
                  <w:r>
                    <w:rPr>
                      <w:rFonts w:hint="eastAsia"/>
                      <w:bCs/>
                      <w:color w:val="000000" w:themeColor="text1"/>
                      <w:sz w:val="21"/>
                      <w:szCs w:val="21"/>
                    </w:rPr>
                    <w:t>是</w:t>
                  </w:r>
                </w:p>
              </w:tc>
              <w:tc>
                <w:tcPr>
                  <w:tcW w:w="1105" w:type="dxa"/>
                  <w:vMerge w:val="restart"/>
                  <w:tcBorders>
                    <w:tl2br w:val="nil"/>
                    <w:tr2bl w:val="nil"/>
                  </w:tcBorders>
                  <w:vAlign w:val="center"/>
                </w:tcPr>
                <w:p w14:paraId="062E3B5F">
                  <w:pPr>
                    <w:spacing w:line="0" w:lineRule="atLeast"/>
                    <w:ind w:firstLine="0" w:firstLineChars="0"/>
                    <w:jc w:val="center"/>
                    <w:rPr>
                      <w:color w:val="000000" w:themeColor="text1"/>
                      <w:sz w:val="21"/>
                      <w:szCs w:val="21"/>
                    </w:rPr>
                  </w:pPr>
                  <w:r>
                    <w:rPr>
                      <w:rFonts w:hint="eastAsia"/>
                      <w:color w:val="000000" w:themeColor="text1"/>
                      <w:sz w:val="21"/>
                      <w:szCs w:val="21"/>
                    </w:rPr>
                    <w:t>4.4</w:t>
                  </w:r>
                </w:p>
              </w:tc>
              <w:tc>
                <w:tcPr>
                  <w:tcW w:w="594" w:type="dxa"/>
                  <w:vMerge w:val="restart"/>
                  <w:tcBorders>
                    <w:tl2br w:val="nil"/>
                    <w:tr2bl w:val="nil"/>
                  </w:tcBorders>
                  <w:vAlign w:val="center"/>
                </w:tcPr>
                <w:p w14:paraId="54E6C85E">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54</w:t>
                  </w:r>
                </w:p>
              </w:tc>
              <w:tc>
                <w:tcPr>
                  <w:tcW w:w="676" w:type="dxa"/>
                  <w:vMerge w:val="restart"/>
                  <w:tcBorders>
                    <w:tl2br w:val="nil"/>
                    <w:tr2bl w:val="nil"/>
                  </w:tcBorders>
                  <w:vAlign w:val="center"/>
                </w:tcPr>
                <w:p w14:paraId="79AF0291">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69</w:t>
                  </w:r>
                </w:p>
              </w:tc>
              <w:tc>
                <w:tcPr>
                  <w:tcW w:w="665" w:type="dxa"/>
                  <w:vMerge w:val="restart"/>
                  <w:tcBorders>
                    <w:tl2br w:val="nil"/>
                    <w:tr2bl w:val="nil"/>
                  </w:tcBorders>
                  <w:vAlign w:val="center"/>
                </w:tcPr>
                <w:p w14:paraId="46C8B244">
                  <w:pPr>
                    <w:spacing w:line="0" w:lineRule="atLeast"/>
                    <w:ind w:firstLine="0" w:firstLineChars="0"/>
                    <w:jc w:val="center"/>
                    <w:rPr>
                      <w:bCs/>
                      <w:color w:val="000000" w:themeColor="text1"/>
                      <w:sz w:val="21"/>
                      <w:szCs w:val="21"/>
                    </w:rPr>
                  </w:pPr>
                  <w:r>
                    <w:rPr>
                      <w:color w:val="000000" w:themeColor="text1"/>
                      <w:kern w:val="0"/>
                      <w:sz w:val="21"/>
                      <w:szCs w:val="21"/>
                    </w:rPr>
                    <w:t>0.5</w:t>
                  </w:r>
                  <w:r>
                    <w:rPr>
                      <w:rFonts w:hint="eastAsia"/>
                      <w:color w:val="000000" w:themeColor="text1"/>
                      <w:kern w:val="0"/>
                      <w:sz w:val="21"/>
                      <w:szCs w:val="21"/>
                    </w:rPr>
                    <w:t>0</w:t>
                  </w:r>
                  <w:r>
                    <w:rPr>
                      <w:color w:val="000000" w:themeColor="text1"/>
                      <w:kern w:val="0"/>
                      <w:sz w:val="21"/>
                      <w:szCs w:val="21"/>
                    </w:rPr>
                    <w:t xml:space="preserve">8 </w:t>
                  </w:r>
                </w:p>
              </w:tc>
            </w:tr>
            <w:tr w14:paraId="7B633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614743F7">
                  <w:pPr>
                    <w:pStyle w:val="66"/>
                    <w:spacing w:line="240" w:lineRule="auto"/>
                    <w:ind w:left="0" w:right="0" w:firstLine="0" w:firstLineChars="0"/>
                    <w:rPr>
                      <w:color w:val="000000" w:themeColor="text1"/>
                      <w:sz w:val="21"/>
                    </w:rPr>
                  </w:pPr>
                  <w:r>
                    <w:rPr>
                      <w:rFonts w:hint="eastAsia"/>
                      <w:color w:val="000000" w:themeColor="text1"/>
                      <w:sz w:val="21"/>
                    </w:rPr>
                    <w:t>制粒</w:t>
                  </w:r>
                </w:p>
              </w:tc>
              <w:tc>
                <w:tcPr>
                  <w:tcW w:w="645" w:type="dxa"/>
                  <w:vMerge w:val="continue"/>
                  <w:tcBorders>
                    <w:tl2br w:val="nil"/>
                    <w:tr2bl w:val="nil"/>
                  </w:tcBorders>
                  <w:vAlign w:val="center"/>
                </w:tcPr>
                <w:p w14:paraId="70BA2B9B">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2AF2E776">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314D78EF">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363AAA6E">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2B05E03A">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5DEBE11A">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0ED6A71A">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98</w:t>
                  </w:r>
                </w:p>
              </w:tc>
              <w:tc>
                <w:tcPr>
                  <w:tcW w:w="1755" w:type="dxa"/>
                  <w:tcBorders>
                    <w:tl2br w:val="nil"/>
                    <w:tr2bl w:val="nil"/>
                  </w:tcBorders>
                  <w:shd w:val="clear" w:color="auto" w:fill="auto"/>
                  <w:vAlign w:val="center"/>
                </w:tcPr>
                <w:p w14:paraId="06BBFA19">
                  <w:pPr>
                    <w:pStyle w:val="66"/>
                    <w:spacing w:line="240" w:lineRule="auto"/>
                    <w:ind w:left="0" w:right="0" w:firstLine="0" w:firstLineChars="0"/>
                    <w:rPr>
                      <w:color w:val="000000" w:themeColor="text1"/>
                      <w:sz w:val="21"/>
                    </w:rPr>
                  </w:pPr>
                  <w:r>
                    <w:rPr>
                      <w:rFonts w:hint="eastAsia"/>
                      <w:color w:val="000000" w:themeColor="text1"/>
                      <w:sz w:val="21"/>
                    </w:rPr>
                    <w:t>4台生物质颗粒机设备密闭+4台旋风除尘器预处理</w:t>
                  </w:r>
                </w:p>
              </w:tc>
              <w:tc>
                <w:tcPr>
                  <w:tcW w:w="990" w:type="dxa"/>
                  <w:vMerge w:val="continue"/>
                  <w:tcBorders>
                    <w:tl2br w:val="nil"/>
                    <w:tr2bl w:val="nil"/>
                  </w:tcBorders>
                  <w:vAlign w:val="center"/>
                </w:tcPr>
                <w:p w14:paraId="373A6C51">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7FB4FDD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99.5</w:t>
                  </w:r>
                </w:p>
              </w:tc>
              <w:tc>
                <w:tcPr>
                  <w:tcW w:w="855" w:type="dxa"/>
                  <w:vMerge w:val="continue"/>
                  <w:tcBorders>
                    <w:tl2br w:val="nil"/>
                    <w:tr2bl w:val="nil"/>
                  </w:tcBorders>
                  <w:vAlign w:val="center"/>
                </w:tcPr>
                <w:p w14:paraId="1D719FF3">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38AF77AA">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741B338A">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426AF672">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21C19235">
                  <w:pPr>
                    <w:spacing w:line="0" w:lineRule="atLeast"/>
                    <w:ind w:firstLine="0" w:firstLineChars="0"/>
                    <w:jc w:val="center"/>
                    <w:rPr>
                      <w:color w:val="000000" w:themeColor="text1"/>
                      <w:kern w:val="0"/>
                      <w:sz w:val="21"/>
                      <w:szCs w:val="21"/>
                    </w:rPr>
                  </w:pPr>
                </w:p>
              </w:tc>
            </w:tr>
            <w:tr w14:paraId="2123DC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4570380D">
                  <w:pPr>
                    <w:pStyle w:val="66"/>
                    <w:spacing w:line="240" w:lineRule="auto"/>
                    <w:ind w:left="0" w:right="0" w:firstLine="0" w:firstLineChars="0"/>
                    <w:rPr>
                      <w:color w:val="000000" w:themeColor="text1"/>
                      <w:sz w:val="21"/>
                    </w:rPr>
                  </w:pPr>
                  <w:r>
                    <w:rPr>
                      <w:rFonts w:hint="eastAsia"/>
                      <w:color w:val="000000" w:themeColor="text1"/>
                      <w:sz w:val="21"/>
                    </w:rPr>
                    <w:t>筛分</w:t>
                  </w:r>
                </w:p>
              </w:tc>
              <w:tc>
                <w:tcPr>
                  <w:tcW w:w="645" w:type="dxa"/>
                  <w:vMerge w:val="continue"/>
                  <w:tcBorders>
                    <w:tl2br w:val="nil"/>
                    <w:tr2bl w:val="nil"/>
                  </w:tcBorders>
                  <w:vAlign w:val="center"/>
                </w:tcPr>
                <w:p w14:paraId="4AFF6953">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4F6E075D">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22D8E458">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57D73E14">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34D682FC">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5F665A01">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60F20886">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w:t>
                  </w:r>
                  <w:r>
                    <w:rPr>
                      <w:rFonts w:hint="eastAsia"/>
                      <w:color w:val="000000" w:themeColor="text1"/>
                      <w:kern w:val="0"/>
                      <w:sz w:val="21"/>
                      <w:szCs w:val="21"/>
                    </w:rPr>
                    <w:t>8</w:t>
                  </w:r>
                  <w:r>
                    <w:rPr>
                      <w:color w:val="000000" w:themeColor="text1"/>
                      <w:kern w:val="0"/>
                      <w:sz w:val="21"/>
                      <w:szCs w:val="21"/>
                    </w:rPr>
                    <w:t xml:space="preserve"> </w:t>
                  </w:r>
                </w:p>
              </w:tc>
              <w:tc>
                <w:tcPr>
                  <w:tcW w:w="1755" w:type="dxa"/>
                  <w:tcBorders>
                    <w:tl2br w:val="nil"/>
                    <w:tr2bl w:val="nil"/>
                  </w:tcBorders>
                  <w:shd w:val="clear" w:color="auto" w:fill="auto"/>
                  <w:vAlign w:val="center"/>
                </w:tcPr>
                <w:p w14:paraId="52E01F03">
                  <w:pPr>
                    <w:pStyle w:val="66"/>
                    <w:spacing w:line="240" w:lineRule="auto"/>
                    <w:ind w:left="0" w:right="0" w:firstLine="0" w:firstLineChars="0"/>
                    <w:rPr>
                      <w:color w:val="000000" w:themeColor="text1"/>
                      <w:sz w:val="21"/>
                    </w:rPr>
                  </w:pPr>
                  <w:r>
                    <w:rPr>
                      <w:rFonts w:hint="eastAsia"/>
                      <w:color w:val="000000" w:themeColor="text1"/>
                      <w:sz w:val="21"/>
                    </w:rPr>
                    <w:t>振筛设备密闭，设置集气管</w:t>
                  </w:r>
                </w:p>
              </w:tc>
              <w:tc>
                <w:tcPr>
                  <w:tcW w:w="990" w:type="dxa"/>
                  <w:vMerge w:val="continue"/>
                  <w:tcBorders>
                    <w:tl2br w:val="nil"/>
                    <w:tr2bl w:val="nil"/>
                  </w:tcBorders>
                  <w:vAlign w:val="center"/>
                </w:tcPr>
                <w:p w14:paraId="0A905E81">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6B62FA4D">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continue"/>
                  <w:tcBorders>
                    <w:tl2br w:val="nil"/>
                    <w:tr2bl w:val="nil"/>
                  </w:tcBorders>
                  <w:vAlign w:val="center"/>
                </w:tcPr>
                <w:p w14:paraId="1DD2E05E">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6A05109A">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202865CE">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1C3BAB56">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6FC02C70">
                  <w:pPr>
                    <w:spacing w:line="0" w:lineRule="atLeast"/>
                    <w:ind w:firstLine="0" w:firstLineChars="0"/>
                    <w:jc w:val="center"/>
                    <w:rPr>
                      <w:color w:val="000000" w:themeColor="text1"/>
                      <w:kern w:val="0"/>
                      <w:sz w:val="21"/>
                      <w:szCs w:val="21"/>
                    </w:rPr>
                  </w:pPr>
                </w:p>
              </w:tc>
            </w:tr>
            <w:tr w14:paraId="4A473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6C7434E8">
                  <w:pPr>
                    <w:pStyle w:val="66"/>
                    <w:spacing w:line="240" w:lineRule="auto"/>
                    <w:ind w:left="0" w:right="0" w:firstLine="0" w:firstLineChars="0"/>
                    <w:rPr>
                      <w:color w:val="000000" w:themeColor="text1"/>
                      <w:sz w:val="21"/>
                    </w:rPr>
                  </w:pPr>
                  <w:r>
                    <w:rPr>
                      <w:rFonts w:hint="eastAsia"/>
                      <w:color w:val="000000" w:themeColor="text1"/>
                      <w:sz w:val="21"/>
                    </w:rPr>
                    <w:t>筛下料落料</w:t>
                  </w:r>
                </w:p>
              </w:tc>
              <w:tc>
                <w:tcPr>
                  <w:tcW w:w="645" w:type="dxa"/>
                  <w:vMerge w:val="continue"/>
                  <w:tcBorders>
                    <w:tl2br w:val="nil"/>
                    <w:tr2bl w:val="nil"/>
                  </w:tcBorders>
                  <w:vAlign w:val="center"/>
                </w:tcPr>
                <w:p w14:paraId="0E1DF5C1">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27653BE6">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515F6E2D">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039ADDD3">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011BE78D">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00C0880C">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1C5C2B14">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755" w:type="dxa"/>
                  <w:tcBorders>
                    <w:tl2br w:val="nil"/>
                    <w:tr2bl w:val="nil"/>
                  </w:tcBorders>
                  <w:shd w:val="clear" w:color="auto" w:fill="auto"/>
                  <w:vAlign w:val="center"/>
                </w:tcPr>
                <w:p w14:paraId="750125BA">
                  <w:pPr>
                    <w:pStyle w:val="66"/>
                    <w:spacing w:line="240" w:lineRule="auto"/>
                    <w:ind w:left="0" w:right="0" w:firstLine="0" w:firstLineChars="0"/>
                    <w:rPr>
                      <w:color w:val="000000" w:themeColor="text1"/>
                      <w:sz w:val="21"/>
                    </w:rPr>
                  </w:pPr>
                  <w:r>
                    <w:rPr>
                      <w:rFonts w:hint="eastAsia"/>
                      <w:color w:val="000000" w:themeColor="text1"/>
                      <w:sz w:val="21"/>
                    </w:rPr>
                    <w:t>振筛出料口上方设置集气罩</w:t>
                  </w:r>
                </w:p>
              </w:tc>
              <w:tc>
                <w:tcPr>
                  <w:tcW w:w="990" w:type="dxa"/>
                  <w:vMerge w:val="continue"/>
                  <w:tcBorders>
                    <w:tl2br w:val="nil"/>
                    <w:tr2bl w:val="nil"/>
                  </w:tcBorders>
                  <w:vAlign w:val="center"/>
                </w:tcPr>
                <w:p w14:paraId="5CD98F8A">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26DF45C2">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55" w:type="dxa"/>
                  <w:vMerge w:val="continue"/>
                  <w:tcBorders>
                    <w:tl2br w:val="nil"/>
                    <w:tr2bl w:val="nil"/>
                  </w:tcBorders>
                  <w:vAlign w:val="center"/>
                </w:tcPr>
                <w:p w14:paraId="344B731B">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089A5F84">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4B4397F7">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7A54B677">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65363E7C">
                  <w:pPr>
                    <w:spacing w:line="0" w:lineRule="atLeast"/>
                    <w:ind w:firstLine="0" w:firstLineChars="0"/>
                    <w:jc w:val="center"/>
                    <w:rPr>
                      <w:color w:val="000000" w:themeColor="text1"/>
                      <w:kern w:val="0"/>
                      <w:sz w:val="21"/>
                      <w:szCs w:val="21"/>
                    </w:rPr>
                  </w:pPr>
                </w:p>
              </w:tc>
            </w:tr>
            <w:tr w14:paraId="18674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37FC3E50">
                  <w:pPr>
                    <w:pStyle w:val="66"/>
                    <w:spacing w:line="240" w:lineRule="auto"/>
                    <w:ind w:left="0" w:right="0" w:firstLine="0" w:firstLineChars="0"/>
                    <w:rPr>
                      <w:color w:val="000000" w:themeColor="text1"/>
                      <w:sz w:val="21"/>
                    </w:rPr>
                  </w:pPr>
                  <w:r>
                    <w:rPr>
                      <w:rFonts w:hint="eastAsia"/>
                      <w:color w:val="000000" w:themeColor="text1"/>
                      <w:sz w:val="21"/>
                    </w:rPr>
                    <w:t>成品网状料仓入料及冷却</w:t>
                  </w:r>
                </w:p>
              </w:tc>
              <w:tc>
                <w:tcPr>
                  <w:tcW w:w="645" w:type="dxa"/>
                  <w:vMerge w:val="continue"/>
                  <w:tcBorders>
                    <w:tl2br w:val="nil"/>
                    <w:tr2bl w:val="nil"/>
                  </w:tcBorders>
                  <w:vAlign w:val="center"/>
                </w:tcPr>
                <w:p w14:paraId="49003D42">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08A13C36">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28C66FF1">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3867D2D3">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28740A88">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192117B1">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4FDCBF87">
                  <w:pPr>
                    <w:widowControl/>
                    <w:spacing w:line="240" w:lineRule="auto"/>
                    <w:ind w:firstLine="0" w:firstLineChars="0"/>
                    <w:jc w:val="center"/>
                    <w:textAlignment w:val="center"/>
                    <w:rPr>
                      <w:snapToGrid w:val="0"/>
                      <w:color w:val="000000" w:themeColor="text1"/>
                      <w:kern w:val="0"/>
                      <w:sz w:val="21"/>
                      <w:szCs w:val="21"/>
                    </w:rPr>
                  </w:pPr>
                  <w:r>
                    <w:rPr>
                      <w:rFonts w:hint="eastAsia"/>
                      <w:color w:val="000000" w:themeColor="text1"/>
                      <w:kern w:val="0"/>
                      <w:sz w:val="21"/>
                      <w:szCs w:val="21"/>
                    </w:rPr>
                    <w:t>8</w:t>
                  </w:r>
                  <w:r>
                    <w:rPr>
                      <w:color w:val="000000" w:themeColor="text1"/>
                      <w:kern w:val="0"/>
                      <w:sz w:val="21"/>
                      <w:szCs w:val="21"/>
                    </w:rPr>
                    <w:t xml:space="preserve">0 </w:t>
                  </w:r>
                </w:p>
              </w:tc>
              <w:tc>
                <w:tcPr>
                  <w:tcW w:w="1755" w:type="dxa"/>
                  <w:tcBorders>
                    <w:tl2br w:val="nil"/>
                    <w:tr2bl w:val="nil"/>
                  </w:tcBorders>
                  <w:shd w:val="clear" w:color="auto" w:fill="auto"/>
                  <w:vAlign w:val="center"/>
                </w:tcPr>
                <w:p w14:paraId="3F6DD456">
                  <w:pPr>
                    <w:pStyle w:val="66"/>
                    <w:spacing w:line="240" w:lineRule="auto"/>
                    <w:ind w:left="0" w:right="0" w:firstLine="0" w:firstLineChars="0"/>
                    <w:rPr>
                      <w:color w:val="000000" w:themeColor="text1"/>
                      <w:sz w:val="21"/>
                    </w:rPr>
                  </w:pPr>
                  <w:r>
                    <w:rPr>
                      <w:rFonts w:hint="eastAsia"/>
                      <w:color w:val="000000" w:themeColor="text1"/>
                      <w:sz w:val="21"/>
                    </w:rPr>
                    <w:t>成品网状料仓入料口上方设置集气罩</w:t>
                  </w:r>
                </w:p>
              </w:tc>
              <w:tc>
                <w:tcPr>
                  <w:tcW w:w="990" w:type="dxa"/>
                  <w:vMerge w:val="continue"/>
                  <w:tcBorders>
                    <w:tl2br w:val="nil"/>
                    <w:tr2bl w:val="nil"/>
                  </w:tcBorders>
                  <w:vAlign w:val="center"/>
                </w:tcPr>
                <w:p w14:paraId="2F87B408">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2A75FF83">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continue"/>
                  <w:tcBorders>
                    <w:tl2br w:val="nil"/>
                    <w:tr2bl w:val="nil"/>
                  </w:tcBorders>
                  <w:vAlign w:val="center"/>
                </w:tcPr>
                <w:p w14:paraId="74BD9018">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0C68272D">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18AC93B7">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471C988A">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6F407CEC">
                  <w:pPr>
                    <w:spacing w:line="0" w:lineRule="atLeast"/>
                    <w:ind w:firstLine="0" w:firstLineChars="0"/>
                    <w:jc w:val="center"/>
                    <w:rPr>
                      <w:color w:val="000000" w:themeColor="text1"/>
                      <w:kern w:val="0"/>
                      <w:sz w:val="21"/>
                      <w:szCs w:val="21"/>
                    </w:rPr>
                  </w:pPr>
                </w:p>
              </w:tc>
            </w:tr>
            <w:tr w14:paraId="6D1C3B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1AF36AD0">
                  <w:pPr>
                    <w:pStyle w:val="66"/>
                    <w:spacing w:line="240" w:lineRule="auto"/>
                    <w:ind w:left="0" w:right="0" w:firstLine="0" w:firstLineChars="0"/>
                    <w:rPr>
                      <w:color w:val="000000" w:themeColor="text1"/>
                      <w:sz w:val="21"/>
                    </w:rPr>
                  </w:pPr>
                  <w:r>
                    <w:rPr>
                      <w:rFonts w:hint="eastAsia"/>
                      <w:color w:val="000000" w:themeColor="text1"/>
                      <w:sz w:val="21"/>
                    </w:rPr>
                    <w:t>成品皮带输送机落料</w:t>
                  </w:r>
                </w:p>
              </w:tc>
              <w:tc>
                <w:tcPr>
                  <w:tcW w:w="645" w:type="dxa"/>
                  <w:vMerge w:val="continue"/>
                  <w:tcBorders>
                    <w:tl2br w:val="nil"/>
                    <w:tr2bl w:val="nil"/>
                  </w:tcBorders>
                  <w:vAlign w:val="center"/>
                </w:tcPr>
                <w:p w14:paraId="5885D9E7">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14062392">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38D919C2">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750D1A18">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0FE71A5B">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2970B36F">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04E9EB46">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90</w:t>
                  </w:r>
                </w:p>
              </w:tc>
              <w:tc>
                <w:tcPr>
                  <w:tcW w:w="1755" w:type="dxa"/>
                  <w:tcBorders>
                    <w:tl2br w:val="nil"/>
                    <w:tr2bl w:val="nil"/>
                  </w:tcBorders>
                  <w:shd w:val="clear" w:color="auto" w:fill="auto"/>
                  <w:vAlign w:val="center"/>
                </w:tcPr>
                <w:p w14:paraId="5B4ED232">
                  <w:pPr>
                    <w:pStyle w:val="66"/>
                    <w:spacing w:line="240" w:lineRule="auto"/>
                    <w:ind w:left="0" w:right="0" w:firstLine="0" w:firstLineChars="0"/>
                    <w:rPr>
                      <w:color w:val="000000" w:themeColor="text1"/>
                      <w:sz w:val="21"/>
                    </w:rPr>
                  </w:pPr>
                  <w:r>
                    <w:rPr>
                      <w:rFonts w:hint="eastAsia"/>
                      <w:color w:val="000000" w:themeColor="text1"/>
                      <w:sz w:val="21"/>
                    </w:rPr>
                    <w:t>成品皮带输送机落料点上方设置集气罩</w:t>
                  </w:r>
                </w:p>
              </w:tc>
              <w:tc>
                <w:tcPr>
                  <w:tcW w:w="990" w:type="dxa"/>
                  <w:vMerge w:val="continue"/>
                  <w:tcBorders>
                    <w:tl2br w:val="nil"/>
                    <w:tr2bl w:val="nil"/>
                  </w:tcBorders>
                  <w:vAlign w:val="center"/>
                </w:tcPr>
                <w:p w14:paraId="5102C40A">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4642856B">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99</w:t>
                  </w:r>
                </w:p>
              </w:tc>
              <w:tc>
                <w:tcPr>
                  <w:tcW w:w="855" w:type="dxa"/>
                  <w:vMerge w:val="continue"/>
                  <w:tcBorders>
                    <w:tl2br w:val="nil"/>
                    <w:tr2bl w:val="nil"/>
                  </w:tcBorders>
                  <w:vAlign w:val="center"/>
                </w:tcPr>
                <w:p w14:paraId="0C6D8351">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298C2DC7">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25A440FA">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3214A32A">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249CD23B">
                  <w:pPr>
                    <w:spacing w:line="0" w:lineRule="atLeast"/>
                    <w:ind w:firstLine="0" w:firstLineChars="0"/>
                    <w:jc w:val="center"/>
                    <w:rPr>
                      <w:color w:val="000000" w:themeColor="text1"/>
                      <w:kern w:val="0"/>
                      <w:sz w:val="21"/>
                      <w:szCs w:val="21"/>
                    </w:rPr>
                  </w:pPr>
                </w:p>
              </w:tc>
            </w:tr>
            <w:tr w14:paraId="5A168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shd w:val="clear" w:color="auto" w:fill="auto"/>
                  <w:vAlign w:val="center"/>
                </w:tcPr>
                <w:p w14:paraId="2025CDC4">
                  <w:pPr>
                    <w:pStyle w:val="66"/>
                    <w:spacing w:line="240" w:lineRule="auto"/>
                    <w:ind w:left="0" w:right="0" w:firstLine="0" w:firstLineChars="0"/>
                    <w:rPr>
                      <w:color w:val="000000" w:themeColor="text1"/>
                      <w:sz w:val="21"/>
                    </w:rPr>
                  </w:pPr>
                  <w:r>
                    <w:rPr>
                      <w:rFonts w:hint="eastAsia"/>
                      <w:color w:val="000000" w:themeColor="text1"/>
                      <w:sz w:val="21"/>
                    </w:rPr>
                    <w:t>打包机包装</w:t>
                  </w:r>
                </w:p>
              </w:tc>
              <w:tc>
                <w:tcPr>
                  <w:tcW w:w="645" w:type="dxa"/>
                  <w:vMerge w:val="continue"/>
                  <w:tcBorders>
                    <w:tl2br w:val="nil"/>
                    <w:tr2bl w:val="nil"/>
                  </w:tcBorders>
                  <w:vAlign w:val="center"/>
                </w:tcPr>
                <w:p w14:paraId="4D2CA969">
                  <w:pPr>
                    <w:spacing w:line="240" w:lineRule="auto"/>
                    <w:ind w:firstLine="0" w:firstLineChars="0"/>
                    <w:jc w:val="center"/>
                    <w:rPr>
                      <w:snapToGrid w:val="0"/>
                      <w:color w:val="000000" w:themeColor="text1"/>
                      <w:kern w:val="0"/>
                      <w:sz w:val="21"/>
                      <w:szCs w:val="21"/>
                    </w:rPr>
                  </w:pPr>
                </w:p>
              </w:tc>
              <w:tc>
                <w:tcPr>
                  <w:tcW w:w="660" w:type="dxa"/>
                  <w:vMerge w:val="continue"/>
                  <w:tcBorders>
                    <w:tl2br w:val="nil"/>
                    <w:tr2bl w:val="nil"/>
                  </w:tcBorders>
                  <w:vAlign w:val="center"/>
                </w:tcPr>
                <w:p w14:paraId="67FABB13">
                  <w:pPr>
                    <w:spacing w:line="0" w:lineRule="atLeast"/>
                    <w:ind w:firstLine="0" w:firstLineChars="0"/>
                    <w:jc w:val="center"/>
                    <w:rPr>
                      <w:bCs/>
                      <w:color w:val="000000" w:themeColor="text1"/>
                      <w:sz w:val="21"/>
                      <w:szCs w:val="21"/>
                    </w:rPr>
                  </w:pPr>
                </w:p>
              </w:tc>
              <w:tc>
                <w:tcPr>
                  <w:tcW w:w="825" w:type="dxa"/>
                  <w:vMerge w:val="continue"/>
                  <w:tcBorders>
                    <w:tl2br w:val="nil"/>
                    <w:tr2bl w:val="nil"/>
                  </w:tcBorders>
                  <w:vAlign w:val="center"/>
                </w:tcPr>
                <w:p w14:paraId="7DC352C3">
                  <w:pPr>
                    <w:pStyle w:val="15"/>
                    <w:spacing w:after="0" w:line="240" w:lineRule="auto"/>
                    <w:ind w:left="0" w:leftChars="0" w:right="0" w:rightChars="0" w:firstLine="0" w:firstLineChars="0"/>
                    <w:jc w:val="center"/>
                    <w:rPr>
                      <w:color w:val="000000" w:themeColor="text1"/>
                      <w:sz w:val="21"/>
                      <w:szCs w:val="21"/>
                    </w:rPr>
                  </w:pPr>
                </w:p>
              </w:tc>
              <w:tc>
                <w:tcPr>
                  <w:tcW w:w="840" w:type="dxa"/>
                  <w:vMerge w:val="continue"/>
                  <w:tcBorders>
                    <w:tl2br w:val="nil"/>
                    <w:tr2bl w:val="nil"/>
                  </w:tcBorders>
                  <w:vAlign w:val="center"/>
                </w:tcPr>
                <w:p w14:paraId="6EA69FDB">
                  <w:pPr>
                    <w:spacing w:line="0" w:lineRule="atLeast"/>
                    <w:ind w:firstLine="0" w:firstLineChars="0"/>
                    <w:jc w:val="center"/>
                    <w:rPr>
                      <w:bCs/>
                      <w:color w:val="000000" w:themeColor="text1"/>
                      <w:sz w:val="21"/>
                      <w:szCs w:val="21"/>
                    </w:rPr>
                  </w:pPr>
                </w:p>
              </w:tc>
              <w:tc>
                <w:tcPr>
                  <w:tcW w:w="570" w:type="dxa"/>
                  <w:vMerge w:val="continue"/>
                  <w:tcBorders>
                    <w:tl2br w:val="nil"/>
                    <w:tr2bl w:val="nil"/>
                  </w:tcBorders>
                  <w:vAlign w:val="center"/>
                </w:tcPr>
                <w:p w14:paraId="5095368D">
                  <w:pPr>
                    <w:spacing w:line="0" w:lineRule="atLeast"/>
                    <w:ind w:firstLine="0" w:firstLineChars="0"/>
                    <w:jc w:val="center"/>
                    <w:rPr>
                      <w:bCs/>
                      <w:color w:val="000000" w:themeColor="text1"/>
                      <w:sz w:val="21"/>
                      <w:szCs w:val="21"/>
                    </w:rPr>
                  </w:pPr>
                </w:p>
              </w:tc>
              <w:tc>
                <w:tcPr>
                  <w:tcW w:w="690" w:type="dxa"/>
                  <w:vMerge w:val="continue"/>
                  <w:tcBorders>
                    <w:tl2br w:val="nil"/>
                    <w:tr2bl w:val="nil"/>
                  </w:tcBorders>
                  <w:vAlign w:val="center"/>
                </w:tcPr>
                <w:p w14:paraId="125AC869">
                  <w:pPr>
                    <w:spacing w:line="0" w:lineRule="atLeast"/>
                    <w:ind w:firstLine="0" w:firstLineChars="0"/>
                    <w:jc w:val="center"/>
                    <w:rPr>
                      <w:bCs/>
                      <w:color w:val="000000" w:themeColor="text1"/>
                      <w:sz w:val="21"/>
                      <w:szCs w:val="21"/>
                    </w:rPr>
                  </w:pPr>
                </w:p>
              </w:tc>
              <w:tc>
                <w:tcPr>
                  <w:tcW w:w="675" w:type="dxa"/>
                  <w:tcBorders>
                    <w:tl2br w:val="nil"/>
                    <w:tr2bl w:val="nil"/>
                  </w:tcBorders>
                  <w:shd w:val="clear" w:color="auto" w:fill="auto"/>
                  <w:vAlign w:val="center"/>
                </w:tcPr>
                <w:p w14:paraId="21083DFF">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 xml:space="preserve">90 </w:t>
                  </w:r>
                </w:p>
              </w:tc>
              <w:tc>
                <w:tcPr>
                  <w:tcW w:w="1755" w:type="dxa"/>
                  <w:tcBorders>
                    <w:tl2br w:val="nil"/>
                    <w:tr2bl w:val="nil"/>
                  </w:tcBorders>
                  <w:shd w:val="clear" w:color="auto" w:fill="auto"/>
                  <w:vAlign w:val="center"/>
                </w:tcPr>
                <w:p w14:paraId="67F7A2D2">
                  <w:pPr>
                    <w:pStyle w:val="66"/>
                    <w:spacing w:line="240" w:lineRule="auto"/>
                    <w:ind w:left="0" w:right="0" w:firstLine="0" w:firstLineChars="0"/>
                    <w:rPr>
                      <w:color w:val="000000" w:themeColor="text1"/>
                      <w:sz w:val="21"/>
                    </w:rPr>
                  </w:pPr>
                  <w:r>
                    <w:rPr>
                      <w:rFonts w:hint="eastAsia"/>
                      <w:color w:val="000000" w:themeColor="text1"/>
                      <w:sz w:val="21"/>
                    </w:rPr>
                    <w:t>打包机侧方设置集气罩</w:t>
                  </w:r>
                </w:p>
              </w:tc>
              <w:tc>
                <w:tcPr>
                  <w:tcW w:w="990" w:type="dxa"/>
                  <w:vMerge w:val="continue"/>
                  <w:tcBorders>
                    <w:tl2br w:val="nil"/>
                    <w:tr2bl w:val="nil"/>
                  </w:tcBorders>
                  <w:vAlign w:val="center"/>
                </w:tcPr>
                <w:p w14:paraId="7664D18F">
                  <w:pPr>
                    <w:spacing w:line="0" w:lineRule="atLeast"/>
                    <w:ind w:firstLine="0" w:firstLineChars="0"/>
                    <w:jc w:val="center"/>
                    <w:rPr>
                      <w:color w:val="000000" w:themeColor="text1"/>
                      <w:sz w:val="21"/>
                      <w:szCs w:val="21"/>
                    </w:rPr>
                  </w:pPr>
                </w:p>
              </w:tc>
              <w:tc>
                <w:tcPr>
                  <w:tcW w:w="780" w:type="dxa"/>
                  <w:tcBorders>
                    <w:tl2br w:val="nil"/>
                    <w:tr2bl w:val="nil"/>
                  </w:tcBorders>
                  <w:shd w:val="clear" w:color="auto" w:fill="auto"/>
                  <w:vAlign w:val="center"/>
                </w:tcPr>
                <w:p w14:paraId="38C81C89">
                  <w:pPr>
                    <w:widowControl/>
                    <w:spacing w:line="240" w:lineRule="auto"/>
                    <w:ind w:firstLine="0" w:firstLineChars="0"/>
                    <w:jc w:val="center"/>
                    <w:textAlignment w:val="center"/>
                    <w:rPr>
                      <w:snapToGrid w:val="0"/>
                      <w:color w:val="000000" w:themeColor="text1"/>
                      <w:kern w:val="0"/>
                      <w:sz w:val="21"/>
                      <w:szCs w:val="21"/>
                    </w:rPr>
                  </w:pPr>
                  <w:r>
                    <w:rPr>
                      <w:color w:val="000000" w:themeColor="text1"/>
                      <w:kern w:val="0"/>
                      <w:sz w:val="21"/>
                      <w:szCs w:val="21"/>
                    </w:rPr>
                    <w:t>99</w:t>
                  </w:r>
                </w:p>
              </w:tc>
              <w:tc>
                <w:tcPr>
                  <w:tcW w:w="855" w:type="dxa"/>
                  <w:vMerge w:val="continue"/>
                  <w:tcBorders>
                    <w:tl2br w:val="nil"/>
                    <w:tr2bl w:val="nil"/>
                  </w:tcBorders>
                  <w:vAlign w:val="center"/>
                </w:tcPr>
                <w:p w14:paraId="55999601">
                  <w:pPr>
                    <w:spacing w:line="0" w:lineRule="atLeast"/>
                    <w:ind w:firstLine="0" w:firstLineChars="0"/>
                    <w:jc w:val="center"/>
                    <w:rPr>
                      <w:bCs/>
                      <w:color w:val="000000" w:themeColor="text1"/>
                      <w:sz w:val="21"/>
                      <w:szCs w:val="21"/>
                    </w:rPr>
                  </w:pPr>
                </w:p>
              </w:tc>
              <w:tc>
                <w:tcPr>
                  <w:tcW w:w="1105" w:type="dxa"/>
                  <w:vMerge w:val="continue"/>
                  <w:tcBorders>
                    <w:tl2br w:val="nil"/>
                    <w:tr2bl w:val="nil"/>
                  </w:tcBorders>
                  <w:vAlign w:val="center"/>
                </w:tcPr>
                <w:p w14:paraId="115CBAE6">
                  <w:pPr>
                    <w:spacing w:line="0" w:lineRule="atLeast"/>
                    <w:ind w:firstLine="0" w:firstLineChars="0"/>
                    <w:jc w:val="center"/>
                    <w:rPr>
                      <w:color w:val="000000" w:themeColor="text1"/>
                      <w:sz w:val="21"/>
                      <w:szCs w:val="21"/>
                    </w:rPr>
                  </w:pPr>
                </w:p>
              </w:tc>
              <w:tc>
                <w:tcPr>
                  <w:tcW w:w="594" w:type="dxa"/>
                  <w:vMerge w:val="continue"/>
                  <w:tcBorders>
                    <w:tl2br w:val="nil"/>
                    <w:tr2bl w:val="nil"/>
                  </w:tcBorders>
                  <w:vAlign w:val="center"/>
                </w:tcPr>
                <w:p w14:paraId="7233B87A">
                  <w:pPr>
                    <w:spacing w:line="0" w:lineRule="atLeast"/>
                    <w:ind w:firstLine="0" w:firstLineChars="0"/>
                    <w:jc w:val="center"/>
                    <w:rPr>
                      <w:color w:val="000000" w:themeColor="text1"/>
                      <w:sz w:val="21"/>
                      <w:szCs w:val="21"/>
                    </w:rPr>
                  </w:pPr>
                </w:p>
              </w:tc>
              <w:tc>
                <w:tcPr>
                  <w:tcW w:w="676" w:type="dxa"/>
                  <w:vMerge w:val="continue"/>
                  <w:tcBorders>
                    <w:tl2br w:val="nil"/>
                    <w:tr2bl w:val="nil"/>
                  </w:tcBorders>
                  <w:vAlign w:val="center"/>
                </w:tcPr>
                <w:p w14:paraId="76487903">
                  <w:pPr>
                    <w:spacing w:line="0" w:lineRule="atLeast"/>
                    <w:ind w:firstLine="0" w:firstLineChars="0"/>
                    <w:jc w:val="center"/>
                    <w:rPr>
                      <w:color w:val="000000" w:themeColor="text1"/>
                      <w:sz w:val="21"/>
                      <w:szCs w:val="21"/>
                    </w:rPr>
                  </w:pPr>
                </w:p>
              </w:tc>
              <w:tc>
                <w:tcPr>
                  <w:tcW w:w="665" w:type="dxa"/>
                  <w:vMerge w:val="continue"/>
                  <w:tcBorders>
                    <w:tl2br w:val="nil"/>
                    <w:tr2bl w:val="nil"/>
                  </w:tcBorders>
                  <w:vAlign w:val="center"/>
                </w:tcPr>
                <w:p w14:paraId="38C90665">
                  <w:pPr>
                    <w:spacing w:line="0" w:lineRule="atLeast"/>
                    <w:ind w:firstLine="0" w:firstLineChars="0"/>
                    <w:jc w:val="center"/>
                    <w:rPr>
                      <w:color w:val="000000" w:themeColor="text1"/>
                      <w:kern w:val="0"/>
                      <w:sz w:val="21"/>
                      <w:szCs w:val="21"/>
                    </w:rPr>
                  </w:pPr>
                </w:p>
              </w:tc>
            </w:tr>
            <w:tr w14:paraId="4E2C48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vAlign w:val="center"/>
                </w:tcPr>
                <w:p w14:paraId="608F73A2">
                  <w:pPr>
                    <w:pStyle w:val="15"/>
                    <w:spacing w:after="0" w:line="240" w:lineRule="auto"/>
                    <w:ind w:left="0" w:leftChars="0" w:right="0" w:rightChars="0" w:firstLine="0" w:firstLineChars="0"/>
                    <w:jc w:val="center"/>
                    <w:rPr>
                      <w:color w:val="000000" w:themeColor="text1"/>
                      <w:spacing w:val="-6"/>
                      <w:sz w:val="21"/>
                      <w:szCs w:val="21"/>
                    </w:rPr>
                  </w:pPr>
                  <w:r>
                    <w:rPr>
                      <w:rStyle w:val="53"/>
                      <w:rFonts w:hint="eastAsia"/>
                      <w:b w:val="0"/>
                      <w:color w:val="000000" w:themeColor="text1"/>
                    </w:rPr>
                    <w:t>原料装卸、堆存、铲车转运、上料斗上料过程</w:t>
                  </w:r>
                </w:p>
              </w:tc>
              <w:tc>
                <w:tcPr>
                  <w:tcW w:w="645" w:type="dxa"/>
                  <w:tcBorders>
                    <w:tl2br w:val="nil"/>
                    <w:tr2bl w:val="nil"/>
                  </w:tcBorders>
                  <w:vAlign w:val="center"/>
                </w:tcPr>
                <w:p w14:paraId="48992BA7">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660" w:type="dxa"/>
                  <w:tcBorders>
                    <w:tl2br w:val="nil"/>
                    <w:tr2bl w:val="nil"/>
                  </w:tcBorders>
                  <w:vAlign w:val="center"/>
                </w:tcPr>
                <w:p w14:paraId="5256F838">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825" w:type="dxa"/>
                  <w:tcBorders>
                    <w:tl2br w:val="nil"/>
                    <w:tr2bl w:val="nil"/>
                  </w:tcBorders>
                  <w:vAlign w:val="center"/>
                </w:tcPr>
                <w:p w14:paraId="005B01D6">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0.212</w:t>
                  </w:r>
                </w:p>
              </w:tc>
              <w:tc>
                <w:tcPr>
                  <w:tcW w:w="840" w:type="dxa"/>
                  <w:tcBorders>
                    <w:tl2br w:val="nil"/>
                    <w:tr2bl w:val="nil"/>
                  </w:tcBorders>
                  <w:vAlign w:val="center"/>
                </w:tcPr>
                <w:p w14:paraId="4CF56E9E">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570" w:type="dxa"/>
                  <w:tcBorders>
                    <w:tl2br w:val="nil"/>
                    <w:tr2bl w:val="nil"/>
                  </w:tcBorders>
                  <w:vAlign w:val="center"/>
                </w:tcPr>
                <w:p w14:paraId="6EF8E4C8">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90" w:type="dxa"/>
                  <w:tcBorders>
                    <w:tl2br w:val="nil"/>
                    <w:tr2bl w:val="nil"/>
                  </w:tcBorders>
                  <w:vAlign w:val="center"/>
                </w:tcPr>
                <w:p w14:paraId="2DFD0BB9">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75" w:type="dxa"/>
                  <w:tcBorders>
                    <w:tl2br w:val="nil"/>
                    <w:tr2bl w:val="nil"/>
                  </w:tcBorders>
                  <w:vAlign w:val="center"/>
                </w:tcPr>
                <w:p w14:paraId="582F8C1B">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2745" w:type="dxa"/>
                  <w:gridSpan w:val="2"/>
                  <w:tcBorders>
                    <w:tl2br w:val="nil"/>
                    <w:tr2bl w:val="nil"/>
                  </w:tcBorders>
                  <w:vAlign w:val="center"/>
                </w:tcPr>
                <w:p w14:paraId="6AF971D2">
                  <w:pPr>
                    <w:spacing w:line="0" w:lineRule="atLeast"/>
                    <w:ind w:firstLine="0" w:firstLineChars="0"/>
                    <w:jc w:val="center"/>
                    <w:rPr>
                      <w:color w:val="000000" w:themeColor="text1"/>
                      <w:sz w:val="21"/>
                      <w:szCs w:val="21"/>
                    </w:rPr>
                  </w:pPr>
                  <w:r>
                    <w:rPr>
                      <w:rFonts w:hint="eastAsia"/>
                      <w:color w:val="000000" w:themeColor="text1"/>
                      <w:sz w:val="21"/>
                      <w:szCs w:val="21"/>
                    </w:rPr>
                    <w:t>产尘量较小，在厂房内无组织排放</w:t>
                  </w:r>
                </w:p>
              </w:tc>
              <w:tc>
                <w:tcPr>
                  <w:tcW w:w="780" w:type="dxa"/>
                  <w:tcBorders>
                    <w:tl2br w:val="nil"/>
                    <w:tr2bl w:val="nil"/>
                  </w:tcBorders>
                  <w:shd w:val="clear" w:color="auto" w:fill="auto"/>
                  <w:vAlign w:val="center"/>
                </w:tcPr>
                <w:p w14:paraId="14F97331">
                  <w:pPr>
                    <w:spacing w:line="0" w:lineRule="atLeast"/>
                    <w:ind w:firstLine="0" w:firstLineChars="0"/>
                    <w:jc w:val="center"/>
                    <w:rPr>
                      <w:bCs/>
                      <w:color w:val="000000" w:themeColor="text1"/>
                      <w:sz w:val="21"/>
                      <w:szCs w:val="21"/>
                    </w:rPr>
                  </w:pPr>
                  <w:r>
                    <w:rPr>
                      <w:bCs/>
                      <w:color w:val="000000" w:themeColor="text1"/>
                      <w:sz w:val="21"/>
                      <w:szCs w:val="21"/>
                    </w:rPr>
                    <w:t>/</w:t>
                  </w:r>
                </w:p>
              </w:tc>
              <w:tc>
                <w:tcPr>
                  <w:tcW w:w="855" w:type="dxa"/>
                  <w:tcBorders>
                    <w:tl2br w:val="nil"/>
                    <w:tr2bl w:val="nil"/>
                  </w:tcBorders>
                  <w:shd w:val="clear" w:color="auto" w:fill="auto"/>
                  <w:vAlign w:val="center"/>
                </w:tcPr>
                <w:p w14:paraId="4A53FE26">
                  <w:pPr>
                    <w:spacing w:line="0" w:lineRule="atLeast"/>
                    <w:ind w:firstLine="0" w:firstLineChars="0"/>
                    <w:jc w:val="center"/>
                    <w:rPr>
                      <w:bCs/>
                      <w:color w:val="000000" w:themeColor="text1"/>
                      <w:sz w:val="21"/>
                      <w:szCs w:val="21"/>
                    </w:rPr>
                  </w:pPr>
                  <w:r>
                    <w:rPr>
                      <w:bCs/>
                      <w:color w:val="000000" w:themeColor="text1"/>
                      <w:sz w:val="21"/>
                      <w:szCs w:val="21"/>
                    </w:rPr>
                    <w:t>/</w:t>
                  </w:r>
                </w:p>
              </w:tc>
              <w:tc>
                <w:tcPr>
                  <w:tcW w:w="1105" w:type="dxa"/>
                  <w:tcBorders>
                    <w:tl2br w:val="nil"/>
                    <w:tr2bl w:val="nil"/>
                  </w:tcBorders>
                  <w:shd w:val="clear" w:color="auto" w:fill="auto"/>
                  <w:vAlign w:val="center"/>
                </w:tcPr>
                <w:p w14:paraId="435DE359">
                  <w:pPr>
                    <w:spacing w:line="0" w:lineRule="atLeast"/>
                    <w:ind w:firstLine="0" w:firstLineChars="0"/>
                    <w:jc w:val="center"/>
                    <w:rPr>
                      <w:bCs/>
                      <w:color w:val="000000" w:themeColor="text1"/>
                      <w:sz w:val="21"/>
                      <w:szCs w:val="21"/>
                    </w:rPr>
                  </w:pPr>
                  <w:r>
                    <w:rPr>
                      <w:bCs/>
                      <w:color w:val="000000" w:themeColor="text1"/>
                      <w:sz w:val="21"/>
                      <w:szCs w:val="21"/>
                    </w:rPr>
                    <w:t>/</w:t>
                  </w:r>
                </w:p>
              </w:tc>
              <w:tc>
                <w:tcPr>
                  <w:tcW w:w="594" w:type="dxa"/>
                  <w:tcBorders>
                    <w:tl2br w:val="nil"/>
                    <w:tr2bl w:val="nil"/>
                  </w:tcBorders>
                  <w:shd w:val="clear" w:color="auto" w:fill="auto"/>
                  <w:vAlign w:val="center"/>
                </w:tcPr>
                <w:p w14:paraId="5AE783D8">
                  <w:pPr>
                    <w:spacing w:line="0" w:lineRule="atLeast"/>
                    <w:ind w:firstLine="0" w:firstLineChars="0"/>
                    <w:jc w:val="center"/>
                    <w:rPr>
                      <w:bCs/>
                      <w:color w:val="000000" w:themeColor="text1"/>
                      <w:sz w:val="21"/>
                      <w:szCs w:val="21"/>
                    </w:rPr>
                  </w:pPr>
                  <w:r>
                    <w:rPr>
                      <w:rFonts w:hint="eastAsia"/>
                      <w:color w:val="000000" w:themeColor="text1"/>
                      <w:sz w:val="21"/>
                      <w:szCs w:val="21"/>
                    </w:rPr>
                    <w:t>0.0005</w:t>
                  </w:r>
                </w:p>
              </w:tc>
              <w:tc>
                <w:tcPr>
                  <w:tcW w:w="676" w:type="dxa"/>
                  <w:tcBorders>
                    <w:tl2br w:val="nil"/>
                    <w:tr2bl w:val="nil"/>
                  </w:tcBorders>
                  <w:shd w:val="clear" w:color="auto" w:fill="auto"/>
                  <w:vAlign w:val="center"/>
                </w:tcPr>
                <w:p w14:paraId="62568EB3">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65" w:type="dxa"/>
                  <w:tcBorders>
                    <w:tl2br w:val="nil"/>
                    <w:tr2bl w:val="nil"/>
                  </w:tcBorders>
                  <w:vAlign w:val="center"/>
                </w:tcPr>
                <w:p w14:paraId="3D4B2EEB">
                  <w:pPr>
                    <w:spacing w:line="0" w:lineRule="atLeast"/>
                    <w:ind w:firstLine="0" w:firstLineChars="0"/>
                    <w:jc w:val="center"/>
                    <w:rPr>
                      <w:color w:val="000000" w:themeColor="text1"/>
                      <w:kern w:val="0"/>
                      <w:sz w:val="21"/>
                      <w:szCs w:val="21"/>
                    </w:rPr>
                  </w:pPr>
                  <w:r>
                    <w:rPr>
                      <w:rFonts w:hint="eastAsia"/>
                      <w:color w:val="000000" w:themeColor="text1"/>
                      <w:sz w:val="21"/>
                      <w:szCs w:val="21"/>
                    </w:rPr>
                    <w:t>0.00085</w:t>
                  </w:r>
                </w:p>
              </w:tc>
            </w:tr>
            <w:tr w14:paraId="66A33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98" w:type="dxa"/>
                  <w:tcBorders>
                    <w:tl2br w:val="nil"/>
                    <w:tr2bl w:val="nil"/>
                  </w:tcBorders>
                  <w:vAlign w:val="center"/>
                </w:tcPr>
                <w:p w14:paraId="1B2E3DCA">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中转仓落料及入料、制粒、筛分及筛下料落料、成品网状料仓入料及冷却、成品皮带输送机落料、打包机包装过程未被捕集</w:t>
                  </w:r>
                </w:p>
              </w:tc>
              <w:tc>
                <w:tcPr>
                  <w:tcW w:w="645" w:type="dxa"/>
                  <w:tcBorders>
                    <w:tl2br w:val="nil"/>
                    <w:tr2bl w:val="nil"/>
                  </w:tcBorders>
                  <w:vAlign w:val="center"/>
                </w:tcPr>
                <w:p w14:paraId="6C9D2188">
                  <w:pPr>
                    <w:pStyle w:val="35"/>
                    <w:spacing w:line="0" w:lineRule="atLeast"/>
                    <w:ind w:left="0" w:leftChars="0" w:right="0" w:rightChars="0"/>
                    <w:rPr>
                      <w:color w:val="000000" w:themeColor="text1"/>
                    </w:rPr>
                  </w:pPr>
                  <w:r>
                    <w:rPr>
                      <w:color w:val="000000" w:themeColor="text1"/>
                    </w:rPr>
                    <w:t>颗粒物</w:t>
                  </w:r>
                </w:p>
              </w:tc>
              <w:tc>
                <w:tcPr>
                  <w:tcW w:w="660" w:type="dxa"/>
                  <w:tcBorders>
                    <w:tl2br w:val="nil"/>
                    <w:tr2bl w:val="nil"/>
                  </w:tcBorders>
                  <w:vAlign w:val="center"/>
                </w:tcPr>
                <w:p w14:paraId="0CA9D538">
                  <w:pPr>
                    <w:spacing w:line="0" w:lineRule="atLeast"/>
                    <w:ind w:firstLine="0" w:firstLineChars="0"/>
                    <w:jc w:val="center"/>
                    <w:rPr>
                      <w:color w:val="000000" w:themeColor="text1"/>
                      <w:sz w:val="21"/>
                      <w:szCs w:val="21"/>
                    </w:rPr>
                  </w:pPr>
                  <w:r>
                    <w:rPr>
                      <w:color w:val="000000" w:themeColor="text1"/>
                      <w:sz w:val="21"/>
                      <w:szCs w:val="21"/>
                    </w:rPr>
                    <w:t>/</w:t>
                  </w:r>
                </w:p>
              </w:tc>
              <w:tc>
                <w:tcPr>
                  <w:tcW w:w="825" w:type="dxa"/>
                  <w:tcBorders>
                    <w:tl2br w:val="nil"/>
                    <w:tr2bl w:val="nil"/>
                  </w:tcBorders>
                  <w:vAlign w:val="center"/>
                </w:tcPr>
                <w:p w14:paraId="69E64FF3">
                  <w:pPr>
                    <w:spacing w:line="0" w:lineRule="atLeast"/>
                    <w:ind w:firstLine="0" w:firstLineChars="0"/>
                    <w:jc w:val="center"/>
                    <w:rPr>
                      <w:color w:val="000000" w:themeColor="text1"/>
                      <w:sz w:val="21"/>
                      <w:szCs w:val="21"/>
                    </w:rPr>
                  </w:pPr>
                  <w:r>
                    <w:rPr>
                      <w:color w:val="000000" w:themeColor="text1"/>
                      <w:kern w:val="0"/>
                      <w:sz w:val="21"/>
                      <w:szCs w:val="21"/>
                    </w:rPr>
                    <w:t>1.</w:t>
                  </w:r>
                  <w:r>
                    <w:rPr>
                      <w:rFonts w:hint="eastAsia"/>
                      <w:color w:val="000000" w:themeColor="text1"/>
                      <w:kern w:val="0"/>
                      <w:sz w:val="21"/>
                      <w:szCs w:val="21"/>
                    </w:rPr>
                    <w:t>271</w:t>
                  </w:r>
                </w:p>
              </w:tc>
              <w:tc>
                <w:tcPr>
                  <w:tcW w:w="840" w:type="dxa"/>
                  <w:tcBorders>
                    <w:tl2br w:val="nil"/>
                    <w:tr2bl w:val="nil"/>
                  </w:tcBorders>
                  <w:shd w:val="clear" w:color="auto" w:fill="auto"/>
                  <w:vAlign w:val="center"/>
                </w:tcPr>
                <w:p w14:paraId="414C4B2D">
                  <w:pPr>
                    <w:spacing w:line="0" w:lineRule="atLeast"/>
                    <w:ind w:firstLine="0" w:firstLineChars="0"/>
                    <w:jc w:val="center"/>
                    <w:rPr>
                      <w:bCs/>
                      <w:color w:val="000000" w:themeColor="text1"/>
                      <w:sz w:val="21"/>
                      <w:szCs w:val="21"/>
                    </w:rPr>
                  </w:pPr>
                  <w:r>
                    <w:rPr>
                      <w:color w:val="000000" w:themeColor="text1"/>
                      <w:sz w:val="21"/>
                      <w:szCs w:val="21"/>
                    </w:rPr>
                    <w:t>/</w:t>
                  </w:r>
                </w:p>
              </w:tc>
              <w:tc>
                <w:tcPr>
                  <w:tcW w:w="570" w:type="dxa"/>
                  <w:tcBorders>
                    <w:tl2br w:val="nil"/>
                    <w:tr2bl w:val="nil"/>
                  </w:tcBorders>
                  <w:shd w:val="clear" w:color="auto" w:fill="auto"/>
                  <w:vAlign w:val="center"/>
                </w:tcPr>
                <w:p w14:paraId="012902A0">
                  <w:pPr>
                    <w:spacing w:line="0" w:lineRule="atLeast"/>
                    <w:ind w:firstLine="0" w:firstLineChars="0"/>
                    <w:jc w:val="center"/>
                    <w:rPr>
                      <w:bCs/>
                      <w:color w:val="000000" w:themeColor="text1"/>
                      <w:sz w:val="21"/>
                      <w:szCs w:val="21"/>
                    </w:rPr>
                  </w:pPr>
                  <w:r>
                    <w:rPr>
                      <w:bCs/>
                      <w:color w:val="000000" w:themeColor="text1"/>
                      <w:sz w:val="21"/>
                      <w:szCs w:val="21"/>
                    </w:rPr>
                    <w:t>无组织</w:t>
                  </w:r>
                </w:p>
              </w:tc>
              <w:tc>
                <w:tcPr>
                  <w:tcW w:w="690" w:type="dxa"/>
                  <w:tcBorders>
                    <w:tl2br w:val="nil"/>
                    <w:tr2bl w:val="nil"/>
                  </w:tcBorders>
                  <w:shd w:val="clear" w:color="auto" w:fill="auto"/>
                  <w:vAlign w:val="center"/>
                </w:tcPr>
                <w:p w14:paraId="75E691BB">
                  <w:pPr>
                    <w:spacing w:line="0" w:lineRule="atLeast"/>
                    <w:ind w:firstLine="0" w:firstLineChars="0"/>
                    <w:jc w:val="center"/>
                    <w:rPr>
                      <w:bCs/>
                      <w:color w:val="000000" w:themeColor="text1"/>
                      <w:sz w:val="21"/>
                      <w:szCs w:val="21"/>
                    </w:rPr>
                  </w:pPr>
                  <w:r>
                    <w:rPr>
                      <w:bCs/>
                      <w:color w:val="000000" w:themeColor="text1"/>
                      <w:sz w:val="21"/>
                      <w:szCs w:val="21"/>
                    </w:rPr>
                    <w:t>/</w:t>
                  </w:r>
                </w:p>
              </w:tc>
              <w:tc>
                <w:tcPr>
                  <w:tcW w:w="675" w:type="dxa"/>
                  <w:tcBorders>
                    <w:tl2br w:val="nil"/>
                    <w:tr2bl w:val="nil"/>
                  </w:tcBorders>
                  <w:shd w:val="clear" w:color="auto" w:fill="auto"/>
                  <w:vAlign w:val="center"/>
                </w:tcPr>
                <w:p w14:paraId="573298FB">
                  <w:pPr>
                    <w:spacing w:line="0" w:lineRule="atLeast"/>
                    <w:ind w:firstLine="0" w:firstLineChars="0"/>
                    <w:jc w:val="center"/>
                    <w:rPr>
                      <w:bCs/>
                      <w:color w:val="000000" w:themeColor="text1"/>
                      <w:sz w:val="21"/>
                      <w:szCs w:val="21"/>
                    </w:rPr>
                  </w:pPr>
                  <w:r>
                    <w:rPr>
                      <w:bCs/>
                      <w:color w:val="000000" w:themeColor="text1"/>
                      <w:sz w:val="21"/>
                      <w:szCs w:val="21"/>
                    </w:rPr>
                    <w:t>/</w:t>
                  </w:r>
                </w:p>
              </w:tc>
              <w:tc>
                <w:tcPr>
                  <w:tcW w:w="2745" w:type="dxa"/>
                  <w:gridSpan w:val="2"/>
                  <w:tcBorders>
                    <w:tl2br w:val="nil"/>
                    <w:tr2bl w:val="nil"/>
                  </w:tcBorders>
                  <w:vAlign w:val="center"/>
                </w:tcPr>
                <w:p w14:paraId="673DE5F3">
                  <w:pPr>
                    <w:spacing w:line="0" w:lineRule="atLeast"/>
                    <w:ind w:firstLine="0" w:firstLineChars="0"/>
                    <w:jc w:val="center"/>
                    <w:rPr>
                      <w:color w:val="000000" w:themeColor="text1"/>
                      <w:sz w:val="21"/>
                      <w:szCs w:val="21"/>
                    </w:rPr>
                  </w:pPr>
                  <w:r>
                    <w:rPr>
                      <w:rFonts w:hint="eastAsia"/>
                      <w:color w:val="000000" w:themeColor="text1"/>
                      <w:sz w:val="21"/>
                      <w:szCs w:val="21"/>
                    </w:rPr>
                    <w:t>在厂房内无组织排放</w:t>
                  </w:r>
                </w:p>
              </w:tc>
              <w:tc>
                <w:tcPr>
                  <w:tcW w:w="780" w:type="dxa"/>
                  <w:tcBorders>
                    <w:tl2br w:val="nil"/>
                    <w:tr2bl w:val="nil"/>
                  </w:tcBorders>
                  <w:shd w:val="clear" w:color="auto" w:fill="auto"/>
                  <w:vAlign w:val="center"/>
                </w:tcPr>
                <w:p w14:paraId="5DA93DE2">
                  <w:pPr>
                    <w:spacing w:line="0" w:lineRule="atLeast"/>
                    <w:ind w:firstLine="0" w:firstLineChars="0"/>
                    <w:jc w:val="center"/>
                    <w:rPr>
                      <w:bCs/>
                      <w:color w:val="000000" w:themeColor="text1"/>
                      <w:sz w:val="21"/>
                      <w:szCs w:val="21"/>
                    </w:rPr>
                  </w:pPr>
                  <w:r>
                    <w:rPr>
                      <w:rFonts w:hint="eastAsia"/>
                      <w:bCs/>
                      <w:color w:val="000000" w:themeColor="text1"/>
                      <w:sz w:val="21"/>
                      <w:szCs w:val="21"/>
                    </w:rPr>
                    <w:t>60</w:t>
                  </w:r>
                </w:p>
              </w:tc>
              <w:tc>
                <w:tcPr>
                  <w:tcW w:w="855" w:type="dxa"/>
                  <w:tcBorders>
                    <w:tl2br w:val="nil"/>
                    <w:tr2bl w:val="nil"/>
                  </w:tcBorders>
                  <w:shd w:val="clear" w:color="auto" w:fill="auto"/>
                  <w:vAlign w:val="center"/>
                </w:tcPr>
                <w:p w14:paraId="6398F294">
                  <w:pPr>
                    <w:spacing w:line="0" w:lineRule="atLeast"/>
                    <w:ind w:firstLine="0" w:firstLineChars="0"/>
                    <w:jc w:val="center"/>
                    <w:rPr>
                      <w:bCs/>
                      <w:color w:val="000000" w:themeColor="text1"/>
                      <w:sz w:val="21"/>
                      <w:szCs w:val="21"/>
                    </w:rPr>
                  </w:pPr>
                  <w:r>
                    <w:rPr>
                      <w:bCs/>
                      <w:color w:val="000000" w:themeColor="text1"/>
                      <w:sz w:val="21"/>
                      <w:szCs w:val="21"/>
                    </w:rPr>
                    <w:t>/</w:t>
                  </w:r>
                </w:p>
              </w:tc>
              <w:tc>
                <w:tcPr>
                  <w:tcW w:w="1105" w:type="dxa"/>
                  <w:tcBorders>
                    <w:tl2br w:val="nil"/>
                    <w:tr2bl w:val="nil"/>
                  </w:tcBorders>
                  <w:shd w:val="clear" w:color="auto" w:fill="auto"/>
                  <w:vAlign w:val="center"/>
                </w:tcPr>
                <w:p w14:paraId="57161D06">
                  <w:pPr>
                    <w:spacing w:line="0" w:lineRule="atLeast"/>
                    <w:ind w:firstLine="0" w:firstLineChars="0"/>
                    <w:jc w:val="center"/>
                    <w:rPr>
                      <w:bCs/>
                      <w:color w:val="000000" w:themeColor="text1"/>
                      <w:sz w:val="21"/>
                      <w:szCs w:val="21"/>
                    </w:rPr>
                  </w:pPr>
                  <w:r>
                    <w:rPr>
                      <w:bCs/>
                      <w:color w:val="000000" w:themeColor="text1"/>
                      <w:sz w:val="21"/>
                      <w:szCs w:val="21"/>
                    </w:rPr>
                    <w:t>/</w:t>
                  </w:r>
                </w:p>
              </w:tc>
              <w:tc>
                <w:tcPr>
                  <w:tcW w:w="594" w:type="dxa"/>
                  <w:tcBorders>
                    <w:tl2br w:val="nil"/>
                    <w:tr2bl w:val="nil"/>
                  </w:tcBorders>
                  <w:vAlign w:val="center"/>
                </w:tcPr>
                <w:p w14:paraId="16A5DD00">
                  <w:pPr>
                    <w:spacing w:line="0" w:lineRule="atLeast"/>
                    <w:ind w:firstLine="0" w:firstLineChars="0"/>
                    <w:jc w:val="center"/>
                    <w:rPr>
                      <w:bCs/>
                      <w:color w:val="000000" w:themeColor="text1"/>
                      <w:sz w:val="21"/>
                      <w:szCs w:val="21"/>
                    </w:rPr>
                  </w:pPr>
                  <w:r>
                    <w:rPr>
                      <w:color w:val="000000" w:themeColor="text1"/>
                      <w:kern w:val="0"/>
                      <w:sz w:val="21"/>
                      <w:szCs w:val="21"/>
                    </w:rPr>
                    <w:t>0.</w:t>
                  </w:r>
                  <w:r>
                    <w:rPr>
                      <w:rFonts w:hint="eastAsia"/>
                      <w:color w:val="000000" w:themeColor="text1"/>
                      <w:kern w:val="0"/>
                      <w:sz w:val="21"/>
                      <w:szCs w:val="21"/>
                    </w:rPr>
                    <w:t>501</w:t>
                  </w:r>
                </w:p>
              </w:tc>
              <w:tc>
                <w:tcPr>
                  <w:tcW w:w="676" w:type="dxa"/>
                  <w:tcBorders>
                    <w:tl2br w:val="nil"/>
                    <w:tr2bl w:val="nil"/>
                  </w:tcBorders>
                  <w:vAlign w:val="center"/>
                </w:tcPr>
                <w:p w14:paraId="5EA46DE4">
                  <w:pPr>
                    <w:spacing w:line="0" w:lineRule="atLeast"/>
                    <w:ind w:firstLine="0" w:firstLineChars="0"/>
                    <w:jc w:val="center"/>
                    <w:rPr>
                      <w:bCs/>
                      <w:color w:val="000000" w:themeColor="text1"/>
                      <w:sz w:val="21"/>
                      <w:szCs w:val="21"/>
                    </w:rPr>
                  </w:pPr>
                  <w:r>
                    <w:rPr>
                      <w:rFonts w:hint="eastAsia"/>
                      <w:bCs/>
                      <w:color w:val="000000" w:themeColor="text1"/>
                      <w:sz w:val="21"/>
                      <w:szCs w:val="21"/>
                    </w:rPr>
                    <w:t>/</w:t>
                  </w:r>
                </w:p>
              </w:tc>
              <w:tc>
                <w:tcPr>
                  <w:tcW w:w="665" w:type="dxa"/>
                  <w:tcBorders>
                    <w:tl2br w:val="nil"/>
                    <w:tr2bl w:val="nil"/>
                  </w:tcBorders>
                  <w:vAlign w:val="center"/>
                </w:tcPr>
                <w:p w14:paraId="08BCADF8">
                  <w:pPr>
                    <w:spacing w:line="0" w:lineRule="atLeast"/>
                    <w:ind w:firstLine="0" w:firstLineChars="0"/>
                    <w:jc w:val="center"/>
                    <w:rPr>
                      <w:bCs/>
                      <w:color w:val="000000" w:themeColor="text1"/>
                      <w:sz w:val="21"/>
                      <w:szCs w:val="21"/>
                    </w:rPr>
                  </w:pPr>
                  <w:r>
                    <w:rPr>
                      <w:color w:val="000000" w:themeColor="text1"/>
                      <w:kern w:val="0"/>
                      <w:sz w:val="21"/>
                      <w:szCs w:val="21"/>
                    </w:rPr>
                    <w:t>0.5</w:t>
                  </w:r>
                  <w:r>
                    <w:rPr>
                      <w:rFonts w:hint="eastAsia"/>
                      <w:color w:val="000000" w:themeColor="text1"/>
                      <w:kern w:val="0"/>
                      <w:sz w:val="21"/>
                      <w:szCs w:val="21"/>
                    </w:rPr>
                    <w:t>0</w:t>
                  </w:r>
                  <w:r>
                    <w:rPr>
                      <w:color w:val="000000" w:themeColor="text1"/>
                      <w:kern w:val="0"/>
                      <w:sz w:val="21"/>
                      <w:szCs w:val="21"/>
                    </w:rPr>
                    <w:t xml:space="preserve">8 </w:t>
                  </w:r>
                </w:p>
              </w:tc>
            </w:tr>
          </w:tbl>
          <w:p w14:paraId="28004C7F">
            <w:pPr>
              <w:ind w:firstLine="0" w:firstLineChars="0"/>
              <w:rPr>
                <w:color w:val="000000" w:themeColor="text1"/>
              </w:rPr>
            </w:pPr>
          </w:p>
        </w:tc>
      </w:tr>
    </w:tbl>
    <w:p w14:paraId="4795D58A">
      <w:pPr>
        <w:ind w:firstLine="480"/>
        <w:rPr>
          <w:color w:val="000000" w:themeColor="text1"/>
        </w:rPr>
        <w:sectPr>
          <w:pgSz w:w="16838" w:h="11906" w:orient="landscape"/>
          <w:pgMar w:top="1417" w:right="1440" w:bottom="1247" w:left="1440" w:header="851" w:footer="992" w:gutter="0"/>
          <w:cols w:space="425" w:num="1"/>
          <w:docGrid w:type="lines" w:linePitch="312" w:charSpace="0"/>
        </w:sectPr>
      </w:pPr>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298"/>
      </w:tblGrid>
      <w:tr w14:paraId="304D7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Borders>
              <w:tl2br w:val="nil"/>
              <w:tr2bl w:val="nil"/>
            </w:tcBorders>
          </w:tcPr>
          <w:p w14:paraId="3FB019BE">
            <w:pPr>
              <w:ind w:firstLine="480"/>
              <w:rPr>
                <w:color w:val="000000" w:themeColor="text1"/>
              </w:rPr>
            </w:pPr>
          </w:p>
        </w:tc>
        <w:tc>
          <w:tcPr>
            <w:tcW w:w="8298" w:type="dxa"/>
            <w:tcBorders>
              <w:tl2br w:val="nil"/>
              <w:tr2bl w:val="nil"/>
            </w:tcBorders>
          </w:tcPr>
          <w:p w14:paraId="7DF9AE83">
            <w:pPr>
              <w:ind w:firstLine="480"/>
              <w:rPr>
                <w:color w:val="000000" w:themeColor="text1"/>
              </w:rPr>
            </w:pPr>
            <w:r>
              <w:rPr>
                <w:rFonts w:hint="eastAsia"/>
                <w:color w:val="000000" w:themeColor="text1"/>
              </w:rPr>
              <w:t>（3）废气排放口情况</w:t>
            </w:r>
          </w:p>
          <w:p w14:paraId="45627F4E">
            <w:pPr>
              <w:ind w:firstLine="480"/>
              <w:rPr>
                <w:color w:val="000000" w:themeColor="text1"/>
              </w:rPr>
            </w:pPr>
            <w:r>
              <w:rPr>
                <w:rFonts w:hint="eastAsia"/>
                <w:color w:val="000000" w:themeColor="text1"/>
              </w:rPr>
              <w:t>本项目废气排放口基本情况见下表。</w:t>
            </w:r>
          </w:p>
          <w:p w14:paraId="0A68A33B">
            <w:pPr>
              <w:pStyle w:val="34"/>
              <w:rPr>
                <w:color w:val="000000" w:themeColor="text1"/>
              </w:rPr>
            </w:pPr>
            <w:r>
              <w:rPr>
                <w:color w:val="000000" w:themeColor="text1"/>
              </w:rPr>
              <w:t>表</w:t>
            </w:r>
            <w:r>
              <w:rPr>
                <w:rFonts w:hint="eastAsia"/>
                <w:color w:val="000000" w:themeColor="text1"/>
              </w:rPr>
              <w:t>32  本项目废气</w:t>
            </w:r>
            <w:r>
              <w:rPr>
                <w:color w:val="000000" w:themeColor="text1"/>
              </w:rPr>
              <w:t>排放口基本情况一览表</w:t>
            </w:r>
          </w:p>
          <w:tbl>
            <w:tblPr>
              <w:tblStyle w:val="24"/>
              <w:tblW w:w="503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648"/>
              <w:gridCol w:w="647"/>
              <w:gridCol w:w="736"/>
              <w:gridCol w:w="848"/>
              <w:gridCol w:w="1153"/>
              <w:gridCol w:w="1095"/>
              <w:gridCol w:w="1100"/>
            </w:tblGrid>
            <w:tr w14:paraId="3C621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159" w:type="pct"/>
                  <w:vMerge w:val="restart"/>
                  <w:tcBorders>
                    <w:tl2br w:val="nil"/>
                    <w:tr2bl w:val="nil"/>
                  </w:tcBorders>
                  <w:vAlign w:val="center"/>
                </w:tcPr>
                <w:p w14:paraId="159719E7">
                  <w:pPr>
                    <w:spacing w:line="240" w:lineRule="auto"/>
                    <w:ind w:firstLine="0" w:firstLineChars="0"/>
                    <w:jc w:val="center"/>
                    <w:rPr>
                      <w:b/>
                      <w:color w:val="000000" w:themeColor="text1"/>
                      <w:sz w:val="21"/>
                      <w:szCs w:val="21"/>
                    </w:rPr>
                  </w:pPr>
                  <w:r>
                    <w:rPr>
                      <w:b/>
                      <w:color w:val="000000" w:themeColor="text1"/>
                      <w:sz w:val="21"/>
                      <w:szCs w:val="21"/>
                    </w:rPr>
                    <w:t>排</w:t>
                  </w:r>
                  <w:r>
                    <w:rPr>
                      <w:rFonts w:hint="eastAsia"/>
                      <w:b/>
                      <w:color w:val="000000" w:themeColor="text1"/>
                      <w:sz w:val="21"/>
                      <w:szCs w:val="21"/>
                    </w:rPr>
                    <w:t>放口名称</w:t>
                  </w:r>
                </w:p>
              </w:tc>
              <w:tc>
                <w:tcPr>
                  <w:tcW w:w="399" w:type="pct"/>
                  <w:vMerge w:val="restart"/>
                  <w:tcBorders>
                    <w:tl2br w:val="nil"/>
                    <w:tr2bl w:val="nil"/>
                  </w:tcBorders>
                  <w:vAlign w:val="center"/>
                </w:tcPr>
                <w:p w14:paraId="61115FB2">
                  <w:pPr>
                    <w:spacing w:line="240" w:lineRule="auto"/>
                    <w:ind w:firstLine="0" w:firstLineChars="0"/>
                    <w:jc w:val="center"/>
                    <w:rPr>
                      <w:b/>
                      <w:color w:val="000000" w:themeColor="text1"/>
                      <w:sz w:val="21"/>
                      <w:szCs w:val="21"/>
                    </w:rPr>
                  </w:pPr>
                  <w:r>
                    <w:rPr>
                      <w:b/>
                      <w:color w:val="000000" w:themeColor="text1"/>
                      <w:sz w:val="21"/>
                      <w:szCs w:val="21"/>
                    </w:rPr>
                    <w:t>高度</w:t>
                  </w:r>
                  <w:r>
                    <w:rPr>
                      <w:rFonts w:hint="eastAsia"/>
                      <w:b/>
                      <w:color w:val="000000" w:themeColor="text1"/>
                      <w:sz w:val="21"/>
                      <w:szCs w:val="21"/>
                    </w:rPr>
                    <w:t>（m）</w:t>
                  </w:r>
                </w:p>
              </w:tc>
              <w:tc>
                <w:tcPr>
                  <w:tcW w:w="398" w:type="pct"/>
                  <w:vMerge w:val="restart"/>
                  <w:tcBorders>
                    <w:tl2br w:val="nil"/>
                    <w:tr2bl w:val="nil"/>
                  </w:tcBorders>
                  <w:vAlign w:val="center"/>
                </w:tcPr>
                <w:p w14:paraId="4FD7577E">
                  <w:pPr>
                    <w:spacing w:line="240" w:lineRule="auto"/>
                    <w:ind w:firstLine="0" w:firstLineChars="0"/>
                    <w:jc w:val="center"/>
                    <w:rPr>
                      <w:b/>
                      <w:color w:val="000000" w:themeColor="text1"/>
                      <w:sz w:val="21"/>
                      <w:szCs w:val="21"/>
                    </w:rPr>
                  </w:pPr>
                  <w:r>
                    <w:rPr>
                      <w:b/>
                      <w:color w:val="000000" w:themeColor="text1"/>
                      <w:sz w:val="21"/>
                      <w:szCs w:val="21"/>
                    </w:rPr>
                    <w:t>内径</w:t>
                  </w:r>
                  <w:r>
                    <w:rPr>
                      <w:rFonts w:hint="eastAsia"/>
                      <w:b/>
                      <w:color w:val="000000" w:themeColor="text1"/>
                      <w:sz w:val="21"/>
                      <w:szCs w:val="21"/>
                    </w:rPr>
                    <w:t>（m）</w:t>
                  </w:r>
                </w:p>
              </w:tc>
              <w:tc>
                <w:tcPr>
                  <w:tcW w:w="454" w:type="pct"/>
                  <w:vMerge w:val="restart"/>
                  <w:tcBorders>
                    <w:tl2br w:val="nil"/>
                    <w:tr2bl w:val="nil"/>
                  </w:tcBorders>
                  <w:vAlign w:val="center"/>
                </w:tcPr>
                <w:p w14:paraId="2F4101D0">
                  <w:pPr>
                    <w:spacing w:line="240" w:lineRule="auto"/>
                    <w:ind w:firstLine="0" w:firstLineChars="0"/>
                    <w:jc w:val="center"/>
                    <w:rPr>
                      <w:b/>
                      <w:color w:val="000000" w:themeColor="text1"/>
                      <w:sz w:val="21"/>
                      <w:szCs w:val="21"/>
                    </w:rPr>
                  </w:pPr>
                  <w:r>
                    <w:rPr>
                      <w:b/>
                      <w:color w:val="000000" w:themeColor="text1"/>
                      <w:sz w:val="21"/>
                      <w:szCs w:val="21"/>
                    </w:rPr>
                    <w:t>温度</w:t>
                  </w:r>
                  <w:r>
                    <w:rPr>
                      <w:rFonts w:hint="eastAsia"/>
                      <w:b/>
                      <w:color w:val="000000" w:themeColor="text1"/>
                      <w:sz w:val="21"/>
                      <w:szCs w:val="21"/>
                    </w:rPr>
                    <w:t>（</w:t>
                  </w:r>
                  <w:r>
                    <w:rPr>
                      <w:b/>
                      <w:color w:val="000000" w:themeColor="text1"/>
                      <w:sz w:val="21"/>
                      <w:szCs w:val="21"/>
                    </w:rPr>
                    <w:t>℃</w:t>
                  </w:r>
                  <w:r>
                    <w:rPr>
                      <w:rFonts w:hint="eastAsia"/>
                      <w:b/>
                      <w:color w:val="000000" w:themeColor="text1"/>
                      <w:sz w:val="21"/>
                      <w:szCs w:val="21"/>
                    </w:rPr>
                    <w:t>）</w:t>
                  </w:r>
                </w:p>
              </w:tc>
              <w:tc>
                <w:tcPr>
                  <w:tcW w:w="523" w:type="pct"/>
                  <w:vMerge w:val="restart"/>
                  <w:tcBorders>
                    <w:tl2br w:val="nil"/>
                    <w:tr2bl w:val="nil"/>
                  </w:tcBorders>
                  <w:vAlign w:val="center"/>
                </w:tcPr>
                <w:p w14:paraId="76523505">
                  <w:pPr>
                    <w:spacing w:line="240" w:lineRule="auto"/>
                    <w:ind w:firstLine="0" w:firstLineChars="0"/>
                    <w:jc w:val="center"/>
                    <w:rPr>
                      <w:b/>
                      <w:color w:val="000000" w:themeColor="text1"/>
                      <w:sz w:val="21"/>
                      <w:szCs w:val="21"/>
                    </w:rPr>
                  </w:pPr>
                  <w:r>
                    <w:rPr>
                      <w:b/>
                      <w:color w:val="000000" w:themeColor="text1"/>
                      <w:sz w:val="21"/>
                      <w:szCs w:val="21"/>
                    </w:rPr>
                    <w:t>编号</w:t>
                  </w:r>
                </w:p>
              </w:tc>
              <w:tc>
                <w:tcPr>
                  <w:tcW w:w="711" w:type="pct"/>
                  <w:vMerge w:val="restart"/>
                  <w:tcBorders>
                    <w:tl2br w:val="nil"/>
                    <w:tr2bl w:val="nil"/>
                  </w:tcBorders>
                  <w:vAlign w:val="center"/>
                </w:tcPr>
                <w:p w14:paraId="75AA85A9">
                  <w:pPr>
                    <w:spacing w:line="240" w:lineRule="auto"/>
                    <w:ind w:firstLine="0" w:firstLineChars="0"/>
                    <w:jc w:val="center"/>
                    <w:rPr>
                      <w:b/>
                      <w:color w:val="000000" w:themeColor="text1"/>
                      <w:sz w:val="21"/>
                      <w:szCs w:val="21"/>
                    </w:rPr>
                  </w:pPr>
                  <w:r>
                    <w:rPr>
                      <w:b/>
                      <w:color w:val="000000" w:themeColor="text1"/>
                      <w:sz w:val="21"/>
                      <w:szCs w:val="21"/>
                    </w:rPr>
                    <w:t>类型</w:t>
                  </w:r>
                </w:p>
              </w:tc>
              <w:tc>
                <w:tcPr>
                  <w:tcW w:w="1353" w:type="pct"/>
                  <w:gridSpan w:val="2"/>
                  <w:tcBorders>
                    <w:tl2br w:val="nil"/>
                    <w:tr2bl w:val="nil"/>
                  </w:tcBorders>
                  <w:vAlign w:val="center"/>
                </w:tcPr>
                <w:p w14:paraId="6E0EA17A">
                  <w:pPr>
                    <w:spacing w:line="240" w:lineRule="auto"/>
                    <w:ind w:firstLine="0" w:firstLineChars="0"/>
                    <w:jc w:val="center"/>
                    <w:rPr>
                      <w:b/>
                      <w:color w:val="000000" w:themeColor="text1"/>
                      <w:sz w:val="21"/>
                      <w:szCs w:val="21"/>
                    </w:rPr>
                  </w:pPr>
                  <w:r>
                    <w:rPr>
                      <w:b/>
                      <w:color w:val="000000" w:themeColor="text1"/>
                      <w:sz w:val="21"/>
                      <w:szCs w:val="21"/>
                    </w:rPr>
                    <w:t>地理坐标</w:t>
                  </w:r>
                </w:p>
              </w:tc>
            </w:tr>
            <w:tr w14:paraId="715266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159" w:type="pct"/>
                  <w:vMerge w:val="continue"/>
                  <w:tcBorders>
                    <w:tl2br w:val="nil"/>
                    <w:tr2bl w:val="nil"/>
                  </w:tcBorders>
                  <w:vAlign w:val="center"/>
                </w:tcPr>
                <w:p w14:paraId="5CF52ABD">
                  <w:pPr>
                    <w:spacing w:line="240" w:lineRule="auto"/>
                    <w:ind w:firstLine="0" w:firstLineChars="0"/>
                    <w:jc w:val="center"/>
                    <w:rPr>
                      <w:b/>
                      <w:color w:val="000000" w:themeColor="text1"/>
                      <w:sz w:val="21"/>
                      <w:szCs w:val="21"/>
                    </w:rPr>
                  </w:pPr>
                </w:p>
              </w:tc>
              <w:tc>
                <w:tcPr>
                  <w:tcW w:w="399" w:type="pct"/>
                  <w:vMerge w:val="continue"/>
                  <w:tcBorders>
                    <w:tl2br w:val="nil"/>
                    <w:tr2bl w:val="nil"/>
                  </w:tcBorders>
                  <w:vAlign w:val="center"/>
                </w:tcPr>
                <w:p w14:paraId="76FEE4D5">
                  <w:pPr>
                    <w:spacing w:line="240" w:lineRule="auto"/>
                    <w:ind w:firstLine="0" w:firstLineChars="0"/>
                    <w:jc w:val="center"/>
                    <w:rPr>
                      <w:b/>
                      <w:color w:val="000000" w:themeColor="text1"/>
                      <w:sz w:val="21"/>
                      <w:szCs w:val="21"/>
                    </w:rPr>
                  </w:pPr>
                </w:p>
              </w:tc>
              <w:tc>
                <w:tcPr>
                  <w:tcW w:w="398" w:type="pct"/>
                  <w:vMerge w:val="continue"/>
                  <w:tcBorders>
                    <w:tl2br w:val="nil"/>
                    <w:tr2bl w:val="nil"/>
                  </w:tcBorders>
                  <w:vAlign w:val="center"/>
                </w:tcPr>
                <w:p w14:paraId="7302B94F">
                  <w:pPr>
                    <w:spacing w:line="240" w:lineRule="auto"/>
                    <w:ind w:firstLine="0" w:firstLineChars="0"/>
                    <w:jc w:val="center"/>
                    <w:rPr>
                      <w:b/>
                      <w:color w:val="000000" w:themeColor="text1"/>
                      <w:sz w:val="21"/>
                      <w:szCs w:val="21"/>
                    </w:rPr>
                  </w:pPr>
                </w:p>
              </w:tc>
              <w:tc>
                <w:tcPr>
                  <w:tcW w:w="454" w:type="pct"/>
                  <w:vMerge w:val="continue"/>
                  <w:tcBorders>
                    <w:tl2br w:val="nil"/>
                    <w:tr2bl w:val="nil"/>
                  </w:tcBorders>
                  <w:vAlign w:val="center"/>
                </w:tcPr>
                <w:p w14:paraId="69FAF554">
                  <w:pPr>
                    <w:spacing w:line="240" w:lineRule="auto"/>
                    <w:ind w:firstLine="0" w:firstLineChars="0"/>
                    <w:jc w:val="center"/>
                    <w:rPr>
                      <w:b/>
                      <w:color w:val="000000" w:themeColor="text1"/>
                      <w:sz w:val="21"/>
                      <w:szCs w:val="21"/>
                    </w:rPr>
                  </w:pPr>
                </w:p>
              </w:tc>
              <w:tc>
                <w:tcPr>
                  <w:tcW w:w="523" w:type="pct"/>
                  <w:vMerge w:val="continue"/>
                  <w:tcBorders>
                    <w:tl2br w:val="nil"/>
                    <w:tr2bl w:val="nil"/>
                  </w:tcBorders>
                  <w:vAlign w:val="center"/>
                </w:tcPr>
                <w:p w14:paraId="1F1779FA">
                  <w:pPr>
                    <w:spacing w:line="240" w:lineRule="auto"/>
                    <w:ind w:firstLine="0" w:firstLineChars="0"/>
                    <w:jc w:val="center"/>
                    <w:rPr>
                      <w:b/>
                      <w:color w:val="000000" w:themeColor="text1"/>
                      <w:sz w:val="21"/>
                      <w:szCs w:val="21"/>
                    </w:rPr>
                  </w:pPr>
                </w:p>
              </w:tc>
              <w:tc>
                <w:tcPr>
                  <w:tcW w:w="711" w:type="pct"/>
                  <w:vMerge w:val="continue"/>
                  <w:tcBorders>
                    <w:tl2br w:val="nil"/>
                    <w:tr2bl w:val="nil"/>
                  </w:tcBorders>
                  <w:vAlign w:val="center"/>
                </w:tcPr>
                <w:p w14:paraId="17972A79">
                  <w:pPr>
                    <w:spacing w:line="240" w:lineRule="auto"/>
                    <w:ind w:firstLine="0" w:firstLineChars="0"/>
                    <w:jc w:val="center"/>
                    <w:rPr>
                      <w:b/>
                      <w:color w:val="000000" w:themeColor="text1"/>
                      <w:sz w:val="21"/>
                      <w:szCs w:val="21"/>
                    </w:rPr>
                  </w:pPr>
                </w:p>
              </w:tc>
              <w:tc>
                <w:tcPr>
                  <w:tcW w:w="675" w:type="pct"/>
                  <w:tcBorders>
                    <w:tl2br w:val="nil"/>
                    <w:tr2bl w:val="nil"/>
                  </w:tcBorders>
                  <w:vAlign w:val="center"/>
                </w:tcPr>
                <w:p w14:paraId="52ABD793">
                  <w:pPr>
                    <w:spacing w:line="240" w:lineRule="auto"/>
                    <w:ind w:firstLine="0" w:firstLineChars="0"/>
                    <w:jc w:val="center"/>
                    <w:rPr>
                      <w:b/>
                      <w:color w:val="000000" w:themeColor="text1"/>
                      <w:sz w:val="21"/>
                      <w:szCs w:val="21"/>
                    </w:rPr>
                  </w:pPr>
                  <w:r>
                    <w:rPr>
                      <w:b/>
                      <w:color w:val="000000" w:themeColor="text1"/>
                      <w:sz w:val="21"/>
                      <w:szCs w:val="21"/>
                    </w:rPr>
                    <w:t>东经</w:t>
                  </w:r>
                  <w:r>
                    <w:rPr>
                      <w:rFonts w:hint="eastAsia"/>
                      <w:b/>
                      <w:color w:val="000000" w:themeColor="text1"/>
                      <w:sz w:val="21"/>
                      <w:szCs w:val="21"/>
                    </w:rPr>
                    <w:t>（°）</w:t>
                  </w:r>
                </w:p>
              </w:tc>
              <w:tc>
                <w:tcPr>
                  <w:tcW w:w="678" w:type="pct"/>
                  <w:tcBorders>
                    <w:tl2br w:val="nil"/>
                    <w:tr2bl w:val="nil"/>
                  </w:tcBorders>
                  <w:vAlign w:val="center"/>
                </w:tcPr>
                <w:p w14:paraId="580C3AE0">
                  <w:pPr>
                    <w:spacing w:line="240" w:lineRule="auto"/>
                    <w:ind w:firstLine="0" w:firstLineChars="0"/>
                    <w:jc w:val="center"/>
                    <w:rPr>
                      <w:b/>
                      <w:color w:val="000000" w:themeColor="text1"/>
                      <w:sz w:val="21"/>
                      <w:szCs w:val="21"/>
                    </w:rPr>
                  </w:pPr>
                  <w:r>
                    <w:rPr>
                      <w:b/>
                      <w:color w:val="000000" w:themeColor="text1"/>
                      <w:sz w:val="21"/>
                      <w:szCs w:val="21"/>
                    </w:rPr>
                    <w:t>北纬</w:t>
                  </w:r>
                  <w:r>
                    <w:rPr>
                      <w:rFonts w:hint="eastAsia"/>
                      <w:b/>
                      <w:color w:val="000000" w:themeColor="text1"/>
                      <w:sz w:val="21"/>
                      <w:szCs w:val="21"/>
                    </w:rPr>
                    <w:t>（°）</w:t>
                  </w:r>
                </w:p>
              </w:tc>
            </w:tr>
            <w:tr w14:paraId="183480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59" w:type="pct"/>
                  <w:tcBorders>
                    <w:tl2br w:val="nil"/>
                    <w:tr2bl w:val="nil"/>
                  </w:tcBorders>
                  <w:vAlign w:val="center"/>
                </w:tcPr>
                <w:p w14:paraId="1A59C458">
                  <w:pPr>
                    <w:pStyle w:val="35"/>
                    <w:ind w:left="0" w:leftChars="0" w:right="0" w:rightChars="0"/>
                    <w:rPr>
                      <w:bCs/>
                      <w:color w:val="000000" w:themeColor="text1"/>
                    </w:rPr>
                  </w:pPr>
                  <w:r>
                    <w:rPr>
                      <w:rFonts w:hint="eastAsia"/>
                      <w:color w:val="000000" w:themeColor="text1"/>
                    </w:rPr>
                    <w:t>“沙克龙除尘器+布袋除尘器”排气筒</w:t>
                  </w:r>
                </w:p>
              </w:tc>
              <w:tc>
                <w:tcPr>
                  <w:tcW w:w="399" w:type="pct"/>
                  <w:tcBorders>
                    <w:tl2br w:val="nil"/>
                    <w:tr2bl w:val="nil"/>
                  </w:tcBorders>
                  <w:vAlign w:val="center"/>
                </w:tcPr>
                <w:p w14:paraId="6B263DB2">
                  <w:pPr>
                    <w:spacing w:line="240" w:lineRule="auto"/>
                    <w:ind w:firstLine="0" w:firstLineChars="0"/>
                    <w:jc w:val="center"/>
                    <w:rPr>
                      <w:bCs/>
                      <w:color w:val="000000" w:themeColor="text1"/>
                      <w:sz w:val="21"/>
                      <w:szCs w:val="21"/>
                    </w:rPr>
                  </w:pPr>
                  <w:r>
                    <w:rPr>
                      <w:rFonts w:hint="eastAsia"/>
                      <w:bCs/>
                      <w:color w:val="000000" w:themeColor="text1"/>
                      <w:sz w:val="21"/>
                      <w:szCs w:val="21"/>
                    </w:rPr>
                    <w:t>15</w:t>
                  </w:r>
                </w:p>
              </w:tc>
              <w:tc>
                <w:tcPr>
                  <w:tcW w:w="398" w:type="pct"/>
                  <w:tcBorders>
                    <w:tl2br w:val="nil"/>
                    <w:tr2bl w:val="nil"/>
                  </w:tcBorders>
                  <w:vAlign w:val="center"/>
                </w:tcPr>
                <w:p w14:paraId="10EEE1A9">
                  <w:pPr>
                    <w:spacing w:line="240" w:lineRule="auto"/>
                    <w:ind w:firstLine="0" w:firstLineChars="0"/>
                    <w:jc w:val="center"/>
                    <w:rPr>
                      <w:bCs/>
                      <w:color w:val="000000" w:themeColor="text1"/>
                      <w:sz w:val="21"/>
                      <w:szCs w:val="21"/>
                    </w:rPr>
                  </w:pPr>
                  <w:r>
                    <w:rPr>
                      <w:rFonts w:hint="eastAsia"/>
                      <w:bCs/>
                      <w:color w:val="000000" w:themeColor="text1"/>
                      <w:sz w:val="21"/>
                      <w:szCs w:val="21"/>
                    </w:rPr>
                    <w:t>0.70</w:t>
                  </w:r>
                </w:p>
              </w:tc>
              <w:tc>
                <w:tcPr>
                  <w:tcW w:w="454" w:type="pct"/>
                  <w:tcBorders>
                    <w:tl2br w:val="nil"/>
                    <w:tr2bl w:val="nil"/>
                  </w:tcBorders>
                  <w:vAlign w:val="center"/>
                </w:tcPr>
                <w:p w14:paraId="68FBD5A6">
                  <w:pPr>
                    <w:spacing w:line="240" w:lineRule="auto"/>
                    <w:ind w:firstLine="0" w:firstLineChars="0"/>
                    <w:jc w:val="center"/>
                    <w:rPr>
                      <w:bCs/>
                      <w:color w:val="000000" w:themeColor="text1"/>
                      <w:sz w:val="21"/>
                      <w:szCs w:val="21"/>
                    </w:rPr>
                  </w:pPr>
                  <w:r>
                    <w:rPr>
                      <w:rFonts w:hint="eastAsia"/>
                      <w:bCs/>
                      <w:color w:val="000000" w:themeColor="text1"/>
                      <w:sz w:val="21"/>
                      <w:szCs w:val="21"/>
                    </w:rPr>
                    <w:t>45</w:t>
                  </w:r>
                </w:p>
              </w:tc>
              <w:tc>
                <w:tcPr>
                  <w:tcW w:w="523" w:type="pct"/>
                  <w:tcBorders>
                    <w:tl2br w:val="nil"/>
                    <w:tr2bl w:val="nil"/>
                  </w:tcBorders>
                  <w:vAlign w:val="center"/>
                </w:tcPr>
                <w:p w14:paraId="3708CC26">
                  <w:pPr>
                    <w:spacing w:line="240" w:lineRule="auto"/>
                    <w:ind w:firstLine="0" w:firstLineChars="0"/>
                    <w:jc w:val="center"/>
                    <w:rPr>
                      <w:bCs/>
                      <w:color w:val="000000" w:themeColor="text1"/>
                      <w:sz w:val="21"/>
                      <w:szCs w:val="21"/>
                    </w:rPr>
                  </w:pPr>
                  <w:r>
                    <w:rPr>
                      <w:rFonts w:hint="eastAsia"/>
                      <w:bCs/>
                      <w:color w:val="000000" w:themeColor="text1"/>
                      <w:sz w:val="21"/>
                      <w:szCs w:val="21"/>
                    </w:rPr>
                    <w:t>DA001</w:t>
                  </w:r>
                </w:p>
              </w:tc>
              <w:tc>
                <w:tcPr>
                  <w:tcW w:w="711" w:type="pct"/>
                  <w:tcBorders>
                    <w:tl2br w:val="nil"/>
                    <w:tr2bl w:val="nil"/>
                  </w:tcBorders>
                  <w:vAlign w:val="center"/>
                </w:tcPr>
                <w:p w14:paraId="182D6369">
                  <w:pPr>
                    <w:spacing w:line="240" w:lineRule="auto"/>
                    <w:ind w:firstLine="0" w:firstLineChars="0"/>
                    <w:jc w:val="center"/>
                    <w:rPr>
                      <w:bCs/>
                      <w:color w:val="000000" w:themeColor="text1"/>
                      <w:sz w:val="21"/>
                      <w:szCs w:val="21"/>
                    </w:rPr>
                  </w:pPr>
                  <w:r>
                    <w:rPr>
                      <w:rFonts w:hint="eastAsia"/>
                      <w:bCs/>
                      <w:color w:val="000000" w:themeColor="text1"/>
                      <w:sz w:val="21"/>
                      <w:szCs w:val="21"/>
                    </w:rPr>
                    <w:t>一般排放口</w:t>
                  </w:r>
                </w:p>
              </w:tc>
              <w:tc>
                <w:tcPr>
                  <w:tcW w:w="675" w:type="pct"/>
                  <w:tcBorders>
                    <w:tl2br w:val="nil"/>
                    <w:tr2bl w:val="nil"/>
                  </w:tcBorders>
                  <w:vAlign w:val="center"/>
                </w:tcPr>
                <w:p w14:paraId="340420DF">
                  <w:pPr>
                    <w:spacing w:line="240" w:lineRule="auto"/>
                    <w:ind w:firstLine="0" w:firstLineChars="0"/>
                    <w:jc w:val="center"/>
                    <w:rPr>
                      <w:bCs/>
                      <w:color w:val="000000" w:themeColor="text1"/>
                      <w:sz w:val="21"/>
                      <w:szCs w:val="21"/>
                    </w:rPr>
                  </w:pPr>
                  <w:r>
                    <w:rPr>
                      <w:bCs/>
                      <w:color w:val="000000" w:themeColor="text1"/>
                      <w:sz w:val="21"/>
                      <w:szCs w:val="21"/>
                    </w:rPr>
                    <w:t>118.496009</w:t>
                  </w:r>
                </w:p>
              </w:tc>
              <w:tc>
                <w:tcPr>
                  <w:tcW w:w="678" w:type="pct"/>
                  <w:tcBorders>
                    <w:tl2br w:val="nil"/>
                    <w:tr2bl w:val="nil"/>
                  </w:tcBorders>
                  <w:vAlign w:val="center"/>
                </w:tcPr>
                <w:p w14:paraId="768F6613">
                  <w:pPr>
                    <w:spacing w:line="240" w:lineRule="auto"/>
                    <w:ind w:firstLine="0" w:firstLineChars="0"/>
                    <w:jc w:val="center"/>
                    <w:rPr>
                      <w:bCs/>
                      <w:color w:val="000000" w:themeColor="text1"/>
                      <w:sz w:val="21"/>
                      <w:szCs w:val="21"/>
                    </w:rPr>
                  </w:pPr>
                  <w:r>
                    <w:rPr>
                      <w:bCs/>
                      <w:color w:val="000000" w:themeColor="text1"/>
                      <w:sz w:val="21"/>
                      <w:szCs w:val="21"/>
                    </w:rPr>
                    <w:t>39.109219</w:t>
                  </w:r>
                </w:p>
              </w:tc>
            </w:tr>
            <w:tr w14:paraId="36B602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59" w:type="pct"/>
                  <w:tcBorders>
                    <w:tl2br w:val="nil"/>
                    <w:tr2bl w:val="nil"/>
                  </w:tcBorders>
                  <w:vAlign w:val="center"/>
                </w:tcPr>
                <w:p w14:paraId="7B8B5877">
                  <w:pPr>
                    <w:pStyle w:val="35"/>
                    <w:ind w:left="0" w:leftChars="0" w:right="0" w:rightChars="0"/>
                    <w:rPr>
                      <w:color w:val="000000" w:themeColor="text1"/>
                    </w:rPr>
                  </w:pPr>
                  <w:r>
                    <w:rPr>
                      <w:rFonts w:hint="eastAsia"/>
                      <w:color w:val="000000" w:themeColor="text1"/>
                    </w:rPr>
                    <w:t>布袋除尘器排气筒</w:t>
                  </w:r>
                </w:p>
              </w:tc>
              <w:tc>
                <w:tcPr>
                  <w:tcW w:w="399" w:type="pct"/>
                  <w:tcBorders>
                    <w:tl2br w:val="nil"/>
                    <w:tr2bl w:val="nil"/>
                  </w:tcBorders>
                  <w:vAlign w:val="center"/>
                </w:tcPr>
                <w:p w14:paraId="45E2ADAC">
                  <w:pPr>
                    <w:spacing w:line="240" w:lineRule="auto"/>
                    <w:ind w:firstLine="0" w:firstLineChars="0"/>
                    <w:jc w:val="center"/>
                    <w:rPr>
                      <w:bCs/>
                      <w:color w:val="000000" w:themeColor="text1"/>
                      <w:sz w:val="21"/>
                      <w:szCs w:val="21"/>
                    </w:rPr>
                  </w:pPr>
                  <w:r>
                    <w:rPr>
                      <w:rFonts w:hint="eastAsia"/>
                      <w:bCs/>
                      <w:color w:val="000000" w:themeColor="text1"/>
                      <w:sz w:val="21"/>
                      <w:szCs w:val="21"/>
                    </w:rPr>
                    <w:t>15</w:t>
                  </w:r>
                </w:p>
              </w:tc>
              <w:tc>
                <w:tcPr>
                  <w:tcW w:w="398" w:type="pct"/>
                  <w:tcBorders>
                    <w:tl2br w:val="nil"/>
                    <w:tr2bl w:val="nil"/>
                  </w:tcBorders>
                  <w:vAlign w:val="center"/>
                </w:tcPr>
                <w:p w14:paraId="34224778">
                  <w:pPr>
                    <w:spacing w:line="240" w:lineRule="auto"/>
                    <w:ind w:firstLine="0" w:firstLineChars="0"/>
                    <w:jc w:val="center"/>
                    <w:rPr>
                      <w:bCs/>
                      <w:color w:val="000000" w:themeColor="text1"/>
                      <w:sz w:val="21"/>
                      <w:szCs w:val="21"/>
                    </w:rPr>
                  </w:pPr>
                  <w:r>
                    <w:rPr>
                      <w:rFonts w:hint="eastAsia"/>
                      <w:bCs/>
                      <w:color w:val="000000" w:themeColor="text1"/>
                      <w:sz w:val="21"/>
                      <w:szCs w:val="21"/>
                    </w:rPr>
                    <w:t>0.90</w:t>
                  </w:r>
                </w:p>
              </w:tc>
              <w:tc>
                <w:tcPr>
                  <w:tcW w:w="454" w:type="pct"/>
                  <w:tcBorders>
                    <w:tl2br w:val="nil"/>
                    <w:tr2bl w:val="nil"/>
                  </w:tcBorders>
                  <w:vAlign w:val="center"/>
                </w:tcPr>
                <w:p w14:paraId="42B3B16F">
                  <w:pPr>
                    <w:spacing w:line="240" w:lineRule="auto"/>
                    <w:ind w:firstLine="0" w:firstLineChars="0"/>
                    <w:jc w:val="center"/>
                    <w:rPr>
                      <w:bCs/>
                      <w:color w:val="000000" w:themeColor="text1"/>
                      <w:sz w:val="21"/>
                      <w:szCs w:val="21"/>
                    </w:rPr>
                  </w:pPr>
                  <w:r>
                    <w:rPr>
                      <w:rFonts w:hint="eastAsia"/>
                      <w:bCs/>
                      <w:color w:val="000000" w:themeColor="text1"/>
                      <w:sz w:val="21"/>
                      <w:szCs w:val="21"/>
                    </w:rPr>
                    <w:t>25</w:t>
                  </w:r>
                </w:p>
              </w:tc>
              <w:tc>
                <w:tcPr>
                  <w:tcW w:w="523" w:type="pct"/>
                  <w:tcBorders>
                    <w:tl2br w:val="nil"/>
                    <w:tr2bl w:val="nil"/>
                  </w:tcBorders>
                  <w:vAlign w:val="center"/>
                </w:tcPr>
                <w:p w14:paraId="23B5B07D">
                  <w:pPr>
                    <w:spacing w:line="240" w:lineRule="auto"/>
                    <w:ind w:firstLine="0" w:firstLineChars="0"/>
                    <w:jc w:val="center"/>
                    <w:rPr>
                      <w:bCs/>
                      <w:color w:val="000000" w:themeColor="text1"/>
                      <w:sz w:val="21"/>
                      <w:szCs w:val="21"/>
                    </w:rPr>
                  </w:pPr>
                  <w:r>
                    <w:rPr>
                      <w:rFonts w:hint="eastAsia"/>
                      <w:bCs/>
                      <w:color w:val="000000" w:themeColor="text1"/>
                      <w:sz w:val="21"/>
                      <w:szCs w:val="21"/>
                    </w:rPr>
                    <w:t>DA002</w:t>
                  </w:r>
                </w:p>
              </w:tc>
              <w:tc>
                <w:tcPr>
                  <w:tcW w:w="711" w:type="pct"/>
                  <w:tcBorders>
                    <w:tl2br w:val="nil"/>
                    <w:tr2bl w:val="nil"/>
                  </w:tcBorders>
                  <w:vAlign w:val="center"/>
                </w:tcPr>
                <w:p w14:paraId="7596DB40">
                  <w:pPr>
                    <w:spacing w:line="240" w:lineRule="auto"/>
                    <w:ind w:firstLine="0" w:firstLineChars="0"/>
                    <w:jc w:val="center"/>
                    <w:rPr>
                      <w:bCs/>
                      <w:color w:val="000000" w:themeColor="text1"/>
                      <w:sz w:val="21"/>
                      <w:szCs w:val="21"/>
                    </w:rPr>
                  </w:pPr>
                  <w:r>
                    <w:rPr>
                      <w:rFonts w:hint="eastAsia"/>
                      <w:bCs/>
                      <w:color w:val="000000" w:themeColor="text1"/>
                      <w:sz w:val="21"/>
                      <w:szCs w:val="21"/>
                    </w:rPr>
                    <w:t>一般排放口</w:t>
                  </w:r>
                </w:p>
              </w:tc>
              <w:tc>
                <w:tcPr>
                  <w:tcW w:w="675" w:type="pct"/>
                  <w:tcBorders>
                    <w:tl2br w:val="nil"/>
                    <w:tr2bl w:val="nil"/>
                  </w:tcBorders>
                  <w:vAlign w:val="center"/>
                </w:tcPr>
                <w:p w14:paraId="4BAFDFDC">
                  <w:pPr>
                    <w:spacing w:line="240" w:lineRule="auto"/>
                    <w:ind w:firstLine="0" w:firstLineChars="0"/>
                    <w:jc w:val="center"/>
                    <w:rPr>
                      <w:bCs/>
                      <w:color w:val="000000" w:themeColor="text1"/>
                      <w:sz w:val="21"/>
                      <w:szCs w:val="21"/>
                    </w:rPr>
                  </w:pPr>
                  <w:r>
                    <w:rPr>
                      <w:rFonts w:hint="eastAsia"/>
                      <w:bCs/>
                      <w:color w:val="000000" w:themeColor="text1"/>
                      <w:sz w:val="21"/>
                      <w:szCs w:val="21"/>
                    </w:rPr>
                    <w:t>118.495582</w:t>
                  </w:r>
                </w:p>
              </w:tc>
              <w:tc>
                <w:tcPr>
                  <w:tcW w:w="678" w:type="pct"/>
                  <w:tcBorders>
                    <w:tl2br w:val="nil"/>
                    <w:tr2bl w:val="nil"/>
                  </w:tcBorders>
                  <w:vAlign w:val="center"/>
                </w:tcPr>
                <w:p w14:paraId="23D4B17F">
                  <w:pPr>
                    <w:spacing w:line="240" w:lineRule="auto"/>
                    <w:ind w:firstLine="0" w:firstLineChars="0"/>
                    <w:jc w:val="center"/>
                    <w:rPr>
                      <w:bCs/>
                      <w:color w:val="000000" w:themeColor="text1"/>
                      <w:sz w:val="21"/>
                      <w:szCs w:val="21"/>
                    </w:rPr>
                  </w:pPr>
                  <w:r>
                    <w:rPr>
                      <w:rFonts w:hint="eastAsia"/>
                      <w:bCs/>
                      <w:color w:val="000000" w:themeColor="text1"/>
                      <w:sz w:val="21"/>
                      <w:szCs w:val="21"/>
                    </w:rPr>
                    <w:t>39.108992</w:t>
                  </w:r>
                </w:p>
              </w:tc>
            </w:tr>
          </w:tbl>
          <w:p w14:paraId="04D03C81">
            <w:pPr>
              <w:widowControl/>
              <w:ind w:firstLine="482"/>
              <w:rPr>
                <w:b/>
                <w:bCs/>
                <w:color w:val="000000" w:themeColor="text1"/>
              </w:rPr>
            </w:pPr>
            <w:r>
              <w:rPr>
                <w:rFonts w:hint="eastAsia"/>
                <w:b/>
                <w:bCs/>
                <w:color w:val="000000" w:themeColor="text1"/>
              </w:rPr>
              <w:t>1.2非正常情况分析</w:t>
            </w:r>
          </w:p>
          <w:p w14:paraId="4E796998">
            <w:pPr>
              <w:ind w:firstLine="480"/>
              <w:rPr>
                <w:color w:val="000000" w:themeColor="text1"/>
              </w:rPr>
            </w:pPr>
            <w:r>
              <w:rPr>
                <w:color w:val="000000" w:themeColor="text1"/>
              </w:rPr>
              <w:t>非正常生产排污包括开机、停机、检修和非正常状况的污染物排放</w:t>
            </w:r>
            <w:r>
              <w:rPr>
                <w:rFonts w:hint="eastAsia"/>
                <w:color w:val="000000" w:themeColor="text1"/>
              </w:rPr>
              <w:t>，</w:t>
            </w:r>
            <w:r>
              <w:rPr>
                <w:color w:val="000000" w:themeColor="text1"/>
              </w:rPr>
              <w:t>如有计划的开停机检修和临时性故障停机的污染物排放，及工艺设备及环保设施不正常运行污染物排放等。</w:t>
            </w:r>
          </w:p>
          <w:p w14:paraId="6D9C516D">
            <w:pPr>
              <w:ind w:firstLine="480"/>
              <w:rPr>
                <w:color w:val="000000" w:themeColor="text1"/>
              </w:rPr>
            </w:pPr>
            <w:r>
              <w:rPr>
                <w:color w:val="000000" w:themeColor="text1"/>
              </w:rPr>
              <w:t>①工艺装置开、停机、检修时废气污染物排放分析</w:t>
            </w:r>
          </w:p>
          <w:p w14:paraId="6BE1ABED">
            <w:pPr>
              <w:ind w:firstLine="480"/>
              <w:rPr>
                <w:color w:val="000000" w:themeColor="text1"/>
              </w:rPr>
            </w:pPr>
            <w:r>
              <w:rPr>
                <w:color w:val="000000" w:themeColor="text1"/>
              </w:rPr>
              <w:t>各工艺装置进行有计划检修开停机及临时性故障停机时，废气收集系统先于生产设施启动，后于对应设施关闭</w:t>
            </w:r>
            <w:r>
              <w:rPr>
                <w:rFonts w:hint="eastAsia"/>
                <w:color w:val="000000" w:themeColor="text1"/>
              </w:rPr>
              <w:t>。</w:t>
            </w:r>
          </w:p>
          <w:p w14:paraId="01A1EF68">
            <w:pPr>
              <w:ind w:firstLine="480"/>
              <w:rPr>
                <w:color w:val="000000" w:themeColor="text1"/>
              </w:rPr>
            </w:pPr>
            <w:r>
              <w:rPr>
                <w:color w:val="000000" w:themeColor="text1"/>
              </w:rPr>
              <w:t>②工艺设备及环保设施不正常运行污染物排放</w:t>
            </w:r>
          </w:p>
          <w:p w14:paraId="2C25920A">
            <w:pPr>
              <w:ind w:firstLine="480"/>
              <w:rPr>
                <w:color w:val="000000" w:themeColor="text1"/>
              </w:rPr>
            </w:pPr>
            <w:r>
              <w:rPr>
                <w:color w:val="000000" w:themeColor="text1"/>
              </w:rPr>
              <w:t>当工艺设备运行不正常时，可直接导致工艺装置产生废气中污染物浓度大幅增加，通常调节工艺参数可实现工艺设备正常运行，或进行停机处理</w:t>
            </w:r>
            <w:r>
              <w:rPr>
                <w:rFonts w:hint="eastAsia"/>
                <w:color w:val="000000" w:themeColor="text1"/>
              </w:rPr>
              <w:t>。</w:t>
            </w:r>
            <w:r>
              <w:rPr>
                <w:color w:val="000000" w:themeColor="text1"/>
              </w:rPr>
              <w:t>废气收集处理系统发生故障或检修时，对应的生产工艺设备</w:t>
            </w:r>
            <w:r>
              <w:rPr>
                <w:rFonts w:hint="eastAsia"/>
                <w:color w:val="000000" w:themeColor="text1"/>
              </w:rPr>
              <w:t>先</w:t>
            </w:r>
            <w:r>
              <w:rPr>
                <w:color w:val="000000" w:themeColor="text1"/>
              </w:rPr>
              <w:t>停止运行，待检修完毕后同步投入使用</w:t>
            </w:r>
            <w:r>
              <w:rPr>
                <w:rFonts w:hint="eastAsia"/>
                <w:color w:val="000000" w:themeColor="text1"/>
              </w:rPr>
              <w:t>。</w:t>
            </w:r>
          </w:p>
          <w:p w14:paraId="5FF3C7F4">
            <w:pPr>
              <w:ind w:firstLine="480"/>
              <w:rPr>
                <w:color w:val="000000" w:themeColor="text1"/>
              </w:rPr>
            </w:pPr>
            <w:r>
              <w:rPr>
                <w:rFonts w:hint="eastAsia"/>
                <w:color w:val="000000" w:themeColor="text1"/>
              </w:rPr>
              <w:t>本项目涉及的非正常工况主要为废气治理设施发生故障，从而导致废气超标排放，污染区域大气环境。在此情况下废气治理设施对废气的处理效率为0%，假设故障频次按每年发生一次，每次持续0.5h，则非正常工况下废气污染物的排放情况见下表。</w:t>
            </w:r>
          </w:p>
          <w:p w14:paraId="6436714B">
            <w:pPr>
              <w:pStyle w:val="8"/>
              <w:spacing w:line="480" w:lineRule="exact"/>
              <w:outlineLvl w:val="4"/>
              <w:rPr>
                <w:color w:val="000000" w:themeColor="text1"/>
                <w:szCs w:val="21"/>
              </w:rPr>
            </w:pPr>
            <w:r>
              <w:rPr>
                <w:rFonts w:hint="eastAsia"/>
                <w:color w:val="000000" w:themeColor="text1"/>
                <w:sz w:val="24"/>
              </w:rPr>
              <w:t xml:space="preserve"> </w:t>
            </w:r>
            <w:r>
              <w:rPr>
                <w:color w:val="000000" w:themeColor="text1"/>
                <w:szCs w:val="21"/>
              </w:rPr>
              <w:t>表</w:t>
            </w:r>
            <w:r>
              <w:rPr>
                <w:rFonts w:hint="eastAsia"/>
                <w:color w:val="000000" w:themeColor="text1"/>
                <w:szCs w:val="21"/>
              </w:rPr>
              <w:t>33</w:t>
            </w:r>
            <w:r>
              <w:rPr>
                <w:color w:val="000000" w:themeColor="text1"/>
                <w:szCs w:val="21"/>
              </w:rPr>
              <w:t xml:space="preserve">  </w:t>
            </w:r>
            <w:r>
              <w:rPr>
                <w:rFonts w:hint="eastAsia"/>
                <w:color w:val="000000" w:themeColor="text1"/>
                <w:szCs w:val="21"/>
              </w:rPr>
              <w:t>非正常工况污染物排放情况一览表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24"/>
              <w:gridCol w:w="831"/>
              <w:gridCol w:w="869"/>
              <w:gridCol w:w="1064"/>
              <w:gridCol w:w="1184"/>
              <w:gridCol w:w="2520"/>
            </w:tblGrid>
            <w:tr w14:paraId="4CE00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vAlign w:val="center"/>
                </w:tcPr>
                <w:p w14:paraId="6FBE6481">
                  <w:pPr>
                    <w:spacing w:line="240" w:lineRule="auto"/>
                    <w:ind w:firstLine="0" w:firstLineChars="0"/>
                    <w:jc w:val="center"/>
                    <w:rPr>
                      <w:b/>
                      <w:bCs/>
                      <w:color w:val="000000" w:themeColor="text1"/>
                      <w:sz w:val="21"/>
                      <w:szCs w:val="21"/>
                    </w:rPr>
                  </w:pPr>
                  <w:r>
                    <w:rPr>
                      <w:rFonts w:hint="eastAsia"/>
                      <w:b/>
                      <w:bCs/>
                      <w:color w:val="000000" w:themeColor="text1"/>
                      <w:sz w:val="21"/>
                      <w:szCs w:val="21"/>
                    </w:rPr>
                    <w:t>非正常排放源</w:t>
                  </w:r>
                </w:p>
              </w:tc>
              <w:tc>
                <w:tcPr>
                  <w:tcW w:w="449" w:type="pct"/>
                  <w:tcBorders>
                    <w:tl2br w:val="nil"/>
                    <w:tr2bl w:val="nil"/>
                  </w:tcBorders>
                  <w:vAlign w:val="center"/>
                </w:tcPr>
                <w:p w14:paraId="6288BA6D">
                  <w:pPr>
                    <w:spacing w:line="240" w:lineRule="auto"/>
                    <w:ind w:firstLine="0" w:firstLineChars="0"/>
                    <w:jc w:val="center"/>
                    <w:rPr>
                      <w:b/>
                      <w:bCs/>
                      <w:color w:val="000000" w:themeColor="text1"/>
                      <w:sz w:val="21"/>
                      <w:szCs w:val="21"/>
                    </w:rPr>
                  </w:pPr>
                  <w:r>
                    <w:rPr>
                      <w:b/>
                      <w:bCs/>
                      <w:color w:val="000000" w:themeColor="text1"/>
                      <w:sz w:val="21"/>
                      <w:szCs w:val="21"/>
                    </w:rPr>
                    <w:t>频次</w:t>
                  </w:r>
                </w:p>
              </w:tc>
              <w:tc>
                <w:tcPr>
                  <w:tcW w:w="516" w:type="pct"/>
                  <w:tcBorders>
                    <w:tl2br w:val="nil"/>
                    <w:tr2bl w:val="nil"/>
                  </w:tcBorders>
                  <w:vAlign w:val="center"/>
                </w:tcPr>
                <w:p w14:paraId="08AAAEFF">
                  <w:pPr>
                    <w:spacing w:line="240" w:lineRule="auto"/>
                    <w:ind w:firstLine="0" w:firstLineChars="0"/>
                    <w:jc w:val="center"/>
                    <w:rPr>
                      <w:b/>
                      <w:bCs/>
                      <w:color w:val="000000" w:themeColor="text1"/>
                      <w:sz w:val="21"/>
                      <w:szCs w:val="21"/>
                    </w:rPr>
                  </w:pPr>
                  <w:r>
                    <w:rPr>
                      <w:b/>
                      <w:bCs/>
                      <w:color w:val="000000" w:themeColor="text1"/>
                      <w:sz w:val="21"/>
                      <w:szCs w:val="21"/>
                    </w:rPr>
                    <w:t>持续时间h</w:t>
                  </w:r>
                </w:p>
              </w:tc>
              <w:tc>
                <w:tcPr>
                  <w:tcW w:w="540" w:type="pct"/>
                  <w:tcBorders>
                    <w:tl2br w:val="nil"/>
                    <w:tr2bl w:val="nil"/>
                  </w:tcBorders>
                  <w:vAlign w:val="center"/>
                </w:tcPr>
                <w:p w14:paraId="59B45C70">
                  <w:pPr>
                    <w:spacing w:line="240" w:lineRule="auto"/>
                    <w:ind w:firstLine="0" w:firstLineChars="0"/>
                    <w:jc w:val="center"/>
                    <w:rPr>
                      <w:b/>
                      <w:bCs/>
                      <w:color w:val="000000" w:themeColor="text1"/>
                      <w:sz w:val="21"/>
                      <w:szCs w:val="21"/>
                    </w:rPr>
                  </w:pPr>
                  <w:r>
                    <w:rPr>
                      <w:b/>
                      <w:bCs/>
                      <w:color w:val="000000" w:themeColor="text1"/>
                      <w:sz w:val="21"/>
                      <w:szCs w:val="21"/>
                    </w:rPr>
                    <w:t>污染物名称</w:t>
                  </w:r>
                </w:p>
              </w:tc>
              <w:tc>
                <w:tcPr>
                  <w:tcW w:w="661" w:type="pct"/>
                  <w:tcBorders>
                    <w:tl2br w:val="nil"/>
                    <w:tr2bl w:val="nil"/>
                  </w:tcBorders>
                  <w:vAlign w:val="center"/>
                </w:tcPr>
                <w:p w14:paraId="25494D7A">
                  <w:pPr>
                    <w:spacing w:line="240" w:lineRule="auto"/>
                    <w:ind w:firstLine="0" w:firstLineChars="0"/>
                    <w:jc w:val="center"/>
                    <w:rPr>
                      <w:b/>
                      <w:bCs/>
                      <w:color w:val="000000" w:themeColor="text1"/>
                      <w:sz w:val="21"/>
                      <w:szCs w:val="21"/>
                    </w:rPr>
                  </w:pPr>
                  <w:r>
                    <w:rPr>
                      <w:b/>
                      <w:bCs/>
                      <w:color w:val="000000" w:themeColor="text1"/>
                      <w:sz w:val="21"/>
                      <w:szCs w:val="21"/>
                    </w:rPr>
                    <w:t>排放浓度mg/m</w:t>
                  </w:r>
                  <w:r>
                    <w:rPr>
                      <w:b/>
                      <w:bCs/>
                      <w:color w:val="000000" w:themeColor="text1"/>
                      <w:sz w:val="21"/>
                      <w:szCs w:val="21"/>
                      <w:vertAlign w:val="superscript"/>
                    </w:rPr>
                    <w:t>3</w:t>
                  </w:r>
                </w:p>
              </w:tc>
              <w:tc>
                <w:tcPr>
                  <w:tcW w:w="736" w:type="pct"/>
                  <w:tcBorders>
                    <w:tl2br w:val="nil"/>
                    <w:tr2bl w:val="nil"/>
                  </w:tcBorders>
                  <w:vAlign w:val="center"/>
                </w:tcPr>
                <w:p w14:paraId="780F75FE">
                  <w:pPr>
                    <w:spacing w:line="240" w:lineRule="auto"/>
                    <w:ind w:firstLine="0" w:firstLineChars="0"/>
                    <w:jc w:val="center"/>
                    <w:rPr>
                      <w:b/>
                      <w:bCs/>
                      <w:color w:val="000000" w:themeColor="text1"/>
                      <w:sz w:val="21"/>
                      <w:szCs w:val="21"/>
                    </w:rPr>
                  </w:pPr>
                  <w:r>
                    <w:rPr>
                      <w:b/>
                      <w:bCs/>
                      <w:color w:val="000000" w:themeColor="text1"/>
                      <w:sz w:val="21"/>
                      <w:szCs w:val="21"/>
                    </w:rPr>
                    <w:t>排放量kg/h</w:t>
                  </w:r>
                </w:p>
              </w:tc>
              <w:tc>
                <w:tcPr>
                  <w:tcW w:w="1565" w:type="pct"/>
                  <w:tcBorders>
                    <w:tl2br w:val="nil"/>
                    <w:tr2bl w:val="nil"/>
                  </w:tcBorders>
                  <w:vAlign w:val="center"/>
                </w:tcPr>
                <w:p w14:paraId="2BBECED6">
                  <w:pPr>
                    <w:spacing w:line="240" w:lineRule="auto"/>
                    <w:ind w:firstLine="0" w:firstLineChars="0"/>
                    <w:jc w:val="center"/>
                    <w:rPr>
                      <w:b/>
                      <w:bCs/>
                      <w:color w:val="000000" w:themeColor="text1"/>
                      <w:sz w:val="21"/>
                      <w:szCs w:val="21"/>
                    </w:rPr>
                  </w:pPr>
                  <w:r>
                    <w:rPr>
                      <w:b/>
                      <w:bCs/>
                      <w:color w:val="000000" w:themeColor="text1"/>
                      <w:sz w:val="21"/>
                      <w:szCs w:val="21"/>
                    </w:rPr>
                    <w:t>措施</w:t>
                  </w:r>
                </w:p>
              </w:tc>
            </w:tr>
            <w:tr w14:paraId="79DAD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restart"/>
                  <w:tcBorders>
                    <w:tl2br w:val="nil"/>
                    <w:tr2bl w:val="nil"/>
                  </w:tcBorders>
                  <w:vAlign w:val="center"/>
                </w:tcPr>
                <w:p w14:paraId="64F19859">
                  <w:pPr>
                    <w:pStyle w:val="35"/>
                    <w:ind w:left="0" w:leftChars="0" w:right="0" w:rightChars="0"/>
                    <w:rPr>
                      <w:color w:val="000000" w:themeColor="text1"/>
                    </w:rPr>
                  </w:pPr>
                  <w:r>
                    <w:rPr>
                      <w:rFonts w:hint="eastAsia"/>
                      <w:color w:val="000000" w:themeColor="text1"/>
                    </w:rPr>
                    <w:t>“沙克龙除尘器+布袋除尘器”排气筒</w:t>
                  </w:r>
                </w:p>
              </w:tc>
              <w:tc>
                <w:tcPr>
                  <w:tcW w:w="449" w:type="pct"/>
                  <w:vMerge w:val="restart"/>
                  <w:tcBorders>
                    <w:tl2br w:val="nil"/>
                    <w:tr2bl w:val="nil"/>
                  </w:tcBorders>
                  <w:vAlign w:val="center"/>
                </w:tcPr>
                <w:p w14:paraId="05803351">
                  <w:pPr>
                    <w:spacing w:line="240" w:lineRule="auto"/>
                    <w:ind w:firstLine="0" w:firstLineChars="0"/>
                    <w:jc w:val="center"/>
                    <w:rPr>
                      <w:b/>
                      <w:bCs/>
                      <w:color w:val="000000" w:themeColor="text1"/>
                      <w:sz w:val="21"/>
                      <w:szCs w:val="21"/>
                    </w:rPr>
                  </w:pPr>
                  <w:r>
                    <w:rPr>
                      <w:color w:val="000000" w:themeColor="text1"/>
                      <w:sz w:val="21"/>
                      <w:szCs w:val="21"/>
                    </w:rPr>
                    <w:t>1次/</w:t>
                  </w:r>
                  <w:r>
                    <w:rPr>
                      <w:rFonts w:hint="eastAsia"/>
                      <w:color w:val="000000" w:themeColor="text1"/>
                      <w:sz w:val="21"/>
                      <w:szCs w:val="21"/>
                    </w:rPr>
                    <w:t>a</w:t>
                  </w:r>
                </w:p>
              </w:tc>
              <w:tc>
                <w:tcPr>
                  <w:tcW w:w="516" w:type="pct"/>
                  <w:vMerge w:val="restart"/>
                  <w:tcBorders>
                    <w:tl2br w:val="nil"/>
                    <w:tr2bl w:val="nil"/>
                  </w:tcBorders>
                  <w:vAlign w:val="center"/>
                </w:tcPr>
                <w:p w14:paraId="3BB9341C">
                  <w:pPr>
                    <w:spacing w:line="240" w:lineRule="auto"/>
                    <w:ind w:firstLine="0" w:firstLineChars="0"/>
                    <w:jc w:val="center"/>
                    <w:rPr>
                      <w:color w:val="000000" w:themeColor="text1"/>
                      <w:sz w:val="21"/>
                      <w:szCs w:val="21"/>
                    </w:rPr>
                  </w:pPr>
                  <w:r>
                    <w:rPr>
                      <w:rFonts w:hint="eastAsia"/>
                      <w:color w:val="000000" w:themeColor="text1"/>
                      <w:sz w:val="21"/>
                      <w:szCs w:val="21"/>
                    </w:rPr>
                    <w:t>0.5</w:t>
                  </w:r>
                </w:p>
              </w:tc>
              <w:tc>
                <w:tcPr>
                  <w:tcW w:w="540" w:type="pct"/>
                  <w:tcBorders>
                    <w:tl2br w:val="nil"/>
                    <w:tr2bl w:val="nil"/>
                  </w:tcBorders>
                  <w:vAlign w:val="center"/>
                </w:tcPr>
                <w:p w14:paraId="4FE4AC83">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065" w:type="dxa"/>
                  <w:tcBorders>
                    <w:tl2br w:val="nil"/>
                    <w:tr2bl w:val="nil"/>
                  </w:tcBorders>
                  <w:shd w:val="clear" w:color="auto" w:fill="auto"/>
                  <w:vAlign w:val="center"/>
                </w:tcPr>
                <w:p w14:paraId="679F083C">
                  <w:pPr>
                    <w:spacing w:line="0" w:lineRule="atLeast"/>
                    <w:ind w:firstLine="0" w:firstLineChars="0"/>
                    <w:jc w:val="center"/>
                    <w:rPr>
                      <w:bCs/>
                      <w:color w:val="000000" w:themeColor="text1"/>
                      <w:sz w:val="21"/>
                      <w:szCs w:val="21"/>
                    </w:rPr>
                  </w:pPr>
                  <w:r>
                    <w:rPr>
                      <w:rFonts w:hint="eastAsia"/>
                      <w:bCs/>
                      <w:color w:val="000000" w:themeColor="text1"/>
                      <w:sz w:val="21"/>
                      <w:szCs w:val="21"/>
                    </w:rPr>
                    <w:t>1456.5</w:t>
                  </w:r>
                </w:p>
              </w:tc>
              <w:tc>
                <w:tcPr>
                  <w:tcW w:w="736" w:type="pct"/>
                  <w:tcBorders>
                    <w:tl2br w:val="nil"/>
                    <w:tr2bl w:val="nil"/>
                  </w:tcBorders>
                  <w:vAlign w:val="center"/>
                </w:tcPr>
                <w:p w14:paraId="38D0E908">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29.130</w:t>
                  </w:r>
                </w:p>
              </w:tc>
              <w:tc>
                <w:tcPr>
                  <w:tcW w:w="1565" w:type="pct"/>
                  <w:vMerge w:val="restart"/>
                  <w:tcBorders>
                    <w:tl2br w:val="nil"/>
                    <w:tr2bl w:val="nil"/>
                  </w:tcBorders>
                  <w:vAlign w:val="center"/>
                </w:tcPr>
                <w:p w14:paraId="17F62842">
                  <w:pPr>
                    <w:spacing w:line="240" w:lineRule="auto"/>
                    <w:ind w:firstLine="0" w:firstLineChars="0"/>
                    <w:jc w:val="center"/>
                    <w:rPr>
                      <w:b/>
                      <w:bCs/>
                      <w:color w:val="000000" w:themeColor="text1"/>
                      <w:sz w:val="21"/>
                      <w:szCs w:val="21"/>
                    </w:rPr>
                  </w:pPr>
                  <w:r>
                    <w:rPr>
                      <w:color w:val="000000" w:themeColor="text1"/>
                      <w:sz w:val="21"/>
                      <w:szCs w:val="21"/>
                    </w:rPr>
                    <w:t>当非正常工况发生时，建设单位应立即停止生产，并及时对环保设备进行检修，在环保设备检修完成，且确保能够正常工作后再恢复生产。建议建设单位定期对各废气治理设施进行检修，降低非正常工况的发生频次，减少非正常工况的持续时间</w:t>
                  </w:r>
                </w:p>
              </w:tc>
            </w:tr>
            <w:tr w14:paraId="41E21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138D6FB9">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65953A33">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6AF72510">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6FE0A53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065" w:type="dxa"/>
                  <w:tcBorders>
                    <w:tl2br w:val="nil"/>
                    <w:tr2bl w:val="nil"/>
                  </w:tcBorders>
                  <w:shd w:val="clear" w:color="auto" w:fill="auto"/>
                  <w:vAlign w:val="center"/>
                </w:tcPr>
                <w:p w14:paraId="188BF146">
                  <w:pPr>
                    <w:spacing w:line="0" w:lineRule="atLeast"/>
                    <w:ind w:firstLine="0" w:firstLineChars="0"/>
                    <w:jc w:val="center"/>
                    <w:rPr>
                      <w:bCs/>
                      <w:color w:val="000000" w:themeColor="text1"/>
                      <w:sz w:val="21"/>
                      <w:szCs w:val="21"/>
                    </w:rPr>
                  </w:pPr>
                  <w:r>
                    <w:rPr>
                      <w:rFonts w:hint="eastAsia"/>
                      <w:bCs/>
                      <w:color w:val="000000" w:themeColor="text1"/>
                      <w:sz w:val="21"/>
                      <w:szCs w:val="21"/>
                    </w:rPr>
                    <w:t>7.8</w:t>
                  </w:r>
                </w:p>
              </w:tc>
              <w:tc>
                <w:tcPr>
                  <w:tcW w:w="736" w:type="pct"/>
                  <w:tcBorders>
                    <w:tl2br w:val="nil"/>
                    <w:tr2bl w:val="nil"/>
                  </w:tcBorders>
                  <w:vAlign w:val="center"/>
                </w:tcPr>
                <w:p w14:paraId="61B473F8">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0.155</w:t>
                  </w:r>
                </w:p>
              </w:tc>
              <w:tc>
                <w:tcPr>
                  <w:tcW w:w="1565" w:type="pct"/>
                  <w:vMerge w:val="continue"/>
                  <w:tcBorders>
                    <w:tl2br w:val="nil"/>
                    <w:tr2bl w:val="nil"/>
                  </w:tcBorders>
                  <w:vAlign w:val="center"/>
                </w:tcPr>
                <w:p w14:paraId="10B1624E">
                  <w:pPr>
                    <w:pStyle w:val="15"/>
                    <w:spacing w:after="0" w:line="240" w:lineRule="auto"/>
                    <w:ind w:left="0" w:leftChars="0" w:right="0" w:rightChars="0" w:firstLine="0" w:firstLineChars="0"/>
                    <w:jc w:val="center"/>
                    <w:rPr>
                      <w:color w:val="000000" w:themeColor="text1"/>
                      <w:sz w:val="21"/>
                      <w:szCs w:val="21"/>
                    </w:rPr>
                  </w:pPr>
                </w:p>
              </w:tc>
            </w:tr>
            <w:tr w14:paraId="6D659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17A940BE">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284F69D5">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2315C8B4">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3096242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065" w:type="dxa"/>
                  <w:tcBorders>
                    <w:tl2br w:val="nil"/>
                    <w:tr2bl w:val="nil"/>
                  </w:tcBorders>
                  <w:shd w:val="clear" w:color="auto" w:fill="auto"/>
                  <w:vAlign w:val="center"/>
                </w:tcPr>
                <w:p w14:paraId="4FFE93F3">
                  <w:pPr>
                    <w:spacing w:line="0" w:lineRule="atLeast"/>
                    <w:ind w:firstLine="0" w:firstLineChars="0"/>
                    <w:jc w:val="center"/>
                    <w:rPr>
                      <w:bCs/>
                      <w:color w:val="000000" w:themeColor="text1"/>
                      <w:sz w:val="21"/>
                      <w:szCs w:val="21"/>
                    </w:rPr>
                  </w:pPr>
                  <w:r>
                    <w:rPr>
                      <w:rFonts w:hint="eastAsia"/>
                      <w:bCs/>
                      <w:color w:val="000000" w:themeColor="text1"/>
                      <w:sz w:val="21"/>
                      <w:szCs w:val="21"/>
                    </w:rPr>
                    <w:t>9.3</w:t>
                  </w:r>
                </w:p>
              </w:tc>
              <w:tc>
                <w:tcPr>
                  <w:tcW w:w="736" w:type="pct"/>
                  <w:tcBorders>
                    <w:tl2br w:val="nil"/>
                    <w:tr2bl w:val="nil"/>
                  </w:tcBorders>
                  <w:vAlign w:val="center"/>
                </w:tcPr>
                <w:p w14:paraId="0A1E7EB8">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0.186</w:t>
                  </w:r>
                </w:p>
              </w:tc>
              <w:tc>
                <w:tcPr>
                  <w:tcW w:w="1565" w:type="pct"/>
                  <w:vMerge w:val="continue"/>
                  <w:tcBorders>
                    <w:tl2br w:val="nil"/>
                    <w:tr2bl w:val="nil"/>
                  </w:tcBorders>
                  <w:vAlign w:val="center"/>
                </w:tcPr>
                <w:p w14:paraId="58FC09BB">
                  <w:pPr>
                    <w:pStyle w:val="15"/>
                    <w:spacing w:after="0" w:line="240" w:lineRule="auto"/>
                    <w:ind w:left="0" w:leftChars="0" w:right="0" w:rightChars="0" w:firstLine="0" w:firstLineChars="0"/>
                    <w:jc w:val="center"/>
                    <w:rPr>
                      <w:color w:val="000000" w:themeColor="text1"/>
                      <w:sz w:val="21"/>
                      <w:szCs w:val="21"/>
                    </w:rPr>
                  </w:pPr>
                </w:p>
              </w:tc>
            </w:tr>
            <w:tr w14:paraId="1A8E9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4A0402DD">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139926FA">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1688AAE3">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1D16812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065" w:type="dxa"/>
                  <w:tcBorders>
                    <w:tl2br w:val="nil"/>
                    <w:tr2bl w:val="nil"/>
                  </w:tcBorders>
                  <w:shd w:val="clear" w:color="auto" w:fill="auto"/>
                  <w:vAlign w:val="center"/>
                </w:tcPr>
                <w:p w14:paraId="20EBCAF4">
                  <w:pPr>
                    <w:spacing w:line="0" w:lineRule="atLeast"/>
                    <w:ind w:firstLine="0" w:firstLineChars="0"/>
                    <w:jc w:val="center"/>
                    <w:rPr>
                      <w:bCs/>
                      <w:color w:val="000000" w:themeColor="text1"/>
                      <w:sz w:val="21"/>
                      <w:szCs w:val="21"/>
                    </w:rPr>
                  </w:pPr>
                  <w:r>
                    <w:rPr>
                      <w:rFonts w:hint="eastAsia"/>
                      <w:bCs/>
                      <w:color w:val="000000" w:themeColor="text1"/>
                      <w:sz w:val="21"/>
                      <w:szCs w:val="21"/>
                    </w:rPr>
                    <w:t>1.5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p>
              </w:tc>
              <w:tc>
                <w:tcPr>
                  <w:tcW w:w="736" w:type="pct"/>
                  <w:tcBorders>
                    <w:tl2br w:val="nil"/>
                    <w:tr2bl w:val="nil"/>
                  </w:tcBorders>
                  <w:vAlign w:val="center"/>
                </w:tcPr>
                <w:p w14:paraId="79DD7A41">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kern w:val="0"/>
                      <w:sz w:val="21"/>
                      <w:szCs w:val="21"/>
                    </w:rPr>
                    <w:t>3.024</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565" w:type="pct"/>
                  <w:vMerge w:val="continue"/>
                  <w:tcBorders>
                    <w:tl2br w:val="nil"/>
                    <w:tr2bl w:val="nil"/>
                  </w:tcBorders>
                  <w:vAlign w:val="center"/>
                </w:tcPr>
                <w:p w14:paraId="7C6F9188">
                  <w:pPr>
                    <w:pStyle w:val="15"/>
                    <w:spacing w:after="0" w:line="240" w:lineRule="auto"/>
                    <w:ind w:left="0" w:leftChars="0" w:right="0" w:rightChars="0" w:firstLine="0" w:firstLineChars="0"/>
                    <w:jc w:val="center"/>
                    <w:rPr>
                      <w:color w:val="000000" w:themeColor="text1"/>
                      <w:sz w:val="21"/>
                      <w:szCs w:val="21"/>
                    </w:rPr>
                  </w:pPr>
                </w:p>
              </w:tc>
            </w:tr>
            <w:tr w14:paraId="68B76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0" w:type="pct"/>
                  <w:vMerge w:val="continue"/>
                  <w:tcBorders>
                    <w:tl2br w:val="nil"/>
                    <w:tr2bl w:val="nil"/>
                  </w:tcBorders>
                  <w:vAlign w:val="center"/>
                </w:tcPr>
                <w:p w14:paraId="22A5ED99">
                  <w:pPr>
                    <w:pStyle w:val="15"/>
                    <w:spacing w:after="0" w:line="240" w:lineRule="auto"/>
                    <w:ind w:left="0" w:leftChars="0" w:right="0" w:rightChars="0" w:firstLine="0" w:firstLineChars="0"/>
                    <w:jc w:val="center"/>
                    <w:rPr>
                      <w:color w:val="000000" w:themeColor="text1"/>
                      <w:sz w:val="21"/>
                      <w:szCs w:val="21"/>
                    </w:rPr>
                  </w:pPr>
                </w:p>
              </w:tc>
              <w:tc>
                <w:tcPr>
                  <w:tcW w:w="449" w:type="pct"/>
                  <w:vMerge w:val="continue"/>
                  <w:tcBorders>
                    <w:tl2br w:val="nil"/>
                    <w:tr2bl w:val="nil"/>
                  </w:tcBorders>
                  <w:vAlign w:val="center"/>
                </w:tcPr>
                <w:p w14:paraId="4AC79799">
                  <w:pPr>
                    <w:pStyle w:val="15"/>
                    <w:spacing w:after="0" w:line="240" w:lineRule="auto"/>
                    <w:ind w:left="0" w:leftChars="0" w:right="0" w:rightChars="0" w:firstLine="0" w:firstLineChars="0"/>
                    <w:jc w:val="center"/>
                    <w:rPr>
                      <w:color w:val="000000" w:themeColor="text1"/>
                      <w:sz w:val="21"/>
                      <w:szCs w:val="21"/>
                    </w:rPr>
                  </w:pPr>
                </w:p>
              </w:tc>
              <w:tc>
                <w:tcPr>
                  <w:tcW w:w="516" w:type="pct"/>
                  <w:vMerge w:val="continue"/>
                  <w:tcBorders>
                    <w:tl2br w:val="nil"/>
                    <w:tr2bl w:val="nil"/>
                  </w:tcBorders>
                  <w:vAlign w:val="center"/>
                </w:tcPr>
                <w:p w14:paraId="170898FE">
                  <w:pPr>
                    <w:pStyle w:val="15"/>
                    <w:spacing w:after="0" w:line="240" w:lineRule="auto"/>
                    <w:ind w:left="0" w:leftChars="0" w:right="0" w:rightChars="0" w:firstLine="0" w:firstLineChars="0"/>
                    <w:jc w:val="center"/>
                    <w:rPr>
                      <w:color w:val="000000" w:themeColor="text1"/>
                      <w:sz w:val="21"/>
                      <w:szCs w:val="21"/>
                    </w:rPr>
                  </w:pPr>
                </w:p>
              </w:tc>
              <w:tc>
                <w:tcPr>
                  <w:tcW w:w="540" w:type="pct"/>
                  <w:tcBorders>
                    <w:tl2br w:val="nil"/>
                    <w:tr2bl w:val="nil"/>
                  </w:tcBorders>
                  <w:shd w:val="clear" w:color="auto" w:fill="auto"/>
                  <w:vAlign w:val="center"/>
                </w:tcPr>
                <w:p w14:paraId="3DB4358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661" w:type="pct"/>
                  <w:tcBorders>
                    <w:tl2br w:val="nil"/>
                    <w:tr2bl w:val="nil"/>
                  </w:tcBorders>
                  <w:shd w:val="clear" w:color="auto" w:fill="auto"/>
                  <w:vAlign w:val="center"/>
                </w:tcPr>
                <w:p w14:paraId="7D955240">
                  <w:pPr>
                    <w:spacing w:line="0" w:lineRule="atLeast"/>
                    <w:ind w:firstLine="0" w:firstLineChars="0"/>
                    <w:jc w:val="center"/>
                    <w:rPr>
                      <w:bCs/>
                      <w:color w:val="000000" w:themeColor="text1"/>
                      <w:sz w:val="21"/>
                      <w:szCs w:val="21"/>
                    </w:rPr>
                  </w:pPr>
                  <w:r>
                    <w:rPr>
                      <w:rFonts w:hint="eastAsia"/>
                      <w:color w:val="000000" w:themeColor="text1"/>
                      <w:sz w:val="21"/>
                      <w:szCs w:val="21"/>
                    </w:rPr>
                    <w:t>﹤1级</w:t>
                  </w:r>
                </w:p>
              </w:tc>
              <w:tc>
                <w:tcPr>
                  <w:tcW w:w="736" w:type="pct"/>
                  <w:tcBorders>
                    <w:tl2br w:val="nil"/>
                    <w:tr2bl w:val="nil"/>
                  </w:tcBorders>
                  <w:vAlign w:val="center"/>
                </w:tcPr>
                <w:p w14:paraId="79D662CF">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w:t>
                  </w:r>
                </w:p>
              </w:tc>
              <w:tc>
                <w:tcPr>
                  <w:tcW w:w="1565" w:type="pct"/>
                  <w:vMerge w:val="continue"/>
                  <w:tcBorders>
                    <w:tl2br w:val="nil"/>
                    <w:tr2bl w:val="nil"/>
                  </w:tcBorders>
                  <w:vAlign w:val="center"/>
                </w:tcPr>
                <w:p w14:paraId="220E7AD0">
                  <w:pPr>
                    <w:pStyle w:val="15"/>
                    <w:spacing w:after="0" w:line="240" w:lineRule="auto"/>
                    <w:ind w:left="0" w:leftChars="0" w:right="0" w:rightChars="0" w:firstLine="0" w:firstLineChars="0"/>
                    <w:jc w:val="center"/>
                    <w:rPr>
                      <w:color w:val="000000" w:themeColor="text1"/>
                      <w:sz w:val="21"/>
                      <w:szCs w:val="21"/>
                    </w:rPr>
                  </w:pPr>
                </w:p>
              </w:tc>
            </w:tr>
            <w:tr w14:paraId="73C2D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vAlign w:val="center"/>
                </w:tcPr>
                <w:p w14:paraId="258CEFBC">
                  <w:pPr>
                    <w:pStyle w:val="35"/>
                    <w:ind w:left="0" w:leftChars="0" w:right="0" w:rightChars="0"/>
                    <w:rPr>
                      <w:color w:val="000000" w:themeColor="text1"/>
                    </w:rPr>
                  </w:pPr>
                  <w:r>
                    <w:rPr>
                      <w:rFonts w:hint="eastAsia"/>
                      <w:color w:val="000000" w:themeColor="text1"/>
                    </w:rPr>
                    <w:t>布袋除尘器排气筒</w:t>
                  </w:r>
                </w:p>
              </w:tc>
              <w:tc>
                <w:tcPr>
                  <w:tcW w:w="449" w:type="pct"/>
                  <w:tcBorders>
                    <w:tl2br w:val="nil"/>
                    <w:tr2bl w:val="nil"/>
                  </w:tcBorders>
                  <w:shd w:val="clear" w:color="auto" w:fill="auto"/>
                  <w:vAlign w:val="center"/>
                </w:tcPr>
                <w:p w14:paraId="38F4E088">
                  <w:pPr>
                    <w:spacing w:line="240" w:lineRule="auto"/>
                    <w:ind w:firstLine="0" w:firstLineChars="0"/>
                    <w:jc w:val="center"/>
                    <w:rPr>
                      <w:b/>
                      <w:bCs/>
                      <w:color w:val="000000" w:themeColor="text1"/>
                      <w:sz w:val="21"/>
                      <w:szCs w:val="21"/>
                    </w:rPr>
                  </w:pPr>
                  <w:r>
                    <w:rPr>
                      <w:color w:val="000000" w:themeColor="text1"/>
                      <w:sz w:val="21"/>
                      <w:szCs w:val="21"/>
                    </w:rPr>
                    <w:t>1次/</w:t>
                  </w:r>
                  <w:r>
                    <w:rPr>
                      <w:rFonts w:hint="eastAsia"/>
                      <w:color w:val="000000" w:themeColor="text1"/>
                      <w:sz w:val="21"/>
                      <w:szCs w:val="21"/>
                    </w:rPr>
                    <w:t>a</w:t>
                  </w:r>
                </w:p>
              </w:tc>
              <w:tc>
                <w:tcPr>
                  <w:tcW w:w="516" w:type="pct"/>
                  <w:tcBorders>
                    <w:tl2br w:val="nil"/>
                    <w:tr2bl w:val="nil"/>
                  </w:tcBorders>
                  <w:shd w:val="clear" w:color="auto" w:fill="auto"/>
                  <w:vAlign w:val="center"/>
                </w:tcPr>
                <w:p w14:paraId="5E6523DD">
                  <w:pPr>
                    <w:spacing w:line="240" w:lineRule="auto"/>
                    <w:ind w:firstLine="0" w:firstLineChars="0"/>
                    <w:jc w:val="center"/>
                    <w:rPr>
                      <w:color w:val="000000" w:themeColor="text1"/>
                      <w:sz w:val="21"/>
                      <w:szCs w:val="21"/>
                    </w:rPr>
                  </w:pPr>
                  <w:r>
                    <w:rPr>
                      <w:rFonts w:hint="eastAsia"/>
                      <w:color w:val="000000" w:themeColor="text1"/>
                      <w:sz w:val="21"/>
                      <w:szCs w:val="21"/>
                    </w:rPr>
                    <w:t>0.5</w:t>
                  </w:r>
                </w:p>
              </w:tc>
              <w:tc>
                <w:tcPr>
                  <w:tcW w:w="540" w:type="pct"/>
                  <w:tcBorders>
                    <w:tl2br w:val="nil"/>
                    <w:tr2bl w:val="nil"/>
                  </w:tcBorders>
                  <w:vAlign w:val="center"/>
                </w:tcPr>
                <w:p w14:paraId="29747096">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61" w:type="pct"/>
                  <w:tcBorders>
                    <w:tl2br w:val="nil"/>
                    <w:tr2bl w:val="nil"/>
                  </w:tcBorders>
                  <w:vAlign w:val="center"/>
                </w:tcPr>
                <w:p w14:paraId="4A2F0786">
                  <w:pPr>
                    <w:spacing w:line="0" w:lineRule="atLeast"/>
                    <w:ind w:firstLine="0" w:firstLineChars="0"/>
                    <w:jc w:val="center"/>
                    <w:rPr>
                      <w:bCs/>
                      <w:color w:val="000000" w:themeColor="text1"/>
                      <w:sz w:val="21"/>
                      <w:szCs w:val="21"/>
                    </w:rPr>
                  </w:pPr>
                  <w:r>
                    <w:rPr>
                      <w:rFonts w:hint="eastAsia"/>
                      <w:color w:val="000000" w:themeColor="text1"/>
                      <w:kern w:val="0"/>
                      <w:sz w:val="21"/>
                      <w:szCs w:val="21"/>
                    </w:rPr>
                    <w:t>497.1</w:t>
                  </w:r>
                </w:p>
              </w:tc>
              <w:tc>
                <w:tcPr>
                  <w:tcW w:w="736" w:type="pct"/>
                  <w:tcBorders>
                    <w:tl2br w:val="nil"/>
                    <w:tr2bl w:val="nil"/>
                  </w:tcBorders>
                  <w:vAlign w:val="center"/>
                </w:tcPr>
                <w:p w14:paraId="01329430">
                  <w:pPr>
                    <w:pStyle w:val="15"/>
                    <w:spacing w:after="0" w:line="240" w:lineRule="auto"/>
                    <w:ind w:left="0" w:leftChars="0" w:right="0" w:rightChars="0" w:firstLine="0" w:firstLineChars="0"/>
                    <w:jc w:val="center"/>
                    <w:rPr>
                      <w:bCs/>
                      <w:color w:val="000000" w:themeColor="text1"/>
                      <w:sz w:val="21"/>
                      <w:szCs w:val="21"/>
                    </w:rPr>
                  </w:pPr>
                  <w:r>
                    <w:rPr>
                      <w:rFonts w:hint="eastAsia"/>
                      <w:color w:val="000000" w:themeColor="text1"/>
                      <w:kern w:val="0"/>
                      <w:sz w:val="21"/>
                      <w:szCs w:val="21"/>
                    </w:rPr>
                    <w:t>17.398</w:t>
                  </w:r>
                </w:p>
              </w:tc>
              <w:tc>
                <w:tcPr>
                  <w:tcW w:w="1565" w:type="pct"/>
                  <w:vMerge w:val="continue"/>
                  <w:tcBorders>
                    <w:tl2br w:val="nil"/>
                    <w:tr2bl w:val="nil"/>
                  </w:tcBorders>
                  <w:vAlign w:val="center"/>
                </w:tcPr>
                <w:p w14:paraId="443A99B5">
                  <w:pPr>
                    <w:spacing w:line="240" w:lineRule="auto"/>
                    <w:ind w:firstLine="0" w:firstLineChars="0"/>
                    <w:jc w:val="center"/>
                    <w:rPr>
                      <w:color w:val="000000" w:themeColor="text1"/>
                      <w:sz w:val="21"/>
                      <w:szCs w:val="21"/>
                    </w:rPr>
                  </w:pPr>
                </w:p>
              </w:tc>
            </w:tr>
          </w:tbl>
          <w:p w14:paraId="35A1380C">
            <w:pPr>
              <w:ind w:firstLine="482"/>
              <w:rPr>
                <w:b/>
                <w:bCs/>
                <w:color w:val="000000" w:themeColor="text1"/>
              </w:rPr>
            </w:pPr>
            <w:r>
              <w:rPr>
                <w:b/>
                <w:bCs/>
                <w:color w:val="000000" w:themeColor="text1"/>
              </w:rPr>
              <w:t>1.</w:t>
            </w:r>
            <w:r>
              <w:rPr>
                <w:rFonts w:hint="eastAsia"/>
                <w:b/>
                <w:bCs/>
                <w:color w:val="000000" w:themeColor="text1"/>
              </w:rPr>
              <w:t>3废气治理设施可行性分析</w:t>
            </w:r>
          </w:p>
          <w:p w14:paraId="02E833D6">
            <w:pPr>
              <w:ind w:firstLine="480"/>
              <w:rPr>
                <w:color w:val="000000" w:themeColor="text1"/>
              </w:rPr>
            </w:pPr>
            <w:r>
              <w:rPr>
                <w:rFonts w:hint="eastAsia"/>
                <w:color w:val="000000" w:themeColor="text1"/>
              </w:rPr>
              <w:t>（1）烘干废气</w:t>
            </w:r>
          </w:p>
          <w:p w14:paraId="3AFF3E12">
            <w:pPr>
              <w:spacing w:line="360" w:lineRule="auto"/>
              <w:ind w:firstLine="480"/>
              <w:jc w:val="left"/>
              <w:rPr>
                <w:color w:val="000000" w:themeColor="text1"/>
              </w:rPr>
            </w:pPr>
            <w:r>
              <w:rPr>
                <w:color w:val="000000" w:themeColor="text1"/>
              </w:rPr>
              <w:t>烘干废气包括热风炉燃料燃烧废气和物料烘干工艺废气。</w:t>
            </w:r>
          </w:p>
          <w:p w14:paraId="6468BB83">
            <w:pPr>
              <w:spacing w:line="360" w:lineRule="auto"/>
              <w:ind w:firstLine="480"/>
              <w:jc w:val="left"/>
              <w:rPr>
                <w:color w:val="000000" w:themeColor="text1"/>
              </w:rPr>
            </w:pPr>
            <w:r>
              <w:rPr>
                <w:color w:val="000000" w:themeColor="text1"/>
              </w:rPr>
              <w:t>本项目采用热风炉为烘干机提供热源，热风炉燃料为自产生物质能源颗粒。热风炉燃烧生物质能源颗粒产生的高温烟气，经配风后通过管道进入烘干机滚筒进行烘干，烘干机设备密闭，烘干方式为热风直接与物料接触烘干，烘干废气经烘干机废气出口设置的集气管道收集后，通过“沙克龙除尘器+布袋除尘器”处理后由1根15m高排气筒（DA001）排放</w:t>
            </w:r>
            <w:r>
              <w:rPr>
                <w:rFonts w:hint="eastAsia"/>
                <w:color w:val="000000" w:themeColor="text1"/>
              </w:rPr>
              <w:t>。</w:t>
            </w:r>
          </w:p>
          <w:p w14:paraId="56F3BBD0">
            <w:pPr>
              <w:spacing w:line="360" w:lineRule="auto"/>
              <w:ind w:firstLine="480"/>
              <w:jc w:val="left"/>
              <w:rPr>
                <w:color w:val="000000" w:themeColor="text1"/>
              </w:rPr>
            </w:pPr>
            <w:r>
              <w:rPr>
                <w:rFonts w:hint="eastAsia"/>
                <w:color w:val="000000" w:themeColor="text1"/>
              </w:rPr>
              <w:t>布袋除尘器技术参数见下表。</w:t>
            </w:r>
          </w:p>
          <w:p w14:paraId="675612E3">
            <w:pPr>
              <w:spacing w:line="360" w:lineRule="auto"/>
              <w:ind w:firstLine="0" w:firstLineChars="0"/>
              <w:jc w:val="center"/>
              <w:rPr>
                <w:b/>
                <w:bCs/>
                <w:color w:val="000000" w:themeColor="text1"/>
                <w:sz w:val="21"/>
                <w:szCs w:val="21"/>
              </w:rPr>
            </w:pPr>
            <w:r>
              <w:rPr>
                <w:rFonts w:hint="eastAsia"/>
                <w:b/>
                <w:bCs/>
                <w:color w:val="000000" w:themeColor="text1"/>
                <w:sz w:val="21"/>
                <w:szCs w:val="21"/>
              </w:rPr>
              <w:t>表34   布袋除尘器技术参数一览表</w:t>
            </w:r>
          </w:p>
          <w:tbl>
            <w:tblPr>
              <w:tblStyle w:val="57"/>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984"/>
              <w:gridCol w:w="1869"/>
              <w:gridCol w:w="3244"/>
            </w:tblGrid>
            <w:tr w14:paraId="6AF1D6B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jc w:val="center"/>
              </w:trPr>
              <w:tc>
                <w:tcPr>
                  <w:tcW w:w="591" w:type="pct"/>
                  <w:tcBorders>
                    <w:tl2br w:val="nil"/>
                    <w:tr2bl w:val="nil"/>
                  </w:tcBorders>
                  <w:vAlign w:val="center"/>
                </w:tcPr>
                <w:p w14:paraId="4673A33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4"/>
                      <w:sz w:val="21"/>
                      <w:szCs w:val="21"/>
                    </w:rPr>
                    <w:t>序号</w:t>
                  </w:r>
                </w:p>
              </w:tc>
              <w:tc>
                <w:tcPr>
                  <w:tcW w:w="1232" w:type="pct"/>
                  <w:tcBorders>
                    <w:tl2br w:val="nil"/>
                    <w:tr2bl w:val="nil"/>
                  </w:tcBorders>
                  <w:vAlign w:val="center"/>
                </w:tcPr>
                <w:p w14:paraId="6DE5964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2"/>
                      <w:sz w:val="21"/>
                      <w:szCs w:val="21"/>
                    </w:rPr>
                    <w:t>项目</w:t>
                  </w:r>
                </w:p>
              </w:tc>
              <w:tc>
                <w:tcPr>
                  <w:tcW w:w="1161" w:type="pct"/>
                  <w:tcBorders>
                    <w:tl2br w:val="nil"/>
                    <w:tr2bl w:val="nil"/>
                  </w:tcBorders>
                  <w:vAlign w:val="center"/>
                </w:tcPr>
                <w:p w14:paraId="0E7228F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3"/>
                      <w:sz w:val="21"/>
                      <w:szCs w:val="21"/>
                    </w:rPr>
                    <w:t>单位</w:t>
                  </w:r>
                </w:p>
              </w:tc>
              <w:tc>
                <w:tcPr>
                  <w:tcW w:w="2015" w:type="pct"/>
                  <w:tcBorders>
                    <w:tl2br w:val="nil"/>
                    <w:tr2bl w:val="nil"/>
                  </w:tcBorders>
                  <w:vAlign w:val="center"/>
                </w:tcPr>
                <w:p w14:paraId="00AE640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6"/>
                      <w:sz w:val="21"/>
                      <w:szCs w:val="21"/>
                    </w:rPr>
                    <w:t>技术参数</w:t>
                  </w:r>
                </w:p>
              </w:tc>
            </w:tr>
            <w:tr w14:paraId="648B607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13EF5668">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1</w:t>
                  </w:r>
                </w:p>
              </w:tc>
              <w:tc>
                <w:tcPr>
                  <w:tcW w:w="1232" w:type="pct"/>
                  <w:tcBorders>
                    <w:tl2br w:val="nil"/>
                    <w:tr2bl w:val="nil"/>
                  </w:tcBorders>
                  <w:vAlign w:val="center"/>
                </w:tcPr>
                <w:p w14:paraId="07978759">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型号</w:t>
                  </w:r>
                </w:p>
              </w:tc>
              <w:tc>
                <w:tcPr>
                  <w:tcW w:w="1161" w:type="pct"/>
                  <w:tcBorders>
                    <w:tl2br w:val="nil"/>
                    <w:tr2bl w:val="nil"/>
                  </w:tcBorders>
                  <w:vAlign w:val="center"/>
                </w:tcPr>
                <w:p w14:paraId="3AB51EB8">
                  <w:pPr>
                    <w:autoSpaceDE/>
                    <w:autoSpaceDN/>
                    <w:spacing w:line="240" w:lineRule="auto"/>
                    <w:ind w:firstLine="0" w:firstLineChars="0"/>
                    <w:jc w:val="center"/>
                    <w:rPr>
                      <w:color w:val="000000" w:themeColor="text1"/>
                      <w:spacing w:val="4"/>
                      <w:position w:val="-1"/>
                      <w:sz w:val="21"/>
                      <w:szCs w:val="21"/>
                      <w:lang w:eastAsia="en-US"/>
                    </w:rPr>
                  </w:pPr>
                  <w:r>
                    <w:rPr>
                      <w:rFonts w:hint="eastAsia"/>
                      <w:color w:val="000000" w:themeColor="text1"/>
                      <w:spacing w:val="4"/>
                      <w:position w:val="-1"/>
                      <w:sz w:val="21"/>
                      <w:szCs w:val="21"/>
                      <w:lang w:eastAsia="en-US"/>
                    </w:rPr>
                    <w:t>/</w:t>
                  </w:r>
                </w:p>
              </w:tc>
              <w:tc>
                <w:tcPr>
                  <w:tcW w:w="2015" w:type="pct"/>
                  <w:tcBorders>
                    <w:tl2br w:val="nil"/>
                    <w:tr2bl w:val="nil"/>
                  </w:tcBorders>
                  <w:vAlign w:val="center"/>
                </w:tcPr>
                <w:p w14:paraId="58AB0938">
                  <w:pPr>
                    <w:autoSpaceDE/>
                    <w:autoSpaceDN/>
                    <w:spacing w:line="240" w:lineRule="auto"/>
                    <w:ind w:firstLine="0" w:firstLineChars="0"/>
                    <w:jc w:val="center"/>
                    <w:rPr>
                      <w:rFonts w:eastAsia="Times New Roman"/>
                      <w:color w:val="000000" w:themeColor="text1"/>
                      <w:spacing w:val="4"/>
                      <w:sz w:val="21"/>
                      <w:szCs w:val="21"/>
                      <w:lang w:eastAsia="en-US"/>
                    </w:rPr>
                  </w:pPr>
                  <w:r>
                    <w:rPr>
                      <w:rFonts w:eastAsia="Times New Roman"/>
                      <w:color w:val="000000" w:themeColor="text1"/>
                      <w:spacing w:val="4"/>
                      <w:sz w:val="21"/>
                      <w:szCs w:val="21"/>
                      <w:lang w:eastAsia="en-US"/>
                    </w:rPr>
                    <w:t>DMC-456</w:t>
                  </w:r>
                </w:p>
              </w:tc>
            </w:tr>
            <w:tr w14:paraId="405AB04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544C6F24">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2</w:t>
                  </w:r>
                </w:p>
              </w:tc>
              <w:tc>
                <w:tcPr>
                  <w:tcW w:w="1232" w:type="pct"/>
                  <w:tcBorders>
                    <w:tl2br w:val="nil"/>
                    <w:tr2bl w:val="nil"/>
                  </w:tcBorders>
                  <w:vAlign w:val="center"/>
                </w:tcPr>
                <w:p w14:paraId="3A4B5C1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风机风量</w:t>
                  </w:r>
                </w:p>
              </w:tc>
              <w:tc>
                <w:tcPr>
                  <w:tcW w:w="1161" w:type="pct"/>
                  <w:tcBorders>
                    <w:tl2br w:val="nil"/>
                    <w:tr2bl w:val="nil"/>
                  </w:tcBorders>
                  <w:vAlign w:val="center"/>
                </w:tcPr>
                <w:p w14:paraId="319392F2">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position w:val="-1"/>
                      <w:sz w:val="21"/>
                      <w:szCs w:val="21"/>
                      <w:lang w:eastAsia="en-US"/>
                    </w:rPr>
                    <w:t>m</w:t>
                  </w:r>
                  <w:r>
                    <w:rPr>
                      <w:rFonts w:hint="eastAsia"/>
                      <w:color w:val="000000" w:themeColor="text1"/>
                      <w:spacing w:val="4"/>
                      <w:position w:val="-1"/>
                      <w:sz w:val="21"/>
                      <w:szCs w:val="21"/>
                      <w:vertAlign w:val="superscript"/>
                      <w:lang w:eastAsia="en-US"/>
                    </w:rPr>
                    <w:t>3</w:t>
                  </w:r>
                  <w:r>
                    <w:rPr>
                      <w:rFonts w:eastAsia="Times New Roman"/>
                      <w:color w:val="000000" w:themeColor="text1"/>
                      <w:spacing w:val="4"/>
                      <w:position w:val="-1"/>
                      <w:sz w:val="21"/>
                      <w:szCs w:val="21"/>
                      <w:lang w:eastAsia="en-US"/>
                    </w:rPr>
                    <w:t>/h</w:t>
                  </w:r>
                </w:p>
              </w:tc>
              <w:tc>
                <w:tcPr>
                  <w:tcW w:w="2015" w:type="pct"/>
                  <w:tcBorders>
                    <w:tl2br w:val="nil"/>
                    <w:tr2bl w:val="nil"/>
                  </w:tcBorders>
                  <w:vAlign w:val="center"/>
                </w:tcPr>
                <w:p w14:paraId="4ED8AE85">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sz w:val="21"/>
                      <w:szCs w:val="21"/>
                      <w:lang w:eastAsia="en-US"/>
                    </w:rPr>
                    <w:t>2</w:t>
                  </w:r>
                  <w:r>
                    <w:rPr>
                      <w:rFonts w:eastAsia="Times New Roman"/>
                      <w:color w:val="000000" w:themeColor="text1"/>
                      <w:spacing w:val="4"/>
                      <w:sz w:val="21"/>
                      <w:szCs w:val="21"/>
                      <w:lang w:eastAsia="en-US"/>
                    </w:rPr>
                    <w:t>0000</w:t>
                  </w:r>
                </w:p>
              </w:tc>
            </w:tr>
            <w:tr w14:paraId="2E620E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782FE2D5">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3</w:t>
                  </w:r>
                </w:p>
              </w:tc>
              <w:tc>
                <w:tcPr>
                  <w:tcW w:w="1232" w:type="pct"/>
                  <w:tcBorders>
                    <w:tl2br w:val="nil"/>
                    <w:tr2bl w:val="nil"/>
                  </w:tcBorders>
                  <w:vAlign w:val="center"/>
                </w:tcPr>
                <w:p w14:paraId="744A11F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除尘效率</w:t>
                  </w:r>
                </w:p>
              </w:tc>
              <w:tc>
                <w:tcPr>
                  <w:tcW w:w="1161" w:type="pct"/>
                  <w:tcBorders>
                    <w:tl2br w:val="nil"/>
                    <w:tr2bl w:val="nil"/>
                  </w:tcBorders>
                  <w:vAlign w:val="center"/>
                </w:tcPr>
                <w:p w14:paraId="3F8C25FB">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c>
                <w:tcPr>
                  <w:tcW w:w="2015" w:type="pct"/>
                  <w:tcBorders>
                    <w:tl2br w:val="nil"/>
                    <w:tr2bl w:val="nil"/>
                  </w:tcBorders>
                  <w:vAlign w:val="center"/>
                </w:tcPr>
                <w:p w14:paraId="28F86FF3">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0"/>
                      <w:w w:val="111"/>
                      <w:position w:val="1"/>
                      <w:sz w:val="21"/>
                      <w:szCs w:val="21"/>
                    </w:rPr>
                    <w:t>&gt;</w:t>
                  </w:r>
                  <w:r>
                    <w:rPr>
                      <w:rFonts w:hint="eastAsia" w:ascii="Times New Roman" w:hAnsi="Times New Roman" w:cs="Times New Roman"/>
                      <w:color w:val="000000" w:themeColor="text1"/>
                      <w:spacing w:val="20"/>
                      <w:w w:val="111"/>
                      <w:position w:val="1"/>
                      <w:sz w:val="21"/>
                      <w:szCs w:val="21"/>
                      <w:lang w:eastAsia="zh-CN"/>
                    </w:rPr>
                    <w:t>99</w:t>
                  </w:r>
                </w:p>
              </w:tc>
            </w:tr>
            <w:tr w14:paraId="38C3E42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2D26E6CE">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
                      <w:sz w:val="21"/>
                      <w:szCs w:val="21"/>
                      <w:lang w:eastAsia="en-US"/>
                    </w:rPr>
                    <w:t>4</w:t>
                  </w:r>
                </w:p>
              </w:tc>
              <w:tc>
                <w:tcPr>
                  <w:tcW w:w="1232" w:type="pct"/>
                  <w:tcBorders>
                    <w:tl2br w:val="nil"/>
                    <w:tr2bl w:val="nil"/>
                  </w:tcBorders>
                  <w:vAlign w:val="center"/>
                </w:tcPr>
                <w:p w14:paraId="4DDBF775">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过滤风速</w:t>
                  </w:r>
                </w:p>
              </w:tc>
              <w:tc>
                <w:tcPr>
                  <w:tcW w:w="1161" w:type="pct"/>
                  <w:tcBorders>
                    <w:tl2br w:val="nil"/>
                    <w:tr2bl w:val="nil"/>
                  </w:tcBorders>
                  <w:vAlign w:val="center"/>
                </w:tcPr>
                <w:p w14:paraId="6B2DE62B">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1"/>
                      <w:sz w:val="21"/>
                      <w:szCs w:val="21"/>
                      <w:lang w:eastAsia="en-US"/>
                    </w:rPr>
                    <w:t>m/</w:t>
                  </w:r>
                  <w:r>
                    <w:rPr>
                      <w:rFonts w:eastAsia="Times New Roman"/>
                      <w:color w:val="000000" w:themeColor="text1"/>
                      <w:sz w:val="21"/>
                      <w:szCs w:val="21"/>
                      <w:lang w:eastAsia="en-US"/>
                    </w:rPr>
                    <w:t>min</w:t>
                  </w:r>
                </w:p>
              </w:tc>
              <w:tc>
                <w:tcPr>
                  <w:tcW w:w="2015" w:type="pct"/>
                  <w:tcBorders>
                    <w:tl2br w:val="nil"/>
                    <w:tr2bl w:val="nil"/>
                  </w:tcBorders>
                  <w:vAlign w:val="center"/>
                </w:tcPr>
                <w:p w14:paraId="7067E05C">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eastAsia="Times New Roman" w:cs="Times New Roman"/>
                      <w:color w:val="000000" w:themeColor="text1"/>
                      <w:spacing w:val="-9"/>
                      <w:position w:val="1"/>
                      <w:sz w:val="21"/>
                      <w:szCs w:val="21"/>
                    </w:rPr>
                    <w:t>0.8</w:t>
                  </w:r>
                </w:p>
              </w:tc>
            </w:tr>
            <w:tr w14:paraId="2CF9B5B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343668D6">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5</w:t>
                  </w:r>
                </w:p>
              </w:tc>
              <w:tc>
                <w:tcPr>
                  <w:tcW w:w="1232" w:type="pct"/>
                  <w:tcBorders>
                    <w:tl2br w:val="nil"/>
                    <w:tr2bl w:val="nil"/>
                  </w:tcBorders>
                  <w:vAlign w:val="center"/>
                </w:tcPr>
                <w:p w14:paraId="3D7362BD">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pacing w:val="6"/>
                      <w:sz w:val="21"/>
                      <w:szCs w:val="21"/>
                      <w:lang w:eastAsia="zh-CN"/>
                    </w:rPr>
                    <w:t>布袋材质</w:t>
                  </w:r>
                </w:p>
              </w:tc>
              <w:tc>
                <w:tcPr>
                  <w:tcW w:w="1161" w:type="pct"/>
                  <w:tcBorders>
                    <w:tl2br w:val="nil"/>
                    <w:tr2bl w:val="nil"/>
                  </w:tcBorders>
                  <w:vAlign w:val="center"/>
                </w:tcPr>
                <w:p w14:paraId="7BFF4B32">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698FB8E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pacing w:val="6"/>
                      <w:sz w:val="21"/>
                      <w:szCs w:val="21"/>
                      <w:lang w:eastAsia="zh-CN"/>
                    </w:rPr>
                    <w:t>涤纶针刺毡防水防油覆膜</w:t>
                  </w:r>
                </w:p>
              </w:tc>
            </w:tr>
            <w:tr w14:paraId="41DAE1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50511C8">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6</w:t>
                  </w:r>
                </w:p>
              </w:tc>
              <w:tc>
                <w:tcPr>
                  <w:tcW w:w="1232" w:type="pct"/>
                  <w:tcBorders>
                    <w:tl2br w:val="nil"/>
                    <w:tr2bl w:val="nil"/>
                  </w:tcBorders>
                  <w:vAlign w:val="center"/>
                </w:tcPr>
                <w:p w14:paraId="193D38ED">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布袋规格</w:t>
                  </w:r>
                </w:p>
              </w:tc>
              <w:tc>
                <w:tcPr>
                  <w:tcW w:w="1161" w:type="pct"/>
                  <w:tcBorders>
                    <w:tl2br w:val="nil"/>
                    <w:tr2bl w:val="nil"/>
                  </w:tcBorders>
                  <w:vAlign w:val="center"/>
                </w:tcPr>
                <w:p w14:paraId="61CE161E">
                  <w:pPr>
                    <w:autoSpaceDE/>
                    <w:autoSpaceDN/>
                    <w:spacing w:line="240" w:lineRule="auto"/>
                    <w:ind w:firstLine="0" w:firstLineChars="0"/>
                    <w:jc w:val="center"/>
                    <w:rPr>
                      <w:rFonts w:eastAsia="Times New Roman"/>
                      <w:color w:val="000000" w:themeColor="text1"/>
                      <w:spacing w:val="2"/>
                      <w:sz w:val="21"/>
                      <w:szCs w:val="21"/>
                      <w:lang w:eastAsia="en-US"/>
                    </w:rPr>
                  </w:pPr>
                  <w:r>
                    <w:rPr>
                      <w:rFonts w:hint="eastAsia"/>
                      <w:color w:val="000000" w:themeColor="text1"/>
                      <w:spacing w:val="6"/>
                      <w:sz w:val="21"/>
                      <w:szCs w:val="21"/>
                      <w:lang w:eastAsia="en-US"/>
                    </w:rPr>
                    <w:t>mm</w:t>
                  </w:r>
                </w:p>
              </w:tc>
              <w:tc>
                <w:tcPr>
                  <w:tcW w:w="2015" w:type="pct"/>
                  <w:tcBorders>
                    <w:tl2br w:val="nil"/>
                    <w:tr2bl w:val="nil"/>
                  </w:tcBorders>
                  <w:vAlign w:val="center"/>
                </w:tcPr>
                <w:p w14:paraId="31143692">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Φ133*2500</w:t>
                  </w:r>
                </w:p>
              </w:tc>
            </w:tr>
            <w:tr w14:paraId="1A728B3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6AC473B0">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7</w:t>
                  </w:r>
                </w:p>
              </w:tc>
              <w:tc>
                <w:tcPr>
                  <w:tcW w:w="1232" w:type="pct"/>
                  <w:tcBorders>
                    <w:tl2br w:val="nil"/>
                    <w:tr2bl w:val="nil"/>
                  </w:tcBorders>
                  <w:vAlign w:val="center"/>
                </w:tcPr>
                <w:p w14:paraId="52005042">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布袋数量</w:t>
                  </w:r>
                </w:p>
              </w:tc>
              <w:tc>
                <w:tcPr>
                  <w:tcW w:w="1161" w:type="pct"/>
                  <w:tcBorders>
                    <w:tl2br w:val="nil"/>
                    <w:tr2bl w:val="nil"/>
                  </w:tcBorders>
                  <w:vAlign w:val="center"/>
                </w:tcPr>
                <w:p w14:paraId="3E930134">
                  <w:pPr>
                    <w:autoSpaceDE/>
                    <w:autoSpaceDN/>
                    <w:spacing w:line="240" w:lineRule="auto"/>
                    <w:ind w:firstLine="0" w:firstLineChars="0"/>
                    <w:jc w:val="center"/>
                    <w:rPr>
                      <w:color w:val="000000" w:themeColor="text1"/>
                      <w:spacing w:val="6"/>
                      <w:sz w:val="21"/>
                      <w:szCs w:val="21"/>
                      <w:lang w:eastAsia="en-US"/>
                    </w:rPr>
                  </w:pPr>
                  <w:r>
                    <w:rPr>
                      <w:rFonts w:hint="eastAsia"/>
                      <w:color w:val="000000" w:themeColor="text1"/>
                      <w:spacing w:val="6"/>
                      <w:sz w:val="21"/>
                      <w:szCs w:val="21"/>
                      <w:lang w:eastAsia="en-US"/>
                    </w:rPr>
                    <w:t>条</w:t>
                  </w:r>
                </w:p>
              </w:tc>
              <w:tc>
                <w:tcPr>
                  <w:tcW w:w="2015" w:type="pct"/>
                  <w:tcBorders>
                    <w:tl2br w:val="nil"/>
                    <w:tr2bl w:val="nil"/>
                  </w:tcBorders>
                  <w:vAlign w:val="center"/>
                </w:tcPr>
                <w:p w14:paraId="234C024C">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456</w:t>
                  </w:r>
                </w:p>
              </w:tc>
            </w:tr>
            <w:tr w14:paraId="6E56939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7BFCA1B8">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8</w:t>
                  </w:r>
                </w:p>
              </w:tc>
              <w:tc>
                <w:tcPr>
                  <w:tcW w:w="1232" w:type="pct"/>
                  <w:tcBorders>
                    <w:tl2br w:val="nil"/>
                    <w:tr2bl w:val="nil"/>
                  </w:tcBorders>
                  <w:vAlign w:val="center"/>
                </w:tcPr>
                <w:p w14:paraId="05410F5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清灰方式</w:t>
                  </w:r>
                </w:p>
              </w:tc>
              <w:tc>
                <w:tcPr>
                  <w:tcW w:w="1161" w:type="pct"/>
                  <w:tcBorders>
                    <w:tl2br w:val="nil"/>
                    <w:tr2bl w:val="nil"/>
                  </w:tcBorders>
                  <w:vAlign w:val="center"/>
                </w:tcPr>
                <w:p w14:paraId="5CE74DF6">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0A1BB12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脉冲清灰，在线</w:t>
                  </w:r>
                </w:p>
              </w:tc>
            </w:tr>
            <w:tr w14:paraId="6BDAE86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16BEFB26">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9</w:t>
                  </w:r>
                </w:p>
              </w:tc>
              <w:tc>
                <w:tcPr>
                  <w:tcW w:w="1232" w:type="pct"/>
                  <w:tcBorders>
                    <w:tl2br w:val="nil"/>
                    <w:tr2bl w:val="nil"/>
                  </w:tcBorders>
                  <w:vAlign w:val="center"/>
                </w:tcPr>
                <w:p w14:paraId="7707C956">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脉冲阀规格</w:t>
                  </w:r>
                </w:p>
              </w:tc>
              <w:tc>
                <w:tcPr>
                  <w:tcW w:w="1161" w:type="pct"/>
                  <w:tcBorders>
                    <w:tl2br w:val="nil"/>
                    <w:tr2bl w:val="nil"/>
                  </w:tcBorders>
                  <w:vAlign w:val="center"/>
                </w:tcPr>
                <w:p w14:paraId="2760BD30">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寸</w:t>
                  </w:r>
                </w:p>
              </w:tc>
              <w:tc>
                <w:tcPr>
                  <w:tcW w:w="2015" w:type="pct"/>
                  <w:tcBorders>
                    <w:tl2br w:val="nil"/>
                    <w:tr2bl w:val="nil"/>
                  </w:tcBorders>
                  <w:vAlign w:val="center"/>
                </w:tcPr>
                <w:p w14:paraId="519DE568">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1</w:t>
                  </w:r>
                </w:p>
              </w:tc>
            </w:tr>
            <w:tr w14:paraId="720C69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D5996B9">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10</w:t>
                  </w:r>
                </w:p>
              </w:tc>
              <w:tc>
                <w:tcPr>
                  <w:tcW w:w="1232" w:type="pct"/>
                  <w:tcBorders>
                    <w:tl2br w:val="nil"/>
                    <w:tr2bl w:val="nil"/>
                  </w:tcBorders>
                  <w:vAlign w:val="center"/>
                </w:tcPr>
                <w:p w14:paraId="62764A77">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脉冲阀个数</w:t>
                  </w:r>
                </w:p>
              </w:tc>
              <w:tc>
                <w:tcPr>
                  <w:tcW w:w="1161" w:type="pct"/>
                  <w:tcBorders>
                    <w:tl2br w:val="nil"/>
                    <w:tr2bl w:val="nil"/>
                  </w:tcBorders>
                  <w:vAlign w:val="center"/>
                </w:tcPr>
                <w:p w14:paraId="2CEC10F0">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个</w:t>
                  </w:r>
                </w:p>
              </w:tc>
              <w:tc>
                <w:tcPr>
                  <w:tcW w:w="2015" w:type="pct"/>
                  <w:tcBorders>
                    <w:tl2br w:val="nil"/>
                    <w:tr2bl w:val="nil"/>
                  </w:tcBorders>
                  <w:vAlign w:val="center"/>
                </w:tcPr>
                <w:p w14:paraId="3D81FD7D">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38</w:t>
                  </w:r>
                </w:p>
              </w:tc>
            </w:tr>
          </w:tbl>
          <w:p w14:paraId="11C5E1B6">
            <w:pPr>
              <w:spacing w:line="360" w:lineRule="auto"/>
              <w:ind w:firstLine="480"/>
              <w:jc w:val="left"/>
              <w:rPr>
                <w:snapToGrid w:val="0"/>
                <w:color w:val="000000" w:themeColor="text1"/>
                <w:kern w:val="0"/>
              </w:rPr>
            </w:pPr>
            <w:r>
              <w:rPr>
                <w:rFonts w:hint="eastAsia"/>
                <w:color w:val="000000" w:themeColor="text1"/>
              </w:rPr>
              <w:t>本项目热风炉热风温度约800~1000℃，热风炉设置配风机及冷风混合阀，经配风后</w:t>
            </w:r>
            <w:r>
              <w:rPr>
                <w:rFonts w:hint="eastAsia"/>
                <w:snapToGrid w:val="0"/>
                <w:color w:val="000000" w:themeColor="text1"/>
                <w:kern w:val="0"/>
              </w:rPr>
              <w:t>控制热风温度，保证烘干机入口温度为80~110℃，避免因燃烧温度过高导致烘干物</w:t>
            </w:r>
            <w:r>
              <w:rPr>
                <w:rFonts w:hint="eastAsia"/>
                <w:color w:val="000000" w:themeColor="text1"/>
              </w:rPr>
              <w:t>料受损或引发安全隐患，通过沙克龙除尘器预处理后，废气温度</w:t>
            </w:r>
            <w:r>
              <w:rPr>
                <w:rFonts w:eastAsia="Segoe UI"/>
                <w:color w:val="000000" w:themeColor="text1"/>
              </w:rPr>
              <w:t>﹤</w:t>
            </w:r>
            <w:r>
              <w:rPr>
                <w:rFonts w:hint="eastAsia"/>
                <w:snapToGrid w:val="0"/>
                <w:color w:val="000000" w:themeColor="text1"/>
                <w:kern w:val="0"/>
              </w:rPr>
              <w:t>50℃，符合布袋除尘器布袋的温度耐受范围（</w:t>
            </w:r>
            <w:r>
              <w:rPr>
                <w:rFonts w:eastAsia="Segoe UI"/>
                <w:color w:val="000000" w:themeColor="text1"/>
              </w:rPr>
              <w:t>﹤</w:t>
            </w:r>
            <w:r>
              <w:rPr>
                <w:rFonts w:hint="eastAsia"/>
                <w:snapToGrid w:val="0"/>
                <w:color w:val="000000" w:themeColor="text1"/>
                <w:kern w:val="0"/>
              </w:rPr>
              <w:t>120℃）。</w:t>
            </w:r>
          </w:p>
          <w:p w14:paraId="31C961A6">
            <w:pPr>
              <w:spacing w:line="360" w:lineRule="auto"/>
              <w:ind w:firstLine="480"/>
              <w:jc w:val="left"/>
              <w:rPr>
                <w:color w:val="000000" w:themeColor="text1"/>
              </w:rPr>
            </w:pPr>
            <w:r>
              <w:rPr>
                <w:color w:val="000000" w:themeColor="text1"/>
              </w:rPr>
              <w:t>沙克龙除尘器（旋风除尘器）是一种利用离心力分离气体中粉尘的机械式除尘设备，无需滤袋，广泛应用于生物质燃烧、木工、矿山等行业的粗除尘。其核心原理是通过气流旋转产生的离心力将粉尘颗粒甩向壁面并分离。沙克龙通过气流旋转</w:t>
            </w:r>
            <w:r>
              <w:rPr>
                <w:rFonts w:hint="eastAsia"/>
                <w:color w:val="000000" w:themeColor="text1"/>
              </w:rPr>
              <w:t>—</w:t>
            </w:r>
            <w:r>
              <w:rPr>
                <w:color w:val="000000" w:themeColor="text1"/>
              </w:rPr>
              <w:t>离心沉降</w:t>
            </w:r>
            <w:r>
              <w:rPr>
                <w:rFonts w:hint="eastAsia"/>
                <w:color w:val="000000" w:themeColor="text1"/>
              </w:rPr>
              <w:t>—</w:t>
            </w:r>
            <w:r>
              <w:rPr>
                <w:color w:val="000000" w:themeColor="text1"/>
              </w:rPr>
              <w:t>重力排灰三阶段实现粉尘分离</w:t>
            </w:r>
            <w:r>
              <w:rPr>
                <w:rFonts w:hint="eastAsia"/>
                <w:color w:val="000000" w:themeColor="text1"/>
              </w:rPr>
              <w:t>：</w:t>
            </w:r>
            <w:r>
              <w:rPr>
                <w:color w:val="000000" w:themeColor="text1"/>
              </w:rPr>
              <w:t>含尘气体以15~25 m/s的速度沿筒体切向进入，形成高速旋转气流</w:t>
            </w:r>
            <w:r>
              <w:rPr>
                <w:rFonts w:hint="eastAsia"/>
                <w:color w:val="000000" w:themeColor="text1"/>
              </w:rPr>
              <w:t>；</w:t>
            </w:r>
            <w:r>
              <w:rPr>
                <w:color w:val="000000" w:themeColor="text1"/>
              </w:rPr>
              <w:t>粉尘颗粒因密度大于气体，受离心力作用被甩向筒壁，失去动能后沿壁面下滑</w:t>
            </w:r>
            <w:r>
              <w:rPr>
                <w:rFonts w:hint="eastAsia"/>
                <w:color w:val="000000" w:themeColor="text1"/>
              </w:rPr>
              <w:t>；</w:t>
            </w:r>
            <w:r>
              <w:rPr>
                <w:color w:val="000000" w:themeColor="text1"/>
              </w:rPr>
              <w:t>清洁气体从顶部中心管排出，粉尘落入底部灰斗。</w:t>
            </w:r>
            <w:r>
              <w:rPr>
                <w:rFonts w:hint="eastAsia"/>
                <w:color w:val="000000" w:themeColor="text1"/>
              </w:rPr>
              <w:t>沙克龙除尘器具有结构简单、无易损件（无滤袋），耐高温、耐腐蚀（材质可选），维护成本低（仅需定期排灰）的优点，可</w:t>
            </w:r>
            <w:r>
              <w:rPr>
                <w:color w:val="000000" w:themeColor="text1"/>
              </w:rPr>
              <w:t>预处理去除﹥10μm的粗颗粒（</w:t>
            </w:r>
            <w:r>
              <w:rPr>
                <w:rFonts w:hint="eastAsia"/>
                <w:color w:val="000000" w:themeColor="text1"/>
              </w:rPr>
              <w:t>去除</w:t>
            </w:r>
            <w:r>
              <w:rPr>
                <w:color w:val="000000" w:themeColor="text1"/>
              </w:rPr>
              <w:t>效率</w:t>
            </w:r>
            <w:r>
              <w:rPr>
                <w:rFonts w:hint="eastAsia"/>
                <w:color w:val="000000" w:themeColor="text1"/>
              </w:rPr>
              <w:t>约</w:t>
            </w:r>
            <w:r>
              <w:rPr>
                <w:color w:val="000000" w:themeColor="text1"/>
              </w:rPr>
              <w:t>50%~90%），降低布袋负荷</w:t>
            </w:r>
            <w:r>
              <w:rPr>
                <w:rFonts w:hint="eastAsia"/>
                <w:color w:val="000000" w:themeColor="text1"/>
              </w:rPr>
              <w:t>，再进入布袋除尘器精处理。</w:t>
            </w:r>
          </w:p>
          <w:p w14:paraId="775A69B1">
            <w:pPr>
              <w:spacing w:line="360" w:lineRule="auto"/>
              <w:ind w:firstLine="480"/>
              <w:jc w:val="left"/>
              <w:rPr>
                <w:color w:val="000000" w:themeColor="text1"/>
              </w:rPr>
            </w:pPr>
            <w:r>
              <w:rPr>
                <w:color w:val="000000" w:themeColor="text1"/>
              </w:rPr>
              <w:t>布袋除尘器是利用棉、毛、人造纤维等编织物作为滤袋起过滤作用，对颗粒物进行捕集而达到除尘效果的。其主要工作原理是：含尘气流从下部进入圆筒形滤袋，在通过滤料的孔隙时，粉尘被捕集于滤料上，透过滤料的清洁气体由排出口排出。沉积在滤料上的粉尘，可在机械振动的作用下从滤料表面脱落，落入灰斗中。常用滤料由棉、毛、人造纤维等加工而成，新型滤料有玻璃纤维和微滤膜等，滤料本身网孔较小，一般为20~50μm，表面起绒的滤料为5~10μm，而新型滤料的孔径在5μm以下。按不同粒径的粉尘在流体中运动的不同物理学特征，颗粒物通过惯性碰撞、截留、扩散、静电、筛滤等作用被捕集。此外，粉尘因截留、惯性碰撞、静电和扩散等作用，逐渐在滤袋表面形成粉尘层，常称为粉尘初层。初层形成后，它成为袋式除尘器的主要过滤层，提高了除尘效率。滤布起着形成粉尘初层和支撑它的骨架作用，但随着粉尘在滤袋上积聚，滤袋两侧的压力差增大，会把有些已附在滤料上的细小粉尘挤压过去，使除尘效率下降。另外，若除尘器阻力过高，还会使除尘系统的处理气体量显著下降，影响生产系统的排风效果。因此，除尘器阻力达到一定的数值后，要及时清灰。布袋除尘器精过滤＜5μm的细颗粒（效率＞99%），确保达标排放。</w:t>
            </w:r>
          </w:p>
          <w:p w14:paraId="01FA66FC">
            <w:pPr>
              <w:ind w:firstLine="480"/>
              <w:rPr>
                <w:color w:val="000000" w:themeColor="text1"/>
              </w:rPr>
            </w:pPr>
            <w:r>
              <w:rPr>
                <w:rFonts w:hint="eastAsia"/>
                <w:color w:val="000000" w:themeColor="text1"/>
              </w:rPr>
              <w:t>参照《排污许可证申请与核发技术规范 工业炉窑》（HJ1121-2020），加热工艺颗粒物</w:t>
            </w:r>
            <w:r>
              <w:rPr>
                <w:rFonts w:hint="eastAsia"/>
                <w:color w:val="000000" w:themeColor="text1"/>
                <w:kern w:val="0"/>
              </w:rPr>
              <w:t>推荐可行技术为：燃气或净化后煤制气、袋式除尘、静电除尘</w:t>
            </w:r>
            <w:r>
              <w:rPr>
                <w:rFonts w:hint="eastAsia"/>
                <w:color w:val="000000" w:themeColor="text1"/>
              </w:rPr>
              <w:t>。</w:t>
            </w:r>
          </w:p>
          <w:p w14:paraId="6E6A76AE">
            <w:pPr>
              <w:ind w:firstLine="480"/>
              <w:rPr>
                <w:color w:val="000000" w:themeColor="text1"/>
              </w:rPr>
            </w:pPr>
            <w:r>
              <w:rPr>
                <w:rFonts w:hint="eastAsia"/>
                <w:color w:val="000000" w:themeColor="text1"/>
              </w:rPr>
              <w:t>参照《排放源统计调查产排污核算方法和系数手册》附表1工业行业产排污系数手册2542 生物质致密成型燃料加工行业系数表，烘干废气颗粒物末端治理技术名称为：袋式除尘、袋式除尘+水膜除尘、旋风除尘+水膜除尘、喷淋塔/冲击水浴、旋风除尘，未对烘干废气SO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rPr>
              <w:t>的末端治理技术提出要求。</w:t>
            </w:r>
          </w:p>
          <w:p w14:paraId="479BC41C">
            <w:pPr>
              <w:ind w:firstLine="480"/>
              <w:rPr>
                <w:color w:val="000000" w:themeColor="text1"/>
              </w:rPr>
            </w:pPr>
            <w:r>
              <w:rPr>
                <w:rFonts w:hint="eastAsia"/>
                <w:color w:val="000000" w:themeColor="text1"/>
                <w:kern w:val="0"/>
              </w:rPr>
              <w:t>参照</w:t>
            </w:r>
            <w:r>
              <w:rPr>
                <w:color w:val="000000" w:themeColor="text1"/>
              </w:rPr>
              <w:t>《排放源统计调查产排污核算方法和系数手册》附表1工业行业产排污系数手册</w:t>
            </w:r>
            <w:r>
              <w:rPr>
                <w:rFonts w:hint="eastAsia"/>
                <w:color w:val="000000" w:themeColor="text1"/>
              </w:rPr>
              <w:t>33-37，431-434机械行业系数手册：14涂装</w:t>
            </w:r>
            <w:r>
              <w:rPr>
                <w:color w:val="000000" w:themeColor="text1"/>
              </w:rPr>
              <w:t>“原料名称生物质-工艺名称</w:t>
            </w:r>
            <w:r>
              <w:rPr>
                <w:rFonts w:hint="eastAsia"/>
                <w:color w:val="000000" w:themeColor="text1"/>
              </w:rPr>
              <w:t>生物质工业炉窑</w:t>
            </w:r>
            <w:r>
              <w:rPr>
                <w:color w:val="000000" w:themeColor="text1"/>
              </w:rPr>
              <w:t>”</w:t>
            </w:r>
            <w:r>
              <w:rPr>
                <w:rFonts w:hint="eastAsia"/>
                <w:color w:val="000000" w:themeColor="text1"/>
              </w:rPr>
              <w:t>系数表，生物质工业炉窑废气颗粒物末端治理技术名称为：袋式除尘、板式、管式、文丘里、喷淋塔/冲击水浴、单筒（多筒并联）旋风、多管旋风，SO</w:t>
            </w:r>
            <w:r>
              <w:rPr>
                <w:rFonts w:hint="eastAsia"/>
                <w:color w:val="000000" w:themeColor="text1"/>
                <w:vertAlign w:val="subscript"/>
              </w:rPr>
              <w:t>2</w:t>
            </w:r>
            <w:r>
              <w:rPr>
                <w:rFonts w:hint="eastAsia"/>
                <w:color w:val="000000" w:themeColor="text1"/>
              </w:rPr>
              <w:t>的末端治理技术为：石灰/石膏法、石灰石/石膏法、双碱法，NO</w:t>
            </w:r>
            <w:r>
              <w:rPr>
                <w:rFonts w:hint="eastAsia"/>
                <w:color w:val="000000" w:themeColor="text1"/>
                <w:vertAlign w:val="subscript"/>
              </w:rPr>
              <w:t>X</w:t>
            </w:r>
            <w:r>
              <w:rPr>
                <w:rFonts w:hint="eastAsia"/>
                <w:color w:val="000000" w:themeColor="text1"/>
              </w:rPr>
              <w:t>的末端治理技术为：烟气循环燃烧、低氮燃烧法、选择性非催化还原法（SNCR）、选择性催化还原法（SCR）、氧化/吸收法。</w:t>
            </w:r>
          </w:p>
          <w:p w14:paraId="7D87D5BB">
            <w:pPr>
              <w:ind w:firstLine="480"/>
              <w:rPr>
                <w:color w:val="000000" w:themeColor="text1"/>
              </w:rPr>
            </w:pPr>
            <w:r>
              <w:rPr>
                <w:rFonts w:hint="eastAsia"/>
                <w:color w:val="000000" w:themeColor="text1"/>
                <w:kern w:val="0"/>
              </w:rPr>
              <w:t>本项目</w:t>
            </w:r>
            <w:r>
              <w:rPr>
                <w:color w:val="000000" w:themeColor="text1"/>
              </w:rPr>
              <w:t>烘干废气</w:t>
            </w:r>
            <w:r>
              <w:rPr>
                <w:rFonts w:hint="eastAsia"/>
                <w:color w:val="000000" w:themeColor="text1"/>
              </w:rPr>
              <w:t>（</w:t>
            </w:r>
            <w:r>
              <w:rPr>
                <w:color w:val="000000" w:themeColor="text1"/>
              </w:rPr>
              <w:t>包括热风炉燃料燃烧废气和物料烘干工艺废气</w:t>
            </w:r>
            <w:r>
              <w:rPr>
                <w:rFonts w:hint="eastAsia"/>
                <w:color w:val="000000" w:themeColor="text1"/>
              </w:rPr>
              <w:t>）</w:t>
            </w:r>
            <w:r>
              <w:rPr>
                <w:rFonts w:hint="eastAsia"/>
                <w:color w:val="000000" w:themeColor="text1"/>
                <w:kern w:val="0"/>
              </w:rPr>
              <w:t>采用</w:t>
            </w:r>
            <w:r>
              <w:rPr>
                <w:rFonts w:hint="eastAsia"/>
                <w:color w:val="000000" w:themeColor="text1"/>
              </w:rPr>
              <w:t>“沙克龙除尘器+布袋除尘器”</w:t>
            </w:r>
            <w:r>
              <w:rPr>
                <w:rFonts w:hint="eastAsia"/>
                <w:color w:val="000000" w:themeColor="text1"/>
                <w:kern w:val="0"/>
              </w:rPr>
              <w:t>处理后，排放浓度满足相应标准限值要求，</w:t>
            </w:r>
            <w:r>
              <w:rPr>
                <w:rFonts w:hint="eastAsia"/>
                <w:color w:val="000000" w:themeColor="text1"/>
              </w:rPr>
              <w:t>“沙克龙除尘器+布袋除尘器”</w:t>
            </w:r>
            <w:r>
              <w:rPr>
                <w:rFonts w:hint="eastAsia"/>
                <w:color w:val="000000" w:themeColor="text1"/>
                <w:kern w:val="0"/>
              </w:rPr>
              <w:t>属于推荐的颗粒物末端治理可行性技术，</w:t>
            </w:r>
            <w:r>
              <w:rPr>
                <w:rFonts w:hint="eastAsia"/>
                <w:color w:val="000000" w:themeColor="text1"/>
              </w:rPr>
              <w:t>SO</w:t>
            </w:r>
            <w:r>
              <w:rPr>
                <w:rFonts w:hint="eastAsia"/>
                <w:color w:val="000000" w:themeColor="text1"/>
                <w:vertAlign w:val="subscript"/>
              </w:rPr>
              <w:t>2</w:t>
            </w:r>
            <w:r>
              <w:rPr>
                <w:rFonts w:hint="eastAsia"/>
                <w:color w:val="000000" w:themeColor="text1"/>
              </w:rPr>
              <w:t>、NO</w:t>
            </w:r>
            <w:r>
              <w:rPr>
                <w:rFonts w:hint="eastAsia"/>
                <w:color w:val="000000" w:themeColor="text1"/>
                <w:vertAlign w:val="subscript"/>
              </w:rPr>
              <w:t>X</w:t>
            </w:r>
            <w:r>
              <w:rPr>
                <w:rFonts w:hint="eastAsia"/>
                <w:color w:val="000000" w:themeColor="text1"/>
                <w:kern w:val="0"/>
              </w:rPr>
              <w:t>根据产污系数计算的产生浓度即可达到排放标准，故经收集后可通过排气筒直接排放，因此，本项目烘干废气、热风炉燃烧废气采用</w:t>
            </w:r>
            <w:r>
              <w:rPr>
                <w:rFonts w:hint="eastAsia"/>
                <w:color w:val="000000" w:themeColor="text1"/>
              </w:rPr>
              <w:t>“沙克龙除尘器+布袋除尘器”</w:t>
            </w:r>
            <w:r>
              <w:rPr>
                <w:rFonts w:hint="eastAsia"/>
                <w:color w:val="000000" w:themeColor="text1"/>
                <w:kern w:val="0"/>
              </w:rPr>
              <w:t>处理</w:t>
            </w:r>
            <w:r>
              <w:rPr>
                <w:rFonts w:hint="eastAsia"/>
                <w:color w:val="000000" w:themeColor="text1"/>
              </w:rPr>
              <w:t>可行。</w:t>
            </w:r>
          </w:p>
          <w:p w14:paraId="60E24E98">
            <w:pPr>
              <w:ind w:firstLine="480"/>
              <w:rPr>
                <w:color w:val="000000" w:themeColor="text1"/>
              </w:rPr>
            </w:pPr>
            <w:r>
              <w:rPr>
                <w:rFonts w:hint="eastAsia"/>
                <w:color w:val="000000" w:themeColor="text1"/>
              </w:rPr>
              <w:t>（2）中转仓落料及入料、制粒、筛分及筛下料落料、成品网状料仓入料及冷却、成品皮带输送机落料、打包机包装废气</w:t>
            </w:r>
          </w:p>
          <w:p w14:paraId="2B15D081">
            <w:pPr>
              <w:ind w:firstLine="480"/>
              <w:rPr>
                <w:color w:val="000000" w:themeColor="text1"/>
              </w:rPr>
            </w:pPr>
            <w:r>
              <w:rPr>
                <w:rFonts w:hint="eastAsia"/>
                <w:color w:val="000000" w:themeColor="text1"/>
              </w:rPr>
              <w:t>本项目4台生物质颗粒机分别自带1台旋风除尘器预处理制粒过程产生的颗粒物，同中转仓落料及入料、筛分及筛下料落料、成品网状料仓入料及冷却、成品皮带输送机落料、打包机包装废气共用1台布袋除尘器处理后由1根15m高排气筒排放。</w:t>
            </w:r>
          </w:p>
          <w:p w14:paraId="1929EE92">
            <w:pPr>
              <w:spacing w:line="360" w:lineRule="auto"/>
              <w:ind w:firstLine="480"/>
              <w:jc w:val="left"/>
              <w:rPr>
                <w:color w:val="000000" w:themeColor="text1"/>
              </w:rPr>
            </w:pPr>
            <w:r>
              <w:rPr>
                <w:rFonts w:hint="eastAsia"/>
                <w:color w:val="000000" w:themeColor="text1"/>
              </w:rPr>
              <w:t>布袋除尘器技术参数见下表。</w:t>
            </w:r>
          </w:p>
          <w:p w14:paraId="2BD17685">
            <w:pPr>
              <w:spacing w:line="360" w:lineRule="auto"/>
              <w:ind w:firstLine="0" w:firstLineChars="0"/>
              <w:jc w:val="center"/>
              <w:rPr>
                <w:b/>
                <w:bCs/>
                <w:color w:val="000000" w:themeColor="text1"/>
                <w:sz w:val="21"/>
                <w:szCs w:val="21"/>
              </w:rPr>
            </w:pPr>
            <w:r>
              <w:rPr>
                <w:rFonts w:hint="eastAsia"/>
                <w:b/>
                <w:bCs/>
                <w:color w:val="000000" w:themeColor="text1"/>
                <w:sz w:val="21"/>
                <w:szCs w:val="21"/>
              </w:rPr>
              <w:t>表35   布袋除尘器技术参数一览表</w:t>
            </w:r>
          </w:p>
          <w:tbl>
            <w:tblPr>
              <w:tblStyle w:val="57"/>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984"/>
              <w:gridCol w:w="1869"/>
              <w:gridCol w:w="3244"/>
            </w:tblGrid>
            <w:tr w14:paraId="2820744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5D120A6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4"/>
                      <w:sz w:val="21"/>
                      <w:szCs w:val="21"/>
                    </w:rPr>
                    <w:t>序号</w:t>
                  </w:r>
                </w:p>
              </w:tc>
              <w:tc>
                <w:tcPr>
                  <w:tcW w:w="1232" w:type="pct"/>
                  <w:tcBorders>
                    <w:tl2br w:val="nil"/>
                    <w:tr2bl w:val="nil"/>
                  </w:tcBorders>
                  <w:vAlign w:val="center"/>
                </w:tcPr>
                <w:p w14:paraId="2FF5118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2"/>
                      <w:sz w:val="21"/>
                      <w:szCs w:val="21"/>
                    </w:rPr>
                    <w:t>项目</w:t>
                  </w:r>
                </w:p>
              </w:tc>
              <w:tc>
                <w:tcPr>
                  <w:tcW w:w="1161" w:type="pct"/>
                  <w:tcBorders>
                    <w:tl2br w:val="nil"/>
                    <w:tr2bl w:val="nil"/>
                  </w:tcBorders>
                  <w:vAlign w:val="center"/>
                </w:tcPr>
                <w:p w14:paraId="40F1E40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3"/>
                      <w:sz w:val="21"/>
                      <w:szCs w:val="21"/>
                    </w:rPr>
                    <w:t>单位</w:t>
                  </w:r>
                </w:p>
              </w:tc>
              <w:tc>
                <w:tcPr>
                  <w:tcW w:w="2015" w:type="pct"/>
                  <w:tcBorders>
                    <w:tl2br w:val="nil"/>
                    <w:tr2bl w:val="nil"/>
                  </w:tcBorders>
                  <w:vAlign w:val="center"/>
                </w:tcPr>
                <w:p w14:paraId="6CD9E91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b/>
                      <w:bCs/>
                      <w:color w:val="000000" w:themeColor="text1"/>
                      <w:spacing w:val="6"/>
                      <w:sz w:val="21"/>
                      <w:szCs w:val="21"/>
                    </w:rPr>
                    <w:t>技术参数</w:t>
                  </w:r>
                </w:p>
              </w:tc>
            </w:tr>
            <w:tr w14:paraId="7A206ED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130EA9F5">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1</w:t>
                  </w:r>
                </w:p>
              </w:tc>
              <w:tc>
                <w:tcPr>
                  <w:tcW w:w="1232" w:type="pct"/>
                  <w:tcBorders>
                    <w:tl2br w:val="nil"/>
                    <w:tr2bl w:val="nil"/>
                  </w:tcBorders>
                  <w:vAlign w:val="center"/>
                </w:tcPr>
                <w:p w14:paraId="6CCCB0F8">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型号</w:t>
                  </w:r>
                </w:p>
              </w:tc>
              <w:tc>
                <w:tcPr>
                  <w:tcW w:w="1161" w:type="pct"/>
                  <w:tcBorders>
                    <w:tl2br w:val="nil"/>
                    <w:tr2bl w:val="nil"/>
                  </w:tcBorders>
                  <w:vAlign w:val="center"/>
                </w:tcPr>
                <w:p w14:paraId="7666E716">
                  <w:pPr>
                    <w:autoSpaceDE/>
                    <w:autoSpaceDN/>
                    <w:spacing w:line="240" w:lineRule="auto"/>
                    <w:ind w:firstLine="0" w:firstLineChars="0"/>
                    <w:jc w:val="center"/>
                    <w:rPr>
                      <w:color w:val="000000" w:themeColor="text1"/>
                      <w:spacing w:val="4"/>
                      <w:position w:val="-1"/>
                      <w:sz w:val="21"/>
                      <w:szCs w:val="21"/>
                      <w:lang w:eastAsia="en-US"/>
                    </w:rPr>
                  </w:pPr>
                  <w:r>
                    <w:rPr>
                      <w:rFonts w:hint="eastAsia"/>
                      <w:color w:val="000000" w:themeColor="text1"/>
                      <w:spacing w:val="4"/>
                      <w:position w:val="-1"/>
                      <w:sz w:val="21"/>
                      <w:szCs w:val="21"/>
                      <w:lang w:eastAsia="en-US"/>
                    </w:rPr>
                    <w:t>/</w:t>
                  </w:r>
                </w:p>
              </w:tc>
              <w:tc>
                <w:tcPr>
                  <w:tcW w:w="2015" w:type="pct"/>
                  <w:tcBorders>
                    <w:tl2br w:val="nil"/>
                    <w:tr2bl w:val="nil"/>
                  </w:tcBorders>
                  <w:vAlign w:val="center"/>
                </w:tcPr>
                <w:p w14:paraId="3B7803B5">
                  <w:pPr>
                    <w:autoSpaceDE/>
                    <w:autoSpaceDN/>
                    <w:spacing w:line="240" w:lineRule="auto"/>
                    <w:ind w:firstLine="0" w:firstLineChars="0"/>
                    <w:jc w:val="center"/>
                    <w:rPr>
                      <w:rFonts w:eastAsia="Times New Roman"/>
                      <w:color w:val="000000" w:themeColor="text1"/>
                      <w:spacing w:val="4"/>
                      <w:sz w:val="21"/>
                      <w:szCs w:val="21"/>
                      <w:lang w:eastAsia="en-US"/>
                    </w:rPr>
                  </w:pPr>
                  <w:r>
                    <w:rPr>
                      <w:rFonts w:eastAsia="Times New Roman"/>
                      <w:color w:val="000000" w:themeColor="text1"/>
                      <w:spacing w:val="4"/>
                      <w:sz w:val="21"/>
                      <w:szCs w:val="21"/>
                      <w:lang w:eastAsia="en-US"/>
                    </w:rPr>
                    <w:t>DMC-456</w:t>
                  </w:r>
                </w:p>
              </w:tc>
            </w:tr>
            <w:tr w14:paraId="5285D5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54273FA2">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2</w:t>
                  </w:r>
                </w:p>
              </w:tc>
              <w:tc>
                <w:tcPr>
                  <w:tcW w:w="1232" w:type="pct"/>
                  <w:tcBorders>
                    <w:tl2br w:val="nil"/>
                    <w:tr2bl w:val="nil"/>
                  </w:tcBorders>
                  <w:vAlign w:val="center"/>
                </w:tcPr>
                <w:p w14:paraId="7B1BB9A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风机风量</w:t>
                  </w:r>
                </w:p>
              </w:tc>
              <w:tc>
                <w:tcPr>
                  <w:tcW w:w="1161" w:type="pct"/>
                  <w:tcBorders>
                    <w:tl2br w:val="nil"/>
                    <w:tr2bl w:val="nil"/>
                  </w:tcBorders>
                  <w:vAlign w:val="center"/>
                </w:tcPr>
                <w:p w14:paraId="395F991F">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position w:val="-1"/>
                      <w:sz w:val="21"/>
                      <w:szCs w:val="21"/>
                      <w:lang w:eastAsia="en-US"/>
                    </w:rPr>
                    <w:t>m</w:t>
                  </w:r>
                  <w:r>
                    <w:rPr>
                      <w:rFonts w:hint="eastAsia"/>
                      <w:color w:val="000000" w:themeColor="text1"/>
                      <w:spacing w:val="4"/>
                      <w:position w:val="-1"/>
                      <w:sz w:val="21"/>
                      <w:szCs w:val="21"/>
                      <w:vertAlign w:val="superscript"/>
                      <w:lang w:eastAsia="en-US"/>
                    </w:rPr>
                    <w:t>3</w:t>
                  </w:r>
                  <w:r>
                    <w:rPr>
                      <w:rFonts w:eastAsia="Times New Roman"/>
                      <w:color w:val="000000" w:themeColor="text1"/>
                      <w:spacing w:val="4"/>
                      <w:position w:val="-1"/>
                      <w:sz w:val="21"/>
                      <w:szCs w:val="21"/>
                      <w:lang w:eastAsia="en-US"/>
                    </w:rPr>
                    <w:t>/h</w:t>
                  </w:r>
                </w:p>
              </w:tc>
              <w:tc>
                <w:tcPr>
                  <w:tcW w:w="2015" w:type="pct"/>
                  <w:tcBorders>
                    <w:tl2br w:val="nil"/>
                    <w:tr2bl w:val="nil"/>
                  </w:tcBorders>
                  <w:vAlign w:val="center"/>
                </w:tcPr>
                <w:p w14:paraId="7CB5A368">
                  <w:pPr>
                    <w:autoSpaceDE/>
                    <w:autoSpaceDN/>
                    <w:spacing w:line="240" w:lineRule="auto"/>
                    <w:ind w:firstLine="0" w:firstLineChars="0"/>
                    <w:jc w:val="center"/>
                    <w:rPr>
                      <w:rFonts w:eastAsia="Times New Roman"/>
                      <w:color w:val="000000" w:themeColor="text1"/>
                      <w:sz w:val="21"/>
                      <w:szCs w:val="21"/>
                      <w:lang w:eastAsia="en-US"/>
                    </w:rPr>
                  </w:pPr>
                  <w:r>
                    <w:rPr>
                      <w:rFonts w:hint="eastAsia"/>
                      <w:color w:val="000000" w:themeColor="text1"/>
                      <w:spacing w:val="4"/>
                      <w:sz w:val="21"/>
                      <w:szCs w:val="21"/>
                      <w:lang w:eastAsia="en-US"/>
                    </w:rPr>
                    <w:t>35</w:t>
                  </w:r>
                  <w:r>
                    <w:rPr>
                      <w:rFonts w:eastAsia="Times New Roman"/>
                      <w:color w:val="000000" w:themeColor="text1"/>
                      <w:spacing w:val="4"/>
                      <w:sz w:val="21"/>
                      <w:szCs w:val="21"/>
                      <w:lang w:eastAsia="en-US"/>
                    </w:rPr>
                    <w:t>000</w:t>
                  </w:r>
                </w:p>
              </w:tc>
            </w:tr>
            <w:tr w14:paraId="59D2095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1AD0F41F">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3</w:t>
                  </w:r>
                </w:p>
              </w:tc>
              <w:tc>
                <w:tcPr>
                  <w:tcW w:w="1232" w:type="pct"/>
                  <w:tcBorders>
                    <w:tl2br w:val="nil"/>
                    <w:tr2bl w:val="nil"/>
                  </w:tcBorders>
                  <w:vAlign w:val="center"/>
                </w:tcPr>
                <w:p w14:paraId="3C04343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除尘效率</w:t>
                  </w:r>
                </w:p>
              </w:tc>
              <w:tc>
                <w:tcPr>
                  <w:tcW w:w="1161" w:type="pct"/>
                  <w:tcBorders>
                    <w:tl2br w:val="nil"/>
                    <w:tr2bl w:val="nil"/>
                  </w:tcBorders>
                  <w:vAlign w:val="center"/>
                </w:tcPr>
                <w:p w14:paraId="5995A661">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c>
                <w:tcPr>
                  <w:tcW w:w="2015" w:type="pct"/>
                  <w:tcBorders>
                    <w:tl2br w:val="nil"/>
                    <w:tr2bl w:val="nil"/>
                  </w:tcBorders>
                  <w:vAlign w:val="center"/>
                </w:tcPr>
                <w:p w14:paraId="53A64713">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pacing w:val="20"/>
                      <w:w w:val="111"/>
                      <w:position w:val="1"/>
                      <w:sz w:val="21"/>
                      <w:szCs w:val="21"/>
                    </w:rPr>
                    <w:t>&gt;</w:t>
                  </w:r>
                  <w:r>
                    <w:rPr>
                      <w:rFonts w:hint="eastAsia" w:ascii="Times New Roman" w:hAnsi="Times New Roman" w:cs="Times New Roman"/>
                      <w:color w:val="000000" w:themeColor="text1"/>
                      <w:spacing w:val="20"/>
                      <w:w w:val="111"/>
                      <w:position w:val="1"/>
                      <w:sz w:val="21"/>
                      <w:szCs w:val="21"/>
                      <w:lang w:eastAsia="zh-CN"/>
                    </w:rPr>
                    <w:t>99</w:t>
                  </w:r>
                </w:p>
              </w:tc>
            </w:tr>
            <w:tr w14:paraId="3A4CF75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shd w:val="clear" w:color="auto" w:fill="auto"/>
                  <w:vAlign w:val="center"/>
                </w:tcPr>
                <w:p w14:paraId="76773FEF">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
                      <w:sz w:val="21"/>
                      <w:szCs w:val="21"/>
                      <w:lang w:eastAsia="en-US"/>
                    </w:rPr>
                    <w:t>4</w:t>
                  </w:r>
                </w:p>
              </w:tc>
              <w:tc>
                <w:tcPr>
                  <w:tcW w:w="1232" w:type="pct"/>
                  <w:tcBorders>
                    <w:tl2br w:val="nil"/>
                    <w:tr2bl w:val="nil"/>
                  </w:tcBorders>
                  <w:vAlign w:val="center"/>
                </w:tcPr>
                <w:p w14:paraId="5BB1505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过滤风速</w:t>
                  </w:r>
                </w:p>
              </w:tc>
              <w:tc>
                <w:tcPr>
                  <w:tcW w:w="1161" w:type="pct"/>
                  <w:tcBorders>
                    <w:tl2br w:val="nil"/>
                    <w:tr2bl w:val="nil"/>
                  </w:tcBorders>
                  <w:vAlign w:val="center"/>
                </w:tcPr>
                <w:p w14:paraId="7B984755">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11"/>
                      <w:sz w:val="21"/>
                      <w:szCs w:val="21"/>
                      <w:lang w:eastAsia="en-US"/>
                    </w:rPr>
                    <w:t>m/</w:t>
                  </w:r>
                  <w:r>
                    <w:rPr>
                      <w:rFonts w:eastAsia="Times New Roman"/>
                      <w:color w:val="000000" w:themeColor="text1"/>
                      <w:sz w:val="21"/>
                      <w:szCs w:val="21"/>
                      <w:lang w:eastAsia="en-US"/>
                    </w:rPr>
                    <w:t>min</w:t>
                  </w:r>
                </w:p>
              </w:tc>
              <w:tc>
                <w:tcPr>
                  <w:tcW w:w="2015" w:type="pct"/>
                  <w:tcBorders>
                    <w:tl2br w:val="nil"/>
                    <w:tr2bl w:val="nil"/>
                  </w:tcBorders>
                  <w:vAlign w:val="center"/>
                </w:tcPr>
                <w:p w14:paraId="6B6C55FE">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eastAsia="Times New Roman" w:cs="Times New Roman"/>
                      <w:color w:val="000000" w:themeColor="text1"/>
                      <w:spacing w:val="-9"/>
                      <w:position w:val="1"/>
                      <w:sz w:val="21"/>
                      <w:szCs w:val="21"/>
                    </w:rPr>
                    <w:t>0.8</w:t>
                  </w:r>
                </w:p>
              </w:tc>
            </w:tr>
            <w:tr w14:paraId="289AC71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0513859A">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5</w:t>
                  </w:r>
                </w:p>
              </w:tc>
              <w:tc>
                <w:tcPr>
                  <w:tcW w:w="1232" w:type="pct"/>
                  <w:tcBorders>
                    <w:tl2br w:val="nil"/>
                    <w:tr2bl w:val="nil"/>
                  </w:tcBorders>
                  <w:vAlign w:val="center"/>
                </w:tcPr>
                <w:p w14:paraId="45A062A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pacing w:val="6"/>
                      <w:sz w:val="21"/>
                      <w:szCs w:val="21"/>
                      <w:lang w:eastAsia="zh-CN"/>
                    </w:rPr>
                    <w:t>布袋材质</w:t>
                  </w:r>
                </w:p>
              </w:tc>
              <w:tc>
                <w:tcPr>
                  <w:tcW w:w="1161" w:type="pct"/>
                  <w:tcBorders>
                    <w:tl2br w:val="nil"/>
                    <w:tr2bl w:val="nil"/>
                  </w:tcBorders>
                  <w:vAlign w:val="center"/>
                </w:tcPr>
                <w:p w14:paraId="1C67DCA6">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5D9E666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pacing w:val="6"/>
                      <w:sz w:val="21"/>
                      <w:szCs w:val="21"/>
                      <w:lang w:eastAsia="zh-CN"/>
                    </w:rPr>
                    <w:t>涤纶针刺毡</w:t>
                  </w:r>
                </w:p>
              </w:tc>
            </w:tr>
            <w:tr w14:paraId="5606F0C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6538F0E4">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6</w:t>
                  </w:r>
                </w:p>
              </w:tc>
              <w:tc>
                <w:tcPr>
                  <w:tcW w:w="1232" w:type="pct"/>
                  <w:tcBorders>
                    <w:tl2br w:val="nil"/>
                    <w:tr2bl w:val="nil"/>
                  </w:tcBorders>
                  <w:vAlign w:val="center"/>
                </w:tcPr>
                <w:p w14:paraId="62689CF4">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布袋规格</w:t>
                  </w:r>
                </w:p>
              </w:tc>
              <w:tc>
                <w:tcPr>
                  <w:tcW w:w="1161" w:type="pct"/>
                  <w:tcBorders>
                    <w:tl2br w:val="nil"/>
                    <w:tr2bl w:val="nil"/>
                  </w:tcBorders>
                  <w:vAlign w:val="center"/>
                </w:tcPr>
                <w:p w14:paraId="25899BCE">
                  <w:pPr>
                    <w:autoSpaceDE/>
                    <w:autoSpaceDN/>
                    <w:spacing w:line="240" w:lineRule="auto"/>
                    <w:ind w:firstLine="0" w:firstLineChars="0"/>
                    <w:jc w:val="center"/>
                    <w:rPr>
                      <w:rFonts w:eastAsia="Times New Roman"/>
                      <w:color w:val="000000" w:themeColor="text1"/>
                      <w:spacing w:val="2"/>
                      <w:sz w:val="21"/>
                      <w:szCs w:val="21"/>
                      <w:lang w:eastAsia="en-US"/>
                    </w:rPr>
                  </w:pPr>
                  <w:r>
                    <w:rPr>
                      <w:rFonts w:hint="eastAsia"/>
                      <w:color w:val="000000" w:themeColor="text1"/>
                      <w:spacing w:val="6"/>
                      <w:sz w:val="21"/>
                      <w:szCs w:val="21"/>
                      <w:lang w:eastAsia="en-US"/>
                    </w:rPr>
                    <w:t>mm</w:t>
                  </w:r>
                </w:p>
              </w:tc>
              <w:tc>
                <w:tcPr>
                  <w:tcW w:w="2015" w:type="pct"/>
                  <w:tcBorders>
                    <w:tl2br w:val="nil"/>
                    <w:tr2bl w:val="nil"/>
                  </w:tcBorders>
                  <w:vAlign w:val="center"/>
                </w:tcPr>
                <w:p w14:paraId="21EE0D9F">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Φ130*2000</w:t>
                  </w:r>
                </w:p>
              </w:tc>
            </w:tr>
            <w:tr w14:paraId="09B4230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59707EB2">
                  <w:pPr>
                    <w:autoSpaceDE/>
                    <w:autoSpaceDN/>
                    <w:spacing w:line="240" w:lineRule="auto"/>
                    <w:ind w:firstLine="0" w:firstLineChars="0"/>
                    <w:jc w:val="center"/>
                    <w:rPr>
                      <w:color w:val="000000" w:themeColor="text1"/>
                      <w:spacing w:val="1"/>
                      <w:sz w:val="21"/>
                      <w:szCs w:val="21"/>
                      <w:lang w:eastAsia="en-US"/>
                    </w:rPr>
                  </w:pPr>
                  <w:r>
                    <w:rPr>
                      <w:rFonts w:hint="eastAsia"/>
                      <w:color w:val="000000" w:themeColor="text1"/>
                      <w:spacing w:val="1"/>
                      <w:sz w:val="21"/>
                      <w:szCs w:val="21"/>
                      <w:lang w:eastAsia="en-US"/>
                    </w:rPr>
                    <w:t>7</w:t>
                  </w:r>
                </w:p>
              </w:tc>
              <w:tc>
                <w:tcPr>
                  <w:tcW w:w="1232" w:type="pct"/>
                  <w:tcBorders>
                    <w:tl2br w:val="nil"/>
                    <w:tr2bl w:val="nil"/>
                  </w:tcBorders>
                  <w:vAlign w:val="center"/>
                </w:tcPr>
                <w:p w14:paraId="3CE942CB">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布袋数量</w:t>
                  </w:r>
                </w:p>
              </w:tc>
              <w:tc>
                <w:tcPr>
                  <w:tcW w:w="1161" w:type="pct"/>
                  <w:tcBorders>
                    <w:tl2br w:val="nil"/>
                    <w:tr2bl w:val="nil"/>
                  </w:tcBorders>
                  <w:vAlign w:val="center"/>
                </w:tcPr>
                <w:p w14:paraId="18EDF9A3">
                  <w:pPr>
                    <w:autoSpaceDE/>
                    <w:autoSpaceDN/>
                    <w:spacing w:line="240" w:lineRule="auto"/>
                    <w:ind w:firstLine="0" w:firstLineChars="0"/>
                    <w:jc w:val="center"/>
                    <w:rPr>
                      <w:color w:val="000000" w:themeColor="text1"/>
                      <w:spacing w:val="6"/>
                      <w:sz w:val="21"/>
                      <w:szCs w:val="21"/>
                      <w:lang w:eastAsia="en-US"/>
                    </w:rPr>
                  </w:pPr>
                  <w:r>
                    <w:rPr>
                      <w:rFonts w:hint="eastAsia"/>
                      <w:color w:val="000000" w:themeColor="text1"/>
                      <w:spacing w:val="6"/>
                      <w:sz w:val="21"/>
                      <w:szCs w:val="21"/>
                      <w:lang w:eastAsia="en-US"/>
                    </w:rPr>
                    <w:t>条</w:t>
                  </w:r>
                </w:p>
              </w:tc>
              <w:tc>
                <w:tcPr>
                  <w:tcW w:w="2015" w:type="pct"/>
                  <w:tcBorders>
                    <w:tl2br w:val="nil"/>
                    <w:tr2bl w:val="nil"/>
                  </w:tcBorders>
                  <w:vAlign w:val="center"/>
                </w:tcPr>
                <w:p w14:paraId="6723AE0E">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730</w:t>
                  </w:r>
                </w:p>
              </w:tc>
            </w:tr>
            <w:tr w14:paraId="7CD29BF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4314A175">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8</w:t>
                  </w:r>
                </w:p>
              </w:tc>
              <w:tc>
                <w:tcPr>
                  <w:tcW w:w="1232" w:type="pct"/>
                  <w:tcBorders>
                    <w:tl2br w:val="nil"/>
                    <w:tr2bl w:val="nil"/>
                  </w:tcBorders>
                  <w:vAlign w:val="center"/>
                </w:tcPr>
                <w:p w14:paraId="50F6C30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7"/>
                      <w:sz w:val="21"/>
                      <w:szCs w:val="21"/>
                    </w:rPr>
                    <w:t>清灰方式</w:t>
                  </w:r>
                </w:p>
              </w:tc>
              <w:tc>
                <w:tcPr>
                  <w:tcW w:w="1161" w:type="pct"/>
                  <w:tcBorders>
                    <w:tl2br w:val="nil"/>
                    <w:tr2bl w:val="nil"/>
                  </w:tcBorders>
                  <w:vAlign w:val="center"/>
                </w:tcPr>
                <w:p w14:paraId="44A5F6DD">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pacing w:val="2"/>
                      <w:sz w:val="21"/>
                      <w:szCs w:val="21"/>
                      <w:lang w:eastAsia="en-US"/>
                    </w:rPr>
                    <w:t>/</w:t>
                  </w:r>
                </w:p>
              </w:tc>
              <w:tc>
                <w:tcPr>
                  <w:tcW w:w="2015" w:type="pct"/>
                  <w:tcBorders>
                    <w:tl2br w:val="nil"/>
                    <w:tr2bl w:val="nil"/>
                  </w:tcBorders>
                  <w:vAlign w:val="center"/>
                </w:tcPr>
                <w:p w14:paraId="115BC12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在线脉冲喷吹</w:t>
                  </w:r>
                </w:p>
              </w:tc>
            </w:tr>
            <w:tr w14:paraId="4C5DD8B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5729EB65">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9</w:t>
                  </w:r>
                </w:p>
              </w:tc>
              <w:tc>
                <w:tcPr>
                  <w:tcW w:w="1232" w:type="pct"/>
                  <w:tcBorders>
                    <w:tl2br w:val="nil"/>
                    <w:tr2bl w:val="nil"/>
                  </w:tcBorders>
                  <w:vAlign w:val="center"/>
                </w:tcPr>
                <w:p w14:paraId="4A9A2C27">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脉冲阀规格</w:t>
                  </w:r>
                </w:p>
              </w:tc>
              <w:tc>
                <w:tcPr>
                  <w:tcW w:w="1161" w:type="pct"/>
                  <w:tcBorders>
                    <w:tl2br w:val="nil"/>
                    <w:tr2bl w:val="nil"/>
                  </w:tcBorders>
                  <w:vAlign w:val="center"/>
                </w:tcPr>
                <w:p w14:paraId="78FB3CA5">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寸</w:t>
                  </w:r>
                </w:p>
              </w:tc>
              <w:tc>
                <w:tcPr>
                  <w:tcW w:w="2015" w:type="pct"/>
                  <w:tcBorders>
                    <w:tl2br w:val="nil"/>
                    <w:tr2bl w:val="nil"/>
                  </w:tcBorders>
                  <w:vAlign w:val="center"/>
                </w:tcPr>
                <w:p w14:paraId="1BA6E400">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1.5</w:t>
                  </w:r>
                </w:p>
              </w:tc>
            </w:tr>
            <w:tr w14:paraId="0239648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591" w:type="pct"/>
                  <w:tcBorders>
                    <w:tl2br w:val="nil"/>
                    <w:tr2bl w:val="nil"/>
                  </w:tcBorders>
                  <w:vAlign w:val="center"/>
                </w:tcPr>
                <w:p w14:paraId="394B3B6E">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10</w:t>
                  </w:r>
                </w:p>
              </w:tc>
              <w:tc>
                <w:tcPr>
                  <w:tcW w:w="1232" w:type="pct"/>
                  <w:tcBorders>
                    <w:tl2br w:val="nil"/>
                    <w:tr2bl w:val="nil"/>
                  </w:tcBorders>
                  <w:vAlign w:val="center"/>
                </w:tcPr>
                <w:p w14:paraId="0E8853E5">
                  <w:pPr>
                    <w:pStyle w:val="65"/>
                    <w:autoSpaceDE/>
                    <w:autoSpaceDN/>
                    <w:spacing w:line="240" w:lineRule="auto"/>
                    <w:ind w:firstLine="0" w:firstLineChars="0"/>
                    <w:jc w:val="center"/>
                    <w:rPr>
                      <w:rFonts w:ascii="Times New Roman" w:hAnsi="Times New Roman" w:cs="Times New Roman"/>
                      <w:color w:val="000000" w:themeColor="text1"/>
                      <w:spacing w:val="7"/>
                      <w:sz w:val="21"/>
                      <w:szCs w:val="21"/>
                      <w:lang w:eastAsia="zh-CN"/>
                    </w:rPr>
                  </w:pPr>
                  <w:r>
                    <w:rPr>
                      <w:rFonts w:hint="eastAsia" w:ascii="Times New Roman" w:hAnsi="Times New Roman" w:cs="Times New Roman"/>
                      <w:color w:val="000000" w:themeColor="text1"/>
                      <w:spacing w:val="7"/>
                      <w:sz w:val="21"/>
                      <w:szCs w:val="21"/>
                      <w:lang w:eastAsia="zh-CN"/>
                    </w:rPr>
                    <w:t>脉冲阀个数</w:t>
                  </w:r>
                </w:p>
              </w:tc>
              <w:tc>
                <w:tcPr>
                  <w:tcW w:w="1161" w:type="pct"/>
                  <w:tcBorders>
                    <w:tl2br w:val="nil"/>
                    <w:tr2bl w:val="nil"/>
                  </w:tcBorders>
                  <w:vAlign w:val="center"/>
                </w:tcPr>
                <w:p w14:paraId="64AD4168">
                  <w:pPr>
                    <w:autoSpaceDE/>
                    <w:autoSpaceDN/>
                    <w:spacing w:line="240" w:lineRule="auto"/>
                    <w:ind w:firstLine="0" w:firstLineChars="0"/>
                    <w:jc w:val="center"/>
                    <w:rPr>
                      <w:color w:val="000000" w:themeColor="text1"/>
                      <w:spacing w:val="2"/>
                      <w:sz w:val="21"/>
                      <w:szCs w:val="21"/>
                      <w:lang w:eastAsia="en-US"/>
                    </w:rPr>
                  </w:pPr>
                  <w:r>
                    <w:rPr>
                      <w:rFonts w:hint="eastAsia"/>
                      <w:color w:val="000000" w:themeColor="text1"/>
                      <w:spacing w:val="2"/>
                      <w:sz w:val="21"/>
                      <w:szCs w:val="21"/>
                      <w:lang w:eastAsia="en-US"/>
                    </w:rPr>
                    <w:t>个</w:t>
                  </w:r>
                </w:p>
              </w:tc>
              <w:tc>
                <w:tcPr>
                  <w:tcW w:w="2015" w:type="pct"/>
                  <w:tcBorders>
                    <w:tl2br w:val="nil"/>
                    <w:tr2bl w:val="nil"/>
                  </w:tcBorders>
                  <w:vAlign w:val="center"/>
                </w:tcPr>
                <w:p w14:paraId="0CCC64ED">
                  <w:pPr>
                    <w:pStyle w:val="65"/>
                    <w:autoSpaceDE/>
                    <w:autoSpaceDN/>
                    <w:spacing w:line="240" w:lineRule="auto"/>
                    <w:ind w:firstLine="0" w:firstLineChars="0"/>
                    <w:jc w:val="center"/>
                    <w:rPr>
                      <w:rFonts w:ascii="Times New Roman" w:hAnsi="Times New Roman" w:cs="Times New Roman"/>
                      <w:color w:val="000000" w:themeColor="text1"/>
                      <w:spacing w:val="6"/>
                      <w:sz w:val="21"/>
                      <w:szCs w:val="21"/>
                      <w:lang w:eastAsia="zh-CN"/>
                    </w:rPr>
                  </w:pPr>
                  <w:r>
                    <w:rPr>
                      <w:rFonts w:hint="eastAsia" w:ascii="Times New Roman" w:hAnsi="Times New Roman" w:cs="Times New Roman"/>
                      <w:color w:val="000000" w:themeColor="text1"/>
                      <w:spacing w:val="6"/>
                      <w:sz w:val="21"/>
                      <w:szCs w:val="21"/>
                      <w:lang w:eastAsia="zh-CN"/>
                    </w:rPr>
                    <w:t>32</w:t>
                  </w:r>
                </w:p>
              </w:tc>
            </w:tr>
          </w:tbl>
          <w:p w14:paraId="74825659">
            <w:pPr>
              <w:ind w:firstLine="480"/>
              <w:rPr>
                <w:color w:val="000000" w:themeColor="text1"/>
              </w:rPr>
            </w:pPr>
            <w:r>
              <w:rPr>
                <w:rFonts w:hint="eastAsia"/>
                <w:color w:val="000000" w:themeColor="text1"/>
              </w:rPr>
              <w:t>参照《排放源统计调查产排污核算方法和系数手册》附表1工业行业产排污系数手册2542 生物质致密成型燃料加工行业系数表，剪切、破碎、筛分、造粒工段废气颗粒物末端治理技术名称为：旋风除尘、袋式除尘。</w:t>
            </w:r>
          </w:p>
          <w:p w14:paraId="2F73BC66">
            <w:pPr>
              <w:ind w:firstLine="480"/>
              <w:rPr>
                <w:color w:val="000000" w:themeColor="text1"/>
              </w:rPr>
            </w:pPr>
            <w:r>
              <w:rPr>
                <w:rFonts w:hint="eastAsia"/>
                <w:color w:val="000000" w:themeColor="text1"/>
              </w:rPr>
              <w:t>本项目制粒废气经旋风除尘器预处理后，同中转仓落料及入料、筛分及筛下料落料、成品网状料仓入料及冷却、成品皮带输送机落料、打包机包装废气共用1台布袋除尘器处理后</w:t>
            </w:r>
            <w:r>
              <w:rPr>
                <w:rFonts w:hint="eastAsia"/>
                <w:color w:val="000000" w:themeColor="text1"/>
                <w:kern w:val="0"/>
              </w:rPr>
              <w:t>，排放浓度满足相应标准限值要求，属于可行性技术，废气处理可行。</w:t>
            </w:r>
          </w:p>
          <w:p w14:paraId="0C41C848">
            <w:pPr>
              <w:ind w:firstLine="482"/>
              <w:rPr>
                <w:b/>
                <w:bCs/>
                <w:color w:val="000000" w:themeColor="text1"/>
                <w:kern w:val="0"/>
              </w:rPr>
            </w:pPr>
            <w:r>
              <w:rPr>
                <w:rFonts w:hint="eastAsia"/>
                <w:b/>
                <w:bCs/>
                <w:color w:val="000000" w:themeColor="text1"/>
                <w:kern w:val="0"/>
              </w:rPr>
              <w:t>1.4废气治理设施风机风量设置可行性分析</w:t>
            </w:r>
          </w:p>
          <w:p w14:paraId="7E79F8D2">
            <w:pPr>
              <w:ind w:firstLine="480"/>
              <w:rPr>
                <w:color w:val="000000" w:themeColor="text1"/>
              </w:rPr>
            </w:pPr>
            <w:r>
              <w:rPr>
                <w:rFonts w:hint="eastAsia"/>
                <w:color w:val="000000" w:themeColor="text1"/>
              </w:rPr>
              <w:t>本项目风机风量设置合理性分析如下：</w:t>
            </w:r>
          </w:p>
          <w:p w14:paraId="1855656C">
            <w:pPr>
              <w:ind w:firstLine="480"/>
              <w:rPr>
                <w:color w:val="000000" w:themeColor="text1"/>
              </w:rPr>
            </w:pPr>
            <w:r>
              <w:rPr>
                <w:rFonts w:hint="eastAsia"/>
                <w:color w:val="000000" w:themeColor="text1"/>
              </w:rPr>
              <w:t>（1）集气管道风量计算公式为：</w:t>
            </w:r>
          </w:p>
          <w:p w14:paraId="7E6C4049">
            <w:pPr>
              <w:ind w:firstLine="480"/>
              <w:rPr>
                <w:color w:val="000000" w:themeColor="text1"/>
              </w:rPr>
            </w:pPr>
            <w:r>
              <w:rPr>
                <w:color w:val="000000" w:themeColor="text1"/>
              </w:rPr>
              <w:t>L=3600Fvβ</w:t>
            </w:r>
          </w:p>
          <w:p w14:paraId="37019E00">
            <w:pPr>
              <w:ind w:firstLine="480"/>
              <w:rPr>
                <w:color w:val="000000" w:themeColor="text1"/>
              </w:rPr>
            </w:pPr>
            <w:r>
              <w:rPr>
                <w:rFonts w:hint="eastAsia"/>
                <w:color w:val="000000" w:themeColor="text1"/>
              </w:rPr>
              <w:t>式中：</w:t>
            </w:r>
          </w:p>
          <w:p w14:paraId="1CA2AF42">
            <w:pPr>
              <w:ind w:firstLine="480"/>
              <w:rPr>
                <w:color w:val="000000" w:themeColor="text1"/>
              </w:rPr>
            </w:pPr>
            <w:r>
              <w:rPr>
                <w:rFonts w:hint="eastAsia"/>
                <w:color w:val="000000" w:themeColor="text1"/>
              </w:rPr>
              <w:t>L—排气量，m</w:t>
            </w:r>
            <w:r>
              <w:rPr>
                <w:rFonts w:hint="eastAsia"/>
                <w:color w:val="000000" w:themeColor="text1"/>
                <w:vertAlign w:val="superscript"/>
              </w:rPr>
              <w:t>3</w:t>
            </w:r>
            <w:r>
              <w:rPr>
                <w:rFonts w:hint="eastAsia"/>
                <w:color w:val="000000" w:themeColor="text1"/>
              </w:rPr>
              <w:t>/h；</w:t>
            </w:r>
          </w:p>
          <w:p w14:paraId="1824665F">
            <w:pPr>
              <w:ind w:firstLine="480"/>
              <w:rPr>
                <w:color w:val="000000" w:themeColor="text1"/>
              </w:rPr>
            </w:pPr>
            <w:r>
              <w:rPr>
                <w:rFonts w:hint="eastAsia"/>
                <w:color w:val="000000" w:themeColor="text1"/>
              </w:rPr>
              <w:t>F—风管的面积，m</w:t>
            </w:r>
            <w:r>
              <w:rPr>
                <w:rFonts w:hint="eastAsia"/>
                <w:color w:val="000000" w:themeColor="text1"/>
                <w:vertAlign w:val="superscript"/>
              </w:rPr>
              <w:t>2</w:t>
            </w:r>
            <w:r>
              <w:rPr>
                <w:rFonts w:hint="eastAsia"/>
                <w:color w:val="000000" w:themeColor="text1"/>
              </w:rPr>
              <w:t>，</w:t>
            </w:r>
          </w:p>
          <w:p w14:paraId="0B703D8A">
            <w:pPr>
              <w:ind w:firstLine="480"/>
              <w:rPr>
                <w:color w:val="000000" w:themeColor="text1"/>
              </w:rPr>
            </w:pPr>
            <w:r>
              <w:rPr>
                <w:rFonts w:hint="eastAsia"/>
                <w:color w:val="000000" w:themeColor="text1"/>
              </w:rPr>
              <w:t>v—管道风速，m/s，15m/s；</w:t>
            </w:r>
          </w:p>
          <w:p w14:paraId="62C1CA58">
            <w:pPr>
              <w:ind w:firstLine="480"/>
              <w:rPr>
                <w:color w:val="000000" w:themeColor="text1"/>
              </w:rPr>
            </w:pPr>
            <w:r>
              <w:rPr>
                <w:color w:val="000000" w:themeColor="text1"/>
              </w:rPr>
              <w:t>β—安全系数</w:t>
            </w:r>
            <w:r>
              <w:rPr>
                <w:rFonts w:hint="eastAsia"/>
                <w:color w:val="000000" w:themeColor="text1"/>
              </w:rPr>
              <w:t>，</w:t>
            </w:r>
            <w:r>
              <w:rPr>
                <w:color w:val="000000" w:themeColor="text1"/>
              </w:rPr>
              <w:t>考虑管道输送过程中有压力损失，风机风量考虑1.</w:t>
            </w:r>
            <w:r>
              <w:rPr>
                <w:rFonts w:hint="eastAsia"/>
                <w:color w:val="000000" w:themeColor="text1"/>
              </w:rPr>
              <w:t>1</w:t>
            </w:r>
            <w:r>
              <w:rPr>
                <w:color w:val="000000" w:themeColor="text1"/>
              </w:rPr>
              <w:t>的安全系数。</w:t>
            </w:r>
          </w:p>
          <w:p w14:paraId="6AAB1B77">
            <w:pPr>
              <w:ind w:firstLine="480"/>
              <w:rPr>
                <w:color w:val="000000" w:themeColor="text1"/>
              </w:rPr>
            </w:pPr>
            <w:r>
              <w:rPr>
                <w:rFonts w:hint="eastAsia"/>
                <w:color w:val="000000" w:themeColor="text1"/>
              </w:rPr>
              <w:t>（2）集气罩风量计算公式为：</w:t>
            </w:r>
          </w:p>
          <w:p w14:paraId="4AEAB794">
            <w:pPr>
              <w:ind w:firstLine="480"/>
              <w:rPr>
                <w:color w:val="000000" w:themeColor="text1"/>
              </w:rPr>
            </w:pPr>
            <w:r>
              <w:rPr>
                <w:rFonts w:hint="eastAsia"/>
                <w:color w:val="000000" w:themeColor="text1"/>
              </w:rPr>
              <w:t>中转仓落料及入料、筛分过程集气罩风机风量按以下计算：</w:t>
            </w:r>
          </w:p>
          <w:p w14:paraId="0ADD62F3">
            <w:pPr>
              <w:ind w:firstLine="480"/>
              <w:rPr>
                <w:color w:val="000000" w:themeColor="text1"/>
              </w:rPr>
            </w:pPr>
            <w:r>
              <w:rPr>
                <w:rFonts w:hint="eastAsia"/>
                <w:color w:val="000000" w:themeColor="text1"/>
              </w:rPr>
              <w:t>根据《除尘工程设计手册》（张殿印、王纯主编）中“第三章尘源控制与集气吸尘罩设计”章节可知，外部集气吸尘罩冷过程伞形罩风量计算公式为</w:t>
            </w:r>
            <w:r>
              <w:rPr>
                <w:color w:val="000000" w:themeColor="text1"/>
              </w:rPr>
              <w:t>：</w:t>
            </w:r>
          </w:p>
          <w:p w14:paraId="0542D81B">
            <w:pPr>
              <w:ind w:firstLine="480"/>
              <w:rPr>
                <w:color w:val="000000" w:themeColor="text1"/>
              </w:rPr>
            </w:pPr>
            <w:r>
              <w:rPr>
                <w:color w:val="000000" w:themeColor="text1"/>
              </w:rPr>
              <w:t>Q＝3600×K×C×H×v</w:t>
            </w:r>
            <w:r>
              <w:rPr>
                <w:color w:val="000000" w:themeColor="text1"/>
                <w:vertAlign w:val="subscript"/>
              </w:rPr>
              <w:t>0</w:t>
            </w:r>
          </w:p>
          <w:p w14:paraId="158C623B">
            <w:pPr>
              <w:ind w:firstLine="480"/>
              <w:rPr>
                <w:color w:val="000000" w:themeColor="text1"/>
              </w:rPr>
            </w:pPr>
            <w:r>
              <w:rPr>
                <w:color w:val="000000" w:themeColor="text1"/>
              </w:rPr>
              <w:t>式中：</w:t>
            </w:r>
          </w:p>
          <w:p w14:paraId="1F16C89E">
            <w:pPr>
              <w:ind w:firstLine="480"/>
              <w:rPr>
                <w:color w:val="000000" w:themeColor="text1"/>
              </w:rPr>
            </w:pPr>
            <w:r>
              <w:rPr>
                <w:color w:val="000000" w:themeColor="text1"/>
              </w:rPr>
              <w:t>Q</w:t>
            </w:r>
            <w:r>
              <w:rPr>
                <w:rFonts w:hint="eastAsia"/>
                <w:color w:val="000000" w:themeColor="text1"/>
              </w:rPr>
              <w:t>—排</w:t>
            </w:r>
            <w:r>
              <w:rPr>
                <w:color w:val="000000" w:themeColor="text1"/>
              </w:rPr>
              <w:t>风量，m</w:t>
            </w:r>
            <w:r>
              <w:rPr>
                <w:color w:val="000000" w:themeColor="text1"/>
                <w:vertAlign w:val="superscript"/>
              </w:rPr>
              <w:t>3</w:t>
            </w:r>
            <w:r>
              <w:rPr>
                <w:color w:val="000000" w:themeColor="text1"/>
              </w:rPr>
              <w:t>/h；</w:t>
            </w:r>
          </w:p>
          <w:p w14:paraId="396CDDE3">
            <w:pPr>
              <w:ind w:firstLine="480"/>
              <w:rPr>
                <w:color w:val="000000" w:themeColor="text1"/>
              </w:rPr>
            </w:pPr>
            <w:r>
              <w:rPr>
                <w:rFonts w:hint="eastAsia"/>
                <w:color w:val="000000" w:themeColor="text1"/>
              </w:rPr>
              <w:t>K—取决于伞形罩几何尺寸的系数，通常取K=1.4；</w:t>
            </w:r>
          </w:p>
          <w:p w14:paraId="14CEFFCB">
            <w:pPr>
              <w:ind w:firstLine="480"/>
              <w:rPr>
                <w:color w:val="000000" w:themeColor="text1"/>
              </w:rPr>
            </w:pPr>
            <w:r>
              <w:rPr>
                <w:rFonts w:hint="eastAsia"/>
                <w:color w:val="000000" w:themeColor="text1"/>
              </w:rPr>
              <w:t>C—尘源的周长，m，当罩口设有挡板时，C为未设挡板部分的有尘源的周长</w:t>
            </w:r>
            <w:r>
              <w:rPr>
                <w:color w:val="000000" w:themeColor="text1"/>
              </w:rPr>
              <w:t>；</w:t>
            </w:r>
          </w:p>
          <w:p w14:paraId="7DAC0D1A">
            <w:pPr>
              <w:ind w:firstLine="480"/>
              <w:rPr>
                <w:color w:val="000000" w:themeColor="text1"/>
              </w:rPr>
            </w:pPr>
            <w:r>
              <w:rPr>
                <w:rFonts w:hint="eastAsia"/>
                <w:color w:val="000000" w:themeColor="text1"/>
              </w:rPr>
              <w:t>H—罩口距尘源的距离，m；</w:t>
            </w:r>
          </w:p>
          <w:p w14:paraId="7F1EB4E6">
            <w:pPr>
              <w:ind w:firstLine="480"/>
              <w:rPr>
                <w:color w:val="000000" w:themeColor="text1"/>
              </w:rPr>
            </w:pPr>
            <w:r>
              <w:rPr>
                <w:rFonts w:hint="eastAsia"/>
                <w:color w:val="000000" w:themeColor="text1"/>
              </w:rPr>
              <w:t>v</w:t>
            </w:r>
            <w:r>
              <w:rPr>
                <w:rFonts w:hint="eastAsia"/>
                <w:color w:val="000000" w:themeColor="text1"/>
                <w:vertAlign w:val="subscript"/>
              </w:rPr>
              <w:t>0</w:t>
            </w:r>
            <w:r>
              <w:rPr>
                <w:rFonts w:hint="eastAsia"/>
                <w:color w:val="000000" w:themeColor="text1"/>
              </w:rPr>
              <w:t>—</w:t>
            </w:r>
            <w:r>
              <w:rPr>
                <w:color w:val="000000" w:themeColor="text1"/>
              </w:rPr>
              <w:t>罩口</w:t>
            </w:r>
            <w:r>
              <w:rPr>
                <w:rFonts w:hint="eastAsia"/>
                <w:color w:val="000000" w:themeColor="text1"/>
              </w:rPr>
              <w:t>上</w:t>
            </w:r>
            <w:r>
              <w:rPr>
                <w:color w:val="000000" w:themeColor="text1"/>
              </w:rPr>
              <w:t>平均风速，m/s，</w:t>
            </w:r>
            <w:r>
              <w:rPr>
                <w:rFonts w:hint="eastAsia"/>
                <w:color w:val="000000" w:themeColor="text1"/>
              </w:rPr>
              <w:t>根据下表确定。</w:t>
            </w:r>
          </w:p>
          <w:p w14:paraId="4CE9D0F6">
            <w:pPr>
              <w:ind w:firstLine="0" w:firstLineChars="0"/>
              <w:jc w:val="center"/>
              <w:rPr>
                <w:b/>
                <w:bCs/>
                <w:color w:val="000000" w:themeColor="text1"/>
                <w:sz w:val="21"/>
                <w:szCs w:val="21"/>
              </w:rPr>
            </w:pPr>
            <w:r>
              <w:rPr>
                <w:rFonts w:hint="eastAsia"/>
                <w:b/>
                <w:bCs/>
                <w:color w:val="000000" w:themeColor="text1"/>
                <w:sz w:val="21"/>
                <w:szCs w:val="21"/>
              </w:rPr>
              <w:t>表36   集气罩开口断面流速一览表</w:t>
            </w:r>
          </w:p>
          <w:tbl>
            <w:tblPr>
              <w:tblStyle w:val="25"/>
              <w:tblW w:w="80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020"/>
              <w:gridCol w:w="2021"/>
              <w:gridCol w:w="2021"/>
            </w:tblGrid>
            <w:tr w14:paraId="38A4C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tcPr>
                <w:p w14:paraId="331C987A">
                  <w:pPr>
                    <w:spacing w:line="240" w:lineRule="auto"/>
                    <w:ind w:firstLine="0" w:firstLineChars="0"/>
                    <w:jc w:val="center"/>
                    <w:rPr>
                      <w:b/>
                      <w:bCs/>
                      <w:color w:val="000000" w:themeColor="text1"/>
                      <w:sz w:val="21"/>
                      <w:szCs w:val="21"/>
                    </w:rPr>
                  </w:pPr>
                  <w:r>
                    <w:rPr>
                      <w:rFonts w:hint="eastAsia"/>
                      <w:b/>
                      <w:bCs/>
                      <w:color w:val="000000" w:themeColor="text1"/>
                      <w:sz w:val="21"/>
                      <w:szCs w:val="21"/>
                    </w:rPr>
                    <w:t>罩子形式</w:t>
                  </w:r>
                </w:p>
              </w:tc>
              <w:tc>
                <w:tcPr>
                  <w:tcW w:w="2020" w:type="dxa"/>
                  <w:tcBorders>
                    <w:tl2br w:val="nil"/>
                    <w:tr2bl w:val="nil"/>
                  </w:tcBorders>
                </w:tcPr>
                <w:p w14:paraId="0A5710FE">
                  <w:pPr>
                    <w:spacing w:line="240" w:lineRule="auto"/>
                    <w:ind w:firstLine="0" w:firstLineChars="0"/>
                    <w:jc w:val="center"/>
                    <w:rPr>
                      <w:b/>
                      <w:bCs/>
                      <w:color w:val="000000" w:themeColor="text1"/>
                      <w:sz w:val="21"/>
                      <w:szCs w:val="21"/>
                    </w:rPr>
                  </w:pPr>
                  <w:r>
                    <w:rPr>
                      <w:rFonts w:hint="eastAsia"/>
                      <w:b/>
                      <w:bCs/>
                      <w:color w:val="000000" w:themeColor="text1"/>
                      <w:sz w:val="21"/>
                      <w:szCs w:val="21"/>
                    </w:rPr>
                    <w:t>断面流速（m/s）</w:t>
                  </w:r>
                </w:p>
              </w:tc>
              <w:tc>
                <w:tcPr>
                  <w:tcW w:w="2021" w:type="dxa"/>
                  <w:tcBorders>
                    <w:tl2br w:val="nil"/>
                    <w:tr2bl w:val="nil"/>
                  </w:tcBorders>
                  <w:shd w:val="clear" w:color="auto" w:fill="auto"/>
                </w:tcPr>
                <w:p w14:paraId="13641938">
                  <w:pPr>
                    <w:spacing w:line="240" w:lineRule="auto"/>
                    <w:ind w:firstLine="0" w:firstLineChars="0"/>
                    <w:jc w:val="center"/>
                    <w:rPr>
                      <w:b/>
                      <w:bCs/>
                      <w:color w:val="000000" w:themeColor="text1"/>
                      <w:sz w:val="21"/>
                      <w:szCs w:val="21"/>
                    </w:rPr>
                  </w:pPr>
                  <w:r>
                    <w:rPr>
                      <w:rFonts w:hint="eastAsia"/>
                      <w:b/>
                      <w:bCs/>
                      <w:color w:val="000000" w:themeColor="text1"/>
                      <w:sz w:val="21"/>
                      <w:szCs w:val="21"/>
                    </w:rPr>
                    <w:t>罩子形式</w:t>
                  </w:r>
                </w:p>
              </w:tc>
              <w:tc>
                <w:tcPr>
                  <w:tcW w:w="2021" w:type="dxa"/>
                  <w:tcBorders>
                    <w:tl2br w:val="nil"/>
                    <w:tr2bl w:val="nil"/>
                  </w:tcBorders>
                  <w:shd w:val="clear" w:color="auto" w:fill="auto"/>
                </w:tcPr>
                <w:p w14:paraId="648C969A">
                  <w:pPr>
                    <w:spacing w:line="240" w:lineRule="auto"/>
                    <w:ind w:firstLine="0" w:firstLineChars="0"/>
                    <w:jc w:val="center"/>
                    <w:rPr>
                      <w:b/>
                      <w:bCs/>
                      <w:color w:val="000000" w:themeColor="text1"/>
                      <w:sz w:val="21"/>
                      <w:szCs w:val="21"/>
                    </w:rPr>
                  </w:pPr>
                  <w:r>
                    <w:rPr>
                      <w:rFonts w:hint="eastAsia"/>
                      <w:b/>
                      <w:bCs/>
                      <w:color w:val="000000" w:themeColor="text1"/>
                      <w:sz w:val="21"/>
                      <w:szCs w:val="21"/>
                    </w:rPr>
                    <w:t>断面流速（m/s）</w:t>
                  </w:r>
                </w:p>
              </w:tc>
            </w:tr>
            <w:tr w14:paraId="5EB22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tcPr>
                <w:p w14:paraId="3D689024">
                  <w:pPr>
                    <w:spacing w:line="240" w:lineRule="auto"/>
                    <w:ind w:firstLine="0" w:firstLineChars="0"/>
                    <w:jc w:val="center"/>
                    <w:rPr>
                      <w:color w:val="000000" w:themeColor="text1"/>
                      <w:sz w:val="21"/>
                      <w:szCs w:val="21"/>
                    </w:rPr>
                  </w:pPr>
                  <w:r>
                    <w:rPr>
                      <w:rFonts w:hint="eastAsia"/>
                      <w:color w:val="000000" w:themeColor="text1"/>
                      <w:sz w:val="21"/>
                      <w:szCs w:val="21"/>
                    </w:rPr>
                    <w:t>未设挡板</w:t>
                  </w:r>
                </w:p>
              </w:tc>
              <w:tc>
                <w:tcPr>
                  <w:tcW w:w="2020" w:type="dxa"/>
                  <w:tcBorders>
                    <w:tl2br w:val="nil"/>
                    <w:tr2bl w:val="nil"/>
                  </w:tcBorders>
                </w:tcPr>
                <w:p w14:paraId="07511F78">
                  <w:pPr>
                    <w:spacing w:line="240" w:lineRule="auto"/>
                    <w:ind w:firstLine="0" w:firstLineChars="0"/>
                    <w:jc w:val="center"/>
                    <w:rPr>
                      <w:color w:val="000000" w:themeColor="text1"/>
                      <w:sz w:val="21"/>
                      <w:szCs w:val="21"/>
                    </w:rPr>
                  </w:pPr>
                  <w:r>
                    <w:rPr>
                      <w:rFonts w:hint="eastAsia"/>
                      <w:color w:val="000000" w:themeColor="text1"/>
                      <w:sz w:val="21"/>
                      <w:szCs w:val="21"/>
                    </w:rPr>
                    <w:t>1.0~1.27</w:t>
                  </w:r>
                </w:p>
              </w:tc>
              <w:tc>
                <w:tcPr>
                  <w:tcW w:w="2021" w:type="dxa"/>
                  <w:tcBorders>
                    <w:tl2br w:val="nil"/>
                    <w:tr2bl w:val="nil"/>
                  </w:tcBorders>
                </w:tcPr>
                <w:p w14:paraId="247C1559">
                  <w:pPr>
                    <w:spacing w:line="240" w:lineRule="auto"/>
                    <w:ind w:firstLine="0" w:firstLineChars="0"/>
                    <w:jc w:val="center"/>
                    <w:rPr>
                      <w:color w:val="000000" w:themeColor="text1"/>
                      <w:sz w:val="21"/>
                      <w:szCs w:val="21"/>
                    </w:rPr>
                  </w:pPr>
                  <w:r>
                    <w:rPr>
                      <w:rFonts w:hint="eastAsia"/>
                      <w:color w:val="000000" w:themeColor="text1"/>
                      <w:sz w:val="21"/>
                      <w:szCs w:val="21"/>
                    </w:rPr>
                    <w:t>两面挡板</w:t>
                  </w:r>
                </w:p>
              </w:tc>
              <w:tc>
                <w:tcPr>
                  <w:tcW w:w="2021" w:type="dxa"/>
                  <w:tcBorders>
                    <w:tl2br w:val="nil"/>
                    <w:tr2bl w:val="nil"/>
                  </w:tcBorders>
                </w:tcPr>
                <w:p w14:paraId="5086214E">
                  <w:pPr>
                    <w:spacing w:line="240" w:lineRule="auto"/>
                    <w:ind w:firstLine="0" w:firstLineChars="0"/>
                    <w:jc w:val="center"/>
                    <w:rPr>
                      <w:color w:val="000000" w:themeColor="text1"/>
                      <w:sz w:val="21"/>
                      <w:szCs w:val="21"/>
                    </w:rPr>
                  </w:pPr>
                  <w:r>
                    <w:rPr>
                      <w:rFonts w:hint="eastAsia"/>
                      <w:color w:val="000000" w:themeColor="text1"/>
                      <w:sz w:val="21"/>
                      <w:szCs w:val="21"/>
                    </w:rPr>
                    <w:t>0.76~0.9</w:t>
                  </w:r>
                </w:p>
              </w:tc>
            </w:tr>
            <w:tr w14:paraId="29DE7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tcPr>
                <w:p w14:paraId="185E6C61">
                  <w:pPr>
                    <w:spacing w:line="240" w:lineRule="auto"/>
                    <w:ind w:firstLine="0" w:firstLineChars="0"/>
                    <w:jc w:val="center"/>
                    <w:rPr>
                      <w:color w:val="000000" w:themeColor="text1"/>
                      <w:sz w:val="21"/>
                      <w:szCs w:val="21"/>
                    </w:rPr>
                  </w:pPr>
                  <w:r>
                    <w:rPr>
                      <w:rFonts w:hint="eastAsia"/>
                      <w:color w:val="000000" w:themeColor="text1"/>
                      <w:sz w:val="21"/>
                      <w:szCs w:val="21"/>
                    </w:rPr>
                    <w:t>一面挡板</w:t>
                  </w:r>
                </w:p>
              </w:tc>
              <w:tc>
                <w:tcPr>
                  <w:tcW w:w="2020" w:type="dxa"/>
                  <w:tcBorders>
                    <w:tl2br w:val="nil"/>
                    <w:tr2bl w:val="nil"/>
                  </w:tcBorders>
                </w:tcPr>
                <w:p w14:paraId="53578AD8">
                  <w:pPr>
                    <w:spacing w:line="240" w:lineRule="auto"/>
                    <w:ind w:firstLine="0" w:firstLineChars="0"/>
                    <w:jc w:val="center"/>
                    <w:rPr>
                      <w:color w:val="000000" w:themeColor="text1"/>
                      <w:sz w:val="21"/>
                      <w:szCs w:val="21"/>
                    </w:rPr>
                  </w:pPr>
                  <w:r>
                    <w:rPr>
                      <w:rFonts w:hint="eastAsia"/>
                      <w:color w:val="000000" w:themeColor="text1"/>
                      <w:sz w:val="21"/>
                      <w:szCs w:val="21"/>
                    </w:rPr>
                    <w:t>0.9~1.0</w:t>
                  </w:r>
                </w:p>
              </w:tc>
              <w:tc>
                <w:tcPr>
                  <w:tcW w:w="2021" w:type="dxa"/>
                  <w:tcBorders>
                    <w:tl2br w:val="nil"/>
                    <w:tr2bl w:val="nil"/>
                  </w:tcBorders>
                </w:tcPr>
                <w:p w14:paraId="41696F36">
                  <w:pPr>
                    <w:spacing w:line="240" w:lineRule="auto"/>
                    <w:ind w:firstLine="0" w:firstLineChars="0"/>
                    <w:jc w:val="center"/>
                    <w:rPr>
                      <w:color w:val="000000" w:themeColor="text1"/>
                      <w:sz w:val="21"/>
                      <w:szCs w:val="21"/>
                    </w:rPr>
                  </w:pPr>
                  <w:r>
                    <w:rPr>
                      <w:rFonts w:hint="eastAsia"/>
                      <w:color w:val="000000" w:themeColor="text1"/>
                      <w:sz w:val="21"/>
                      <w:szCs w:val="21"/>
                    </w:rPr>
                    <w:t>三面挡板</w:t>
                  </w:r>
                </w:p>
              </w:tc>
              <w:tc>
                <w:tcPr>
                  <w:tcW w:w="2021" w:type="dxa"/>
                  <w:tcBorders>
                    <w:tl2br w:val="nil"/>
                    <w:tr2bl w:val="nil"/>
                  </w:tcBorders>
                </w:tcPr>
                <w:p w14:paraId="6954D30B">
                  <w:pPr>
                    <w:spacing w:line="240" w:lineRule="auto"/>
                    <w:ind w:firstLine="0" w:firstLineChars="0"/>
                    <w:jc w:val="center"/>
                    <w:rPr>
                      <w:color w:val="000000" w:themeColor="text1"/>
                      <w:sz w:val="21"/>
                      <w:szCs w:val="21"/>
                    </w:rPr>
                  </w:pPr>
                  <w:r>
                    <w:rPr>
                      <w:rFonts w:hint="eastAsia"/>
                      <w:color w:val="000000" w:themeColor="text1"/>
                      <w:sz w:val="21"/>
                      <w:szCs w:val="21"/>
                    </w:rPr>
                    <w:t>0.5~0.76</w:t>
                  </w:r>
                </w:p>
              </w:tc>
            </w:tr>
          </w:tbl>
          <w:p w14:paraId="4AF042C0">
            <w:pPr>
              <w:ind w:firstLine="480"/>
              <w:rPr>
                <w:color w:val="000000" w:themeColor="text1"/>
              </w:rPr>
            </w:pPr>
            <w:r>
              <w:rPr>
                <w:rFonts w:hint="eastAsia"/>
                <w:color w:val="000000" w:themeColor="text1"/>
              </w:rPr>
              <w:t>筛下料落料、成品网状料仓入料及冷却、成品皮带输送机落料、打包机包装过程集气罩风机风量按下式计算：</w:t>
            </w:r>
          </w:p>
          <w:p w14:paraId="7E30163B">
            <w:pPr>
              <w:ind w:firstLine="480"/>
              <w:rPr>
                <w:color w:val="000000" w:themeColor="text1"/>
              </w:rPr>
            </w:pPr>
            <w:r>
              <w:rPr>
                <w:color w:val="000000" w:themeColor="text1"/>
              </w:rPr>
              <w:t>Q＝3600×</w:t>
            </w:r>
            <w:r>
              <w:rPr>
                <w:rFonts w:hint="eastAsia"/>
                <w:color w:val="000000" w:themeColor="text1"/>
              </w:rPr>
              <w:t>A</w:t>
            </w:r>
            <w:r>
              <w:rPr>
                <w:color w:val="000000" w:themeColor="text1"/>
              </w:rPr>
              <w:t>×</w:t>
            </w:r>
            <w:r>
              <w:rPr>
                <w:rFonts w:hint="eastAsia"/>
                <w:color w:val="000000" w:themeColor="text1"/>
              </w:rPr>
              <w:t>V</w:t>
            </w:r>
            <w:r>
              <w:rPr>
                <w:rFonts w:hint="eastAsia"/>
                <w:color w:val="000000" w:themeColor="text1"/>
                <w:vertAlign w:val="subscript"/>
              </w:rPr>
              <w:t>p1</w:t>
            </w:r>
          </w:p>
          <w:p w14:paraId="4CE86E29">
            <w:pPr>
              <w:ind w:firstLine="480"/>
              <w:rPr>
                <w:color w:val="000000" w:themeColor="text1"/>
              </w:rPr>
            </w:pPr>
            <w:r>
              <w:rPr>
                <w:color w:val="000000" w:themeColor="text1"/>
              </w:rPr>
              <w:t>式中：</w:t>
            </w:r>
          </w:p>
          <w:p w14:paraId="5234E9C6">
            <w:pPr>
              <w:ind w:firstLine="960" w:firstLineChars="400"/>
              <w:rPr>
                <w:color w:val="000000" w:themeColor="text1"/>
              </w:rPr>
            </w:pPr>
            <w:r>
              <w:rPr>
                <w:color w:val="000000" w:themeColor="text1"/>
              </w:rPr>
              <w:t>Q</w:t>
            </w:r>
            <w:r>
              <w:rPr>
                <w:rFonts w:hint="eastAsia"/>
                <w:color w:val="000000" w:themeColor="text1"/>
              </w:rPr>
              <w:t>—排</w:t>
            </w:r>
            <w:r>
              <w:rPr>
                <w:color w:val="000000" w:themeColor="text1"/>
              </w:rPr>
              <w:t>风量，m</w:t>
            </w:r>
            <w:r>
              <w:rPr>
                <w:color w:val="000000" w:themeColor="text1"/>
                <w:vertAlign w:val="superscript"/>
              </w:rPr>
              <w:t>3</w:t>
            </w:r>
            <w:r>
              <w:rPr>
                <w:color w:val="000000" w:themeColor="text1"/>
              </w:rPr>
              <w:t>/h；</w:t>
            </w:r>
          </w:p>
          <w:p w14:paraId="16C984B5">
            <w:pPr>
              <w:ind w:firstLine="960" w:firstLineChars="400"/>
              <w:rPr>
                <w:color w:val="000000" w:themeColor="text1"/>
              </w:rPr>
            </w:pPr>
            <w:r>
              <w:rPr>
                <w:rFonts w:hint="eastAsia"/>
                <w:color w:val="000000" w:themeColor="text1"/>
              </w:rPr>
              <w:t>A—罩口面积；</w:t>
            </w:r>
          </w:p>
          <w:p w14:paraId="3CD767A8">
            <w:pPr>
              <w:ind w:firstLine="960" w:firstLineChars="400"/>
              <w:rPr>
                <w:color w:val="000000" w:themeColor="text1"/>
              </w:rPr>
            </w:pPr>
            <w:r>
              <w:rPr>
                <w:rFonts w:hint="eastAsia"/>
                <w:color w:val="000000" w:themeColor="text1"/>
              </w:rPr>
              <w:t>V</w:t>
            </w:r>
            <w:r>
              <w:rPr>
                <w:rFonts w:hint="eastAsia"/>
                <w:color w:val="000000" w:themeColor="text1"/>
                <w:vertAlign w:val="subscript"/>
              </w:rPr>
              <w:t>p1</w:t>
            </w:r>
            <w:r>
              <w:rPr>
                <w:rFonts w:hint="eastAsia"/>
                <w:color w:val="000000" w:themeColor="text1"/>
              </w:rPr>
              <w:t>—罩口平均风速，m/s，取1.0m/s。</w:t>
            </w:r>
          </w:p>
          <w:p w14:paraId="067216D3">
            <w:pPr>
              <w:ind w:firstLine="480"/>
              <w:rPr>
                <w:color w:val="000000" w:themeColor="text1"/>
              </w:rPr>
            </w:pPr>
            <w:r>
              <w:rPr>
                <w:color w:val="000000" w:themeColor="text1"/>
              </w:rPr>
              <w:t>考虑管道输送过程中有压力损失，风机风量考虑1.</w:t>
            </w:r>
            <w:r>
              <w:rPr>
                <w:rFonts w:hint="eastAsia"/>
                <w:color w:val="000000" w:themeColor="text1"/>
              </w:rPr>
              <w:t>1</w:t>
            </w:r>
            <w:r>
              <w:rPr>
                <w:color w:val="000000" w:themeColor="text1"/>
              </w:rPr>
              <w:t>的安全系数。</w:t>
            </w:r>
          </w:p>
          <w:p w14:paraId="42E917FC">
            <w:pPr>
              <w:spacing w:line="360" w:lineRule="auto"/>
              <w:ind w:firstLine="0" w:firstLineChars="0"/>
              <w:jc w:val="center"/>
              <w:rPr>
                <w:b/>
                <w:bCs/>
                <w:color w:val="000000" w:themeColor="text1"/>
                <w:sz w:val="21"/>
                <w:szCs w:val="21"/>
              </w:rPr>
            </w:pPr>
            <w:r>
              <w:rPr>
                <w:rFonts w:hint="eastAsia"/>
                <w:b/>
                <w:bCs/>
                <w:color w:val="000000" w:themeColor="text1"/>
                <w:sz w:val="21"/>
                <w:szCs w:val="21"/>
              </w:rPr>
              <w:t>表37   风机风量设置情况一览表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
              <w:gridCol w:w="449"/>
              <w:gridCol w:w="945"/>
              <w:gridCol w:w="1531"/>
              <w:gridCol w:w="944"/>
              <w:gridCol w:w="1095"/>
              <w:gridCol w:w="1095"/>
              <w:gridCol w:w="781"/>
              <w:gridCol w:w="767"/>
            </w:tblGrid>
            <w:tr w14:paraId="7B21E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tcBorders>
                    <w:tl2br w:val="nil"/>
                    <w:tr2bl w:val="nil"/>
                  </w:tcBorders>
                  <w:vAlign w:val="center"/>
                </w:tcPr>
                <w:p w14:paraId="430F3A8B">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污染源</w:t>
                  </w:r>
                </w:p>
              </w:tc>
              <w:tc>
                <w:tcPr>
                  <w:tcW w:w="587" w:type="pct"/>
                  <w:tcBorders>
                    <w:tl2br w:val="nil"/>
                    <w:tr2bl w:val="nil"/>
                  </w:tcBorders>
                  <w:vAlign w:val="center"/>
                </w:tcPr>
                <w:p w14:paraId="43977A4A">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污染物</w:t>
                  </w:r>
                </w:p>
              </w:tc>
              <w:tc>
                <w:tcPr>
                  <w:tcW w:w="950" w:type="pct"/>
                  <w:tcBorders>
                    <w:tl2br w:val="nil"/>
                    <w:tr2bl w:val="nil"/>
                  </w:tcBorders>
                  <w:vAlign w:val="center"/>
                </w:tcPr>
                <w:p w14:paraId="6474E919">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废气收集方式</w:t>
                  </w:r>
                </w:p>
              </w:tc>
              <w:tc>
                <w:tcPr>
                  <w:tcW w:w="586" w:type="pct"/>
                  <w:tcBorders>
                    <w:tl2br w:val="nil"/>
                    <w:tr2bl w:val="nil"/>
                  </w:tcBorders>
                  <w:vAlign w:val="center"/>
                </w:tcPr>
                <w:p w14:paraId="7E57BCC2">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治理措施</w:t>
                  </w:r>
                </w:p>
              </w:tc>
              <w:tc>
                <w:tcPr>
                  <w:tcW w:w="679" w:type="pct"/>
                  <w:tcBorders>
                    <w:tl2br w:val="nil"/>
                    <w:tr2bl w:val="nil"/>
                  </w:tcBorders>
                  <w:vAlign w:val="center"/>
                </w:tcPr>
                <w:p w14:paraId="226BD410">
                  <w:pPr>
                    <w:tabs>
                      <w:tab w:val="left" w:pos="720"/>
                    </w:tabs>
                    <w:spacing w:line="240" w:lineRule="auto"/>
                    <w:ind w:firstLine="0" w:firstLineChars="0"/>
                    <w:jc w:val="center"/>
                    <w:rPr>
                      <w:b/>
                      <w:bCs/>
                      <w:color w:val="000000" w:themeColor="text1"/>
                      <w:sz w:val="21"/>
                      <w:szCs w:val="21"/>
                    </w:rPr>
                  </w:pPr>
                  <w:r>
                    <w:rPr>
                      <w:rFonts w:hint="eastAsia"/>
                      <w:b/>
                      <w:bCs/>
                      <w:color w:val="000000" w:themeColor="text1"/>
                      <w:sz w:val="21"/>
                      <w:szCs w:val="21"/>
                    </w:rPr>
                    <w:t>参数</w:t>
                  </w:r>
                </w:p>
              </w:tc>
              <w:tc>
                <w:tcPr>
                  <w:tcW w:w="1164" w:type="pct"/>
                  <w:gridSpan w:val="2"/>
                  <w:tcBorders>
                    <w:tl2br w:val="nil"/>
                    <w:tr2bl w:val="nil"/>
                  </w:tcBorders>
                  <w:vAlign w:val="center"/>
                </w:tcPr>
                <w:p w14:paraId="42691DB2">
                  <w:pPr>
                    <w:tabs>
                      <w:tab w:val="left" w:pos="720"/>
                    </w:tabs>
                    <w:spacing w:line="240" w:lineRule="auto"/>
                    <w:ind w:firstLine="0" w:firstLineChars="0"/>
                    <w:jc w:val="center"/>
                    <w:rPr>
                      <w:b/>
                      <w:bCs/>
                      <w:color w:val="000000" w:themeColor="text1"/>
                      <w:sz w:val="21"/>
                      <w:szCs w:val="21"/>
                    </w:rPr>
                  </w:pPr>
                  <w:r>
                    <w:rPr>
                      <w:b/>
                      <w:bCs/>
                      <w:color w:val="000000" w:themeColor="text1"/>
                      <w:sz w:val="21"/>
                      <w:szCs w:val="21"/>
                    </w:rPr>
                    <w:t>废气量</w:t>
                  </w:r>
                </w:p>
              </w:tc>
              <w:tc>
                <w:tcPr>
                  <w:tcW w:w="476" w:type="pct"/>
                  <w:tcBorders>
                    <w:tl2br w:val="nil"/>
                    <w:tr2bl w:val="nil"/>
                  </w:tcBorders>
                  <w:vAlign w:val="center"/>
                </w:tcPr>
                <w:p w14:paraId="2B62442F">
                  <w:pPr>
                    <w:tabs>
                      <w:tab w:val="left" w:pos="720"/>
                    </w:tabs>
                    <w:spacing w:line="240" w:lineRule="auto"/>
                    <w:ind w:firstLine="0" w:firstLineChars="0"/>
                    <w:jc w:val="center"/>
                    <w:rPr>
                      <w:b/>
                      <w:bCs/>
                      <w:color w:val="000000" w:themeColor="text1"/>
                      <w:sz w:val="21"/>
                      <w:szCs w:val="21"/>
                    </w:rPr>
                  </w:pPr>
                  <w:r>
                    <w:rPr>
                      <w:rFonts w:hint="eastAsia"/>
                      <w:b/>
                      <w:bCs/>
                      <w:color w:val="000000" w:themeColor="text1"/>
                      <w:sz w:val="21"/>
                      <w:szCs w:val="21"/>
                    </w:rPr>
                    <w:t>风机</w:t>
                  </w:r>
                  <w:r>
                    <w:rPr>
                      <w:b/>
                      <w:bCs/>
                      <w:color w:val="000000" w:themeColor="text1"/>
                      <w:sz w:val="21"/>
                      <w:szCs w:val="21"/>
                    </w:rPr>
                    <w:t>风量</w:t>
                  </w:r>
                </w:p>
              </w:tc>
            </w:tr>
            <w:tr w14:paraId="19FD9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restart"/>
                  <w:tcBorders>
                    <w:tl2br w:val="nil"/>
                    <w:tr2bl w:val="nil"/>
                  </w:tcBorders>
                  <w:shd w:val="clear" w:color="auto" w:fill="auto"/>
                  <w:vAlign w:val="center"/>
                </w:tcPr>
                <w:p w14:paraId="7D45EAD5">
                  <w:pPr>
                    <w:pStyle w:val="66"/>
                    <w:spacing w:line="240" w:lineRule="auto"/>
                    <w:ind w:left="0" w:right="0" w:firstLine="0" w:firstLineChars="0"/>
                    <w:rPr>
                      <w:color w:val="000000" w:themeColor="text1"/>
                      <w:sz w:val="21"/>
                    </w:rPr>
                  </w:pPr>
                  <w:r>
                    <w:rPr>
                      <w:rFonts w:hint="eastAsia"/>
                      <w:color w:val="000000" w:themeColor="text1"/>
                      <w:sz w:val="21"/>
                    </w:rPr>
                    <w:t>烘干废气</w:t>
                  </w:r>
                </w:p>
              </w:tc>
              <w:tc>
                <w:tcPr>
                  <w:tcW w:w="277" w:type="pct"/>
                  <w:tcBorders>
                    <w:tl2br w:val="nil"/>
                    <w:tr2bl w:val="nil"/>
                  </w:tcBorders>
                  <w:shd w:val="clear" w:color="auto" w:fill="auto"/>
                  <w:vAlign w:val="center"/>
                </w:tcPr>
                <w:p w14:paraId="5142B77D">
                  <w:pPr>
                    <w:pStyle w:val="66"/>
                    <w:spacing w:line="240" w:lineRule="auto"/>
                    <w:ind w:left="0" w:right="0" w:firstLine="0" w:firstLineChars="0"/>
                    <w:rPr>
                      <w:color w:val="000000" w:themeColor="text1"/>
                      <w:sz w:val="21"/>
                    </w:rPr>
                  </w:pPr>
                  <w:r>
                    <w:rPr>
                      <w:rFonts w:hint="eastAsia"/>
                      <w:color w:val="000000" w:themeColor="text1"/>
                      <w:sz w:val="21"/>
                    </w:rPr>
                    <w:t>物料烘干</w:t>
                  </w:r>
                </w:p>
              </w:tc>
              <w:tc>
                <w:tcPr>
                  <w:tcW w:w="587" w:type="pct"/>
                  <w:tcBorders>
                    <w:tl2br w:val="nil"/>
                    <w:tr2bl w:val="nil"/>
                  </w:tcBorders>
                  <w:vAlign w:val="center"/>
                </w:tcPr>
                <w:p w14:paraId="39C2AA28">
                  <w:pPr>
                    <w:pStyle w:val="66"/>
                    <w:spacing w:line="240" w:lineRule="auto"/>
                    <w:ind w:left="0" w:right="0" w:firstLine="0" w:firstLineChars="0"/>
                    <w:rPr>
                      <w:color w:val="000000" w:themeColor="text1"/>
                      <w:sz w:val="21"/>
                    </w:rPr>
                  </w:pPr>
                  <w:r>
                    <w:rPr>
                      <w:rFonts w:hint="eastAsia"/>
                      <w:color w:val="000000" w:themeColor="text1"/>
                      <w:sz w:val="21"/>
                    </w:rPr>
                    <w:t>颗粒物</w:t>
                  </w:r>
                </w:p>
              </w:tc>
              <w:tc>
                <w:tcPr>
                  <w:tcW w:w="950" w:type="pct"/>
                  <w:vMerge w:val="restart"/>
                  <w:tcBorders>
                    <w:tl2br w:val="nil"/>
                    <w:tr2bl w:val="nil"/>
                  </w:tcBorders>
                  <w:shd w:val="clear" w:color="auto" w:fill="auto"/>
                  <w:vAlign w:val="center"/>
                </w:tcPr>
                <w:p w14:paraId="23F24C81">
                  <w:pPr>
                    <w:pStyle w:val="66"/>
                    <w:spacing w:line="240" w:lineRule="auto"/>
                    <w:ind w:left="0" w:right="0" w:firstLine="0" w:firstLineChars="0"/>
                    <w:rPr>
                      <w:color w:val="000000" w:themeColor="text1"/>
                      <w:sz w:val="21"/>
                    </w:rPr>
                  </w:pPr>
                  <w:r>
                    <w:rPr>
                      <w:rFonts w:hint="eastAsia"/>
                      <w:color w:val="000000" w:themeColor="text1"/>
                      <w:sz w:val="21"/>
                    </w:rPr>
                    <w:t>烘干方式为热风直接与物料接触烘干，烘干机设备密闭，经烘干机废气出口设置的集气管道收集</w:t>
                  </w:r>
                </w:p>
              </w:tc>
              <w:tc>
                <w:tcPr>
                  <w:tcW w:w="586" w:type="pct"/>
                  <w:vMerge w:val="restart"/>
                  <w:tcBorders>
                    <w:tl2br w:val="nil"/>
                    <w:tr2bl w:val="nil"/>
                  </w:tcBorders>
                  <w:vAlign w:val="center"/>
                </w:tcPr>
                <w:p w14:paraId="2CACE4F2">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“沙克龙除尘器+布袋除尘器”+1根15m高排气筒</w:t>
                  </w:r>
                </w:p>
              </w:tc>
              <w:tc>
                <w:tcPr>
                  <w:tcW w:w="679" w:type="pct"/>
                  <w:tcBorders>
                    <w:tl2br w:val="nil"/>
                    <w:tr2bl w:val="nil"/>
                  </w:tcBorders>
                  <w:vAlign w:val="center"/>
                </w:tcPr>
                <w:p w14:paraId="4295EFF0">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设备自配</w:t>
                  </w:r>
                </w:p>
              </w:tc>
              <w:tc>
                <w:tcPr>
                  <w:tcW w:w="679" w:type="pct"/>
                  <w:tcBorders>
                    <w:tl2br w:val="nil"/>
                    <w:tr2bl w:val="nil"/>
                  </w:tcBorders>
                  <w:vAlign w:val="center"/>
                </w:tcPr>
                <w:p w14:paraId="27E221D5">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15000</w:t>
                  </w:r>
                </w:p>
                <w:p w14:paraId="3F831BC3">
                  <w:pPr>
                    <w:tabs>
                      <w:tab w:val="left" w:pos="720"/>
                    </w:tabs>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restart"/>
                  <w:tcBorders>
                    <w:tl2br w:val="nil"/>
                    <w:tr2bl w:val="nil"/>
                  </w:tcBorders>
                  <w:vAlign w:val="center"/>
                </w:tcPr>
                <w:p w14:paraId="5CAFC89D">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16137</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76" w:type="pct"/>
                  <w:vMerge w:val="restart"/>
                  <w:tcBorders>
                    <w:tl2br w:val="nil"/>
                    <w:tr2bl w:val="nil"/>
                  </w:tcBorders>
                  <w:vAlign w:val="center"/>
                </w:tcPr>
                <w:p w14:paraId="2375E16F">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20000</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r>
            <w:tr w14:paraId="256AC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continue"/>
                  <w:tcBorders>
                    <w:tl2br w:val="nil"/>
                    <w:tr2bl w:val="nil"/>
                  </w:tcBorders>
                  <w:shd w:val="clear" w:color="auto" w:fill="auto"/>
                  <w:vAlign w:val="center"/>
                </w:tcPr>
                <w:p w14:paraId="00ADFDDC">
                  <w:pPr>
                    <w:pStyle w:val="66"/>
                    <w:spacing w:line="240" w:lineRule="auto"/>
                    <w:ind w:left="0" w:right="0" w:firstLine="0" w:firstLineChars="0"/>
                    <w:rPr>
                      <w:color w:val="000000" w:themeColor="text1"/>
                      <w:sz w:val="21"/>
                    </w:rPr>
                  </w:pPr>
                </w:p>
              </w:tc>
              <w:tc>
                <w:tcPr>
                  <w:tcW w:w="277" w:type="pct"/>
                  <w:tcBorders>
                    <w:tl2br w:val="nil"/>
                    <w:tr2bl w:val="nil"/>
                  </w:tcBorders>
                  <w:shd w:val="clear" w:color="auto" w:fill="auto"/>
                  <w:vAlign w:val="center"/>
                </w:tcPr>
                <w:p w14:paraId="40478DB7">
                  <w:pPr>
                    <w:pStyle w:val="66"/>
                    <w:spacing w:line="240" w:lineRule="auto"/>
                    <w:ind w:left="0" w:right="0" w:firstLine="0" w:firstLineChars="0"/>
                    <w:rPr>
                      <w:color w:val="000000" w:themeColor="text1"/>
                      <w:sz w:val="21"/>
                    </w:rPr>
                  </w:pPr>
                  <w:r>
                    <w:rPr>
                      <w:rFonts w:hint="eastAsia"/>
                      <w:color w:val="000000" w:themeColor="text1"/>
                      <w:sz w:val="21"/>
                    </w:rPr>
                    <w:t>燃料燃烧</w:t>
                  </w:r>
                </w:p>
              </w:tc>
              <w:tc>
                <w:tcPr>
                  <w:tcW w:w="587" w:type="pct"/>
                  <w:tcBorders>
                    <w:tl2br w:val="nil"/>
                    <w:tr2bl w:val="nil"/>
                  </w:tcBorders>
                  <w:vAlign w:val="center"/>
                </w:tcPr>
                <w:p w14:paraId="222D5EE0">
                  <w:pPr>
                    <w:pStyle w:val="66"/>
                    <w:spacing w:line="240" w:lineRule="auto"/>
                    <w:ind w:left="0" w:right="0" w:firstLine="0" w:firstLineChars="0"/>
                    <w:rPr>
                      <w:color w:val="000000" w:themeColor="text1"/>
                      <w:sz w:val="21"/>
                    </w:rPr>
                  </w:pPr>
                  <w:r>
                    <w:rPr>
                      <w:rFonts w:hint="eastAsia"/>
                      <w:color w:val="000000" w:themeColor="text1"/>
                      <w:sz w:val="21"/>
                    </w:rPr>
                    <w:t>颗粒物、SO</w:t>
                  </w:r>
                  <w:r>
                    <w:rPr>
                      <w:rFonts w:hint="eastAsia"/>
                      <w:color w:val="000000" w:themeColor="text1"/>
                      <w:sz w:val="21"/>
                      <w:vertAlign w:val="subscript"/>
                    </w:rPr>
                    <w:t>2</w:t>
                  </w:r>
                  <w:r>
                    <w:rPr>
                      <w:rFonts w:hint="eastAsia"/>
                      <w:color w:val="000000" w:themeColor="text1"/>
                      <w:sz w:val="21"/>
                    </w:rPr>
                    <w:t>、NO</w:t>
                  </w:r>
                  <w:r>
                    <w:rPr>
                      <w:rFonts w:hint="eastAsia"/>
                      <w:color w:val="000000" w:themeColor="text1"/>
                      <w:sz w:val="21"/>
                      <w:vertAlign w:val="subscript"/>
                    </w:rPr>
                    <w:t>X</w:t>
                  </w:r>
                  <w:r>
                    <w:rPr>
                      <w:rFonts w:hint="eastAsia"/>
                      <w:color w:val="000000" w:themeColor="text1"/>
                      <w:sz w:val="21"/>
                    </w:rPr>
                    <w:t>、汞、烟气黑度</w:t>
                  </w:r>
                </w:p>
              </w:tc>
              <w:tc>
                <w:tcPr>
                  <w:tcW w:w="950" w:type="pct"/>
                  <w:vMerge w:val="continue"/>
                  <w:tcBorders>
                    <w:tl2br w:val="nil"/>
                    <w:tr2bl w:val="nil"/>
                  </w:tcBorders>
                  <w:shd w:val="clear" w:color="auto" w:fill="auto"/>
                  <w:vAlign w:val="center"/>
                </w:tcPr>
                <w:p w14:paraId="49324E89">
                  <w:pPr>
                    <w:pStyle w:val="66"/>
                    <w:spacing w:line="240" w:lineRule="auto"/>
                    <w:ind w:left="0" w:right="0" w:firstLine="0" w:firstLineChars="0"/>
                    <w:rPr>
                      <w:color w:val="000000" w:themeColor="text1"/>
                      <w:sz w:val="21"/>
                    </w:rPr>
                  </w:pPr>
                </w:p>
              </w:tc>
              <w:tc>
                <w:tcPr>
                  <w:tcW w:w="586" w:type="pct"/>
                  <w:vMerge w:val="continue"/>
                  <w:tcBorders>
                    <w:tl2br w:val="nil"/>
                    <w:tr2bl w:val="nil"/>
                  </w:tcBorders>
                  <w:vAlign w:val="center"/>
                </w:tcPr>
                <w:p w14:paraId="4CF0CC96">
                  <w:pPr>
                    <w:tabs>
                      <w:tab w:val="left" w:pos="720"/>
                    </w:tabs>
                    <w:spacing w:line="240" w:lineRule="auto"/>
                    <w:ind w:firstLine="0" w:firstLineChars="0"/>
                    <w:jc w:val="center"/>
                    <w:rPr>
                      <w:color w:val="000000" w:themeColor="text1"/>
                      <w:sz w:val="21"/>
                      <w:szCs w:val="21"/>
                    </w:rPr>
                  </w:pPr>
                </w:p>
              </w:tc>
              <w:tc>
                <w:tcPr>
                  <w:tcW w:w="679" w:type="pct"/>
                  <w:tcBorders>
                    <w:tl2br w:val="nil"/>
                    <w:tr2bl w:val="nil"/>
                  </w:tcBorders>
                  <w:vAlign w:val="center"/>
                </w:tcPr>
                <w:p w14:paraId="06EFB4D3">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679" w:type="pct"/>
                  <w:tcBorders>
                    <w:tl2br w:val="nil"/>
                    <w:tr2bl w:val="nil"/>
                  </w:tcBorders>
                  <w:vAlign w:val="center"/>
                </w:tcPr>
                <w:p w14:paraId="65032765">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1137</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tcBorders>
                    <w:tl2br w:val="nil"/>
                    <w:tr2bl w:val="nil"/>
                  </w:tcBorders>
                  <w:vAlign w:val="center"/>
                </w:tcPr>
                <w:p w14:paraId="67539D7D">
                  <w:pPr>
                    <w:tabs>
                      <w:tab w:val="left" w:pos="720"/>
                    </w:tabs>
                    <w:spacing w:line="240" w:lineRule="auto"/>
                    <w:ind w:firstLine="0" w:firstLineChars="0"/>
                    <w:jc w:val="center"/>
                    <w:rPr>
                      <w:color w:val="000000" w:themeColor="text1"/>
                      <w:sz w:val="21"/>
                      <w:szCs w:val="21"/>
                    </w:rPr>
                  </w:pPr>
                </w:p>
              </w:tc>
              <w:tc>
                <w:tcPr>
                  <w:tcW w:w="476" w:type="pct"/>
                  <w:vMerge w:val="continue"/>
                  <w:tcBorders>
                    <w:tl2br w:val="nil"/>
                    <w:tr2bl w:val="nil"/>
                  </w:tcBorders>
                  <w:vAlign w:val="center"/>
                </w:tcPr>
                <w:p w14:paraId="3F02BD33">
                  <w:pPr>
                    <w:tabs>
                      <w:tab w:val="left" w:pos="720"/>
                    </w:tabs>
                    <w:spacing w:line="240" w:lineRule="auto"/>
                    <w:ind w:firstLine="0" w:firstLineChars="0"/>
                    <w:jc w:val="center"/>
                    <w:rPr>
                      <w:color w:val="000000" w:themeColor="text1"/>
                      <w:sz w:val="21"/>
                      <w:szCs w:val="21"/>
                    </w:rPr>
                  </w:pPr>
                </w:p>
              </w:tc>
            </w:tr>
            <w:tr w14:paraId="0035E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tcBorders>
                    <w:tl2br w:val="nil"/>
                    <w:tr2bl w:val="nil"/>
                  </w:tcBorders>
                  <w:shd w:val="clear" w:color="auto" w:fill="auto"/>
                  <w:vAlign w:val="center"/>
                </w:tcPr>
                <w:p w14:paraId="4765A319">
                  <w:pPr>
                    <w:pStyle w:val="66"/>
                    <w:spacing w:line="240" w:lineRule="auto"/>
                    <w:ind w:left="0" w:right="0" w:firstLine="0" w:firstLineChars="0"/>
                    <w:rPr>
                      <w:color w:val="000000" w:themeColor="text1"/>
                      <w:sz w:val="21"/>
                    </w:rPr>
                  </w:pPr>
                  <w:r>
                    <w:rPr>
                      <w:rFonts w:hint="eastAsia"/>
                      <w:color w:val="000000" w:themeColor="text1"/>
                      <w:sz w:val="21"/>
                    </w:rPr>
                    <w:t>中转仓落料及入料</w:t>
                  </w:r>
                </w:p>
              </w:tc>
              <w:tc>
                <w:tcPr>
                  <w:tcW w:w="587" w:type="pct"/>
                  <w:vMerge w:val="restart"/>
                  <w:tcBorders>
                    <w:tl2br w:val="nil"/>
                    <w:tr2bl w:val="nil"/>
                  </w:tcBorders>
                  <w:vAlign w:val="center"/>
                </w:tcPr>
                <w:p w14:paraId="59BAD497">
                  <w:pPr>
                    <w:pStyle w:val="66"/>
                    <w:spacing w:line="240" w:lineRule="auto"/>
                    <w:ind w:left="0" w:right="0" w:firstLine="0" w:firstLineChars="0"/>
                    <w:rPr>
                      <w:color w:val="000000" w:themeColor="text1"/>
                      <w:sz w:val="21"/>
                    </w:rPr>
                  </w:pPr>
                  <w:r>
                    <w:rPr>
                      <w:color w:val="000000" w:themeColor="text1"/>
                      <w:sz w:val="21"/>
                    </w:rPr>
                    <w:t>颗粒物</w:t>
                  </w:r>
                </w:p>
              </w:tc>
              <w:tc>
                <w:tcPr>
                  <w:tcW w:w="950" w:type="pct"/>
                  <w:tcBorders>
                    <w:tl2br w:val="nil"/>
                    <w:tr2bl w:val="nil"/>
                  </w:tcBorders>
                  <w:shd w:val="clear" w:color="auto" w:fill="auto"/>
                  <w:vAlign w:val="center"/>
                </w:tcPr>
                <w:p w14:paraId="01935BF7">
                  <w:pPr>
                    <w:pStyle w:val="66"/>
                    <w:spacing w:line="240" w:lineRule="auto"/>
                    <w:ind w:left="0" w:right="0" w:firstLine="0" w:firstLineChars="0"/>
                    <w:rPr>
                      <w:color w:val="000000" w:themeColor="text1"/>
                      <w:sz w:val="21"/>
                    </w:rPr>
                  </w:pPr>
                  <w:r>
                    <w:rPr>
                      <w:rFonts w:hint="eastAsia"/>
                      <w:color w:val="000000" w:themeColor="text1"/>
                      <w:sz w:val="21"/>
                    </w:rPr>
                    <w:t>中转仓封闭设置，其入料口设软帘，顶部设置1根0.6m集气管</w:t>
                  </w:r>
                </w:p>
              </w:tc>
              <w:tc>
                <w:tcPr>
                  <w:tcW w:w="586" w:type="pct"/>
                  <w:vMerge w:val="restart"/>
                  <w:tcBorders>
                    <w:tl2br w:val="nil"/>
                    <w:tr2bl w:val="nil"/>
                  </w:tcBorders>
                  <w:vAlign w:val="center"/>
                </w:tcPr>
                <w:p w14:paraId="56840811">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共用1台布袋除尘器+1根15m高排气筒</w:t>
                  </w:r>
                </w:p>
              </w:tc>
              <w:tc>
                <w:tcPr>
                  <w:tcW w:w="679" w:type="pct"/>
                  <w:tcBorders>
                    <w:tl2br w:val="nil"/>
                    <w:tr2bl w:val="nil"/>
                  </w:tcBorders>
                  <w:vAlign w:val="center"/>
                </w:tcPr>
                <w:p w14:paraId="1E2C0A70">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C：24m</w:t>
                  </w:r>
                </w:p>
                <w:p w14:paraId="7EAD0939">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H：0.2m</w:t>
                  </w:r>
                </w:p>
                <w:p w14:paraId="5B6A7936">
                  <w:pPr>
                    <w:tabs>
                      <w:tab w:val="left" w:pos="720"/>
                    </w:tabs>
                    <w:spacing w:line="240" w:lineRule="auto"/>
                    <w:ind w:firstLine="0" w:firstLineChars="0"/>
                    <w:jc w:val="center"/>
                    <w:rPr>
                      <w:color w:val="000000" w:themeColor="text1"/>
                      <w:sz w:val="21"/>
                      <w:szCs w:val="21"/>
                    </w:rPr>
                  </w:pPr>
                  <w:r>
                    <w:rPr>
                      <w:rFonts w:hint="eastAsia"/>
                      <w:color w:val="000000" w:themeColor="text1"/>
                    </w:rPr>
                    <w:t>v</w:t>
                  </w:r>
                  <w:r>
                    <w:rPr>
                      <w:rFonts w:hint="eastAsia"/>
                      <w:color w:val="000000" w:themeColor="text1"/>
                      <w:vertAlign w:val="subscript"/>
                    </w:rPr>
                    <w:t>0</w:t>
                  </w:r>
                  <w:r>
                    <w:rPr>
                      <w:rFonts w:hint="eastAsia"/>
                      <w:color w:val="000000" w:themeColor="text1"/>
                      <w:sz w:val="21"/>
                      <w:szCs w:val="21"/>
                    </w:rPr>
                    <w:t>：0.6m/s</w:t>
                  </w:r>
                </w:p>
              </w:tc>
              <w:tc>
                <w:tcPr>
                  <w:tcW w:w="679" w:type="pct"/>
                  <w:tcBorders>
                    <w:tl2br w:val="nil"/>
                    <w:tr2bl w:val="nil"/>
                  </w:tcBorders>
                  <w:vAlign w:val="center"/>
                </w:tcPr>
                <w:p w14:paraId="44AAF5FE">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14515</w:t>
                  </w:r>
                </w:p>
                <w:p w14:paraId="5DFA4F70">
                  <w:pPr>
                    <w:tabs>
                      <w:tab w:val="left" w:pos="720"/>
                    </w:tabs>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restart"/>
                  <w:tcBorders>
                    <w:tl2br w:val="nil"/>
                    <w:tr2bl w:val="nil"/>
                  </w:tcBorders>
                  <w:vAlign w:val="center"/>
                </w:tcPr>
                <w:p w14:paraId="7F15BA1A">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34105</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76" w:type="pct"/>
                  <w:vMerge w:val="restart"/>
                  <w:tcBorders>
                    <w:tl2br w:val="nil"/>
                    <w:tr2bl w:val="nil"/>
                  </w:tcBorders>
                  <w:vAlign w:val="center"/>
                </w:tcPr>
                <w:p w14:paraId="33FF45EA">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35000</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r>
            <w:tr w14:paraId="4847E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tcBorders>
                    <w:tl2br w:val="nil"/>
                    <w:tr2bl w:val="nil"/>
                  </w:tcBorders>
                  <w:shd w:val="clear" w:color="auto" w:fill="auto"/>
                  <w:vAlign w:val="center"/>
                </w:tcPr>
                <w:p w14:paraId="393AEB3C">
                  <w:pPr>
                    <w:pStyle w:val="66"/>
                    <w:spacing w:line="240" w:lineRule="auto"/>
                    <w:ind w:left="0" w:right="0" w:firstLine="0" w:firstLineChars="0"/>
                    <w:rPr>
                      <w:color w:val="000000" w:themeColor="text1"/>
                      <w:sz w:val="21"/>
                    </w:rPr>
                  </w:pPr>
                  <w:r>
                    <w:rPr>
                      <w:rFonts w:hint="eastAsia"/>
                      <w:color w:val="000000" w:themeColor="text1"/>
                      <w:sz w:val="21"/>
                    </w:rPr>
                    <w:t>制粒</w:t>
                  </w:r>
                </w:p>
              </w:tc>
              <w:tc>
                <w:tcPr>
                  <w:tcW w:w="587" w:type="pct"/>
                  <w:vMerge w:val="continue"/>
                  <w:tcBorders>
                    <w:tl2br w:val="nil"/>
                    <w:tr2bl w:val="nil"/>
                  </w:tcBorders>
                  <w:vAlign w:val="center"/>
                </w:tcPr>
                <w:p w14:paraId="4E9DC535">
                  <w:pPr>
                    <w:pStyle w:val="66"/>
                    <w:spacing w:line="240" w:lineRule="auto"/>
                    <w:ind w:left="0" w:right="0" w:firstLine="0" w:firstLineChars="0"/>
                    <w:rPr>
                      <w:color w:val="000000" w:themeColor="text1"/>
                      <w:sz w:val="21"/>
                    </w:rPr>
                  </w:pPr>
                </w:p>
              </w:tc>
              <w:tc>
                <w:tcPr>
                  <w:tcW w:w="950" w:type="pct"/>
                  <w:tcBorders>
                    <w:tl2br w:val="nil"/>
                    <w:tr2bl w:val="nil"/>
                  </w:tcBorders>
                  <w:shd w:val="clear" w:color="auto" w:fill="auto"/>
                  <w:vAlign w:val="center"/>
                </w:tcPr>
                <w:p w14:paraId="0720DD16">
                  <w:pPr>
                    <w:pStyle w:val="66"/>
                    <w:spacing w:line="240" w:lineRule="auto"/>
                    <w:ind w:left="0" w:right="0" w:firstLine="0" w:firstLineChars="0"/>
                    <w:rPr>
                      <w:color w:val="000000" w:themeColor="text1"/>
                      <w:sz w:val="21"/>
                    </w:rPr>
                  </w:pPr>
                  <w:r>
                    <w:rPr>
                      <w:rFonts w:hint="eastAsia"/>
                      <w:color w:val="000000" w:themeColor="text1"/>
                      <w:sz w:val="21"/>
                    </w:rPr>
                    <w:t>4台生物质颗粒机设备密闭，设置4根0.2m集气管+4台旋风除尘器预处理</w:t>
                  </w:r>
                </w:p>
              </w:tc>
              <w:tc>
                <w:tcPr>
                  <w:tcW w:w="586" w:type="pct"/>
                  <w:vMerge w:val="continue"/>
                  <w:tcBorders>
                    <w:tl2br w:val="nil"/>
                    <w:tr2bl w:val="nil"/>
                  </w:tcBorders>
                  <w:vAlign w:val="center"/>
                </w:tcPr>
                <w:p w14:paraId="229FF872">
                  <w:pPr>
                    <w:tabs>
                      <w:tab w:val="left" w:pos="720"/>
                    </w:tabs>
                    <w:spacing w:line="240" w:lineRule="auto"/>
                    <w:ind w:firstLine="0" w:firstLineChars="0"/>
                    <w:jc w:val="center"/>
                    <w:rPr>
                      <w:color w:val="000000" w:themeColor="text1"/>
                      <w:sz w:val="21"/>
                      <w:szCs w:val="21"/>
                    </w:rPr>
                  </w:pPr>
                </w:p>
              </w:tc>
              <w:tc>
                <w:tcPr>
                  <w:tcW w:w="679" w:type="pct"/>
                  <w:tcBorders>
                    <w:tl2br w:val="nil"/>
                    <w:tr2bl w:val="nil"/>
                  </w:tcBorders>
                  <w:vAlign w:val="center"/>
                </w:tcPr>
                <w:p w14:paraId="6E07F351">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设备自配</w:t>
                  </w:r>
                </w:p>
              </w:tc>
              <w:tc>
                <w:tcPr>
                  <w:tcW w:w="679" w:type="pct"/>
                  <w:tcBorders>
                    <w:tl2br w:val="nil"/>
                    <w:tr2bl w:val="nil"/>
                  </w:tcBorders>
                  <w:vAlign w:val="center"/>
                </w:tcPr>
                <w:p w14:paraId="66208F68">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8000</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（4</w:t>
                  </w:r>
                  <w:r>
                    <w:rPr>
                      <w:color w:val="000000" w:themeColor="text1"/>
                      <w:sz w:val="21"/>
                      <w:szCs w:val="21"/>
                    </w:rPr>
                    <w:t>×</w:t>
                  </w:r>
                  <w:r>
                    <w:rPr>
                      <w:rFonts w:hint="eastAsia"/>
                      <w:color w:val="000000" w:themeColor="text1"/>
                      <w:sz w:val="21"/>
                      <w:szCs w:val="21"/>
                    </w:rPr>
                    <w:t>2000</w:t>
                  </w:r>
                </w:p>
                <w:p w14:paraId="56EFEC8A">
                  <w:pPr>
                    <w:tabs>
                      <w:tab w:val="left" w:pos="720"/>
                    </w:tabs>
                    <w:spacing w:line="240" w:lineRule="auto"/>
                    <w:ind w:firstLine="0" w:firstLineChars="0"/>
                    <w:jc w:val="center"/>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w:t>
                  </w:r>
                </w:p>
              </w:tc>
              <w:tc>
                <w:tcPr>
                  <w:tcW w:w="484" w:type="pct"/>
                  <w:vMerge w:val="continue"/>
                  <w:tcBorders>
                    <w:tl2br w:val="nil"/>
                    <w:tr2bl w:val="nil"/>
                  </w:tcBorders>
                  <w:vAlign w:val="center"/>
                </w:tcPr>
                <w:p w14:paraId="5DCF4776">
                  <w:pPr>
                    <w:tabs>
                      <w:tab w:val="left" w:pos="720"/>
                    </w:tabs>
                    <w:spacing w:line="240" w:lineRule="auto"/>
                    <w:ind w:firstLine="0" w:firstLineChars="0"/>
                    <w:jc w:val="center"/>
                    <w:rPr>
                      <w:color w:val="000000" w:themeColor="text1"/>
                      <w:sz w:val="21"/>
                      <w:szCs w:val="21"/>
                    </w:rPr>
                  </w:pPr>
                </w:p>
              </w:tc>
              <w:tc>
                <w:tcPr>
                  <w:tcW w:w="476" w:type="pct"/>
                  <w:vMerge w:val="continue"/>
                  <w:tcBorders>
                    <w:tl2br w:val="nil"/>
                    <w:tr2bl w:val="nil"/>
                  </w:tcBorders>
                  <w:vAlign w:val="center"/>
                </w:tcPr>
                <w:p w14:paraId="4E01C82F">
                  <w:pPr>
                    <w:tabs>
                      <w:tab w:val="left" w:pos="720"/>
                    </w:tabs>
                    <w:spacing w:line="240" w:lineRule="auto"/>
                    <w:ind w:firstLine="0" w:firstLineChars="0"/>
                    <w:jc w:val="center"/>
                    <w:rPr>
                      <w:color w:val="000000" w:themeColor="text1"/>
                      <w:sz w:val="21"/>
                      <w:szCs w:val="21"/>
                    </w:rPr>
                  </w:pPr>
                </w:p>
              </w:tc>
            </w:tr>
            <w:tr w14:paraId="5839A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gridSpan w:val="2"/>
                  <w:shd w:val="clear" w:color="auto" w:fill="auto"/>
                  <w:vAlign w:val="center"/>
                </w:tcPr>
                <w:p w14:paraId="5986E449">
                  <w:pPr>
                    <w:pStyle w:val="66"/>
                    <w:spacing w:line="240" w:lineRule="auto"/>
                    <w:ind w:left="0" w:right="0" w:firstLine="0" w:firstLineChars="0"/>
                    <w:rPr>
                      <w:color w:val="000000" w:themeColor="text1"/>
                      <w:sz w:val="21"/>
                    </w:rPr>
                  </w:pPr>
                  <w:r>
                    <w:rPr>
                      <w:rFonts w:hint="eastAsia"/>
                      <w:color w:val="000000" w:themeColor="text1"/>
                      <w:sz w:val="21"/>
                    </w:rPr>
                    <w:t>筛分</w:t>
                  </w:r>
                </w:p>
              </w:tc>
              <w:tc>
                <w:tcPr>
                  <w:tcW w:w="587" w:type="pct"/>
                  <w:vMerge w:val="continue"/>
                  <w:vAlign w:val="center"/>
                </w:tcPr>
                <w:p w14:paraId="67AE1BD1">
                  <w:pPr>
                    <w:pStyle w:val="66"/>
                    <w:spacing w:line="240" w:lineRule="auto"/>
                    <w:ind w:left="0" w:right="0" w:firstLine="0" w:firstLineChars="0"/>
                    <w:rPr>
                      <w:color w:val="000000" w:themeColor="text1"/>
                      <w:sz w:val="21"/>
                    </w:rPr>
                  </w:pPr>
                </w:p>
              </w:tc>
              <w:tc>
                <w:tcPr>
                  <w:tcW w:w="950" w:type="pct"/>
                  <w:shd w:val="clear" w:color="auto" w:fill="auto"/>
                  <w:vAlign w:val="center"/>
                </w:tcPr>
                <w:p w14:paraId="0644423D">
                  <w:pPr>
                    <w:pStyle w:val="66"/>
                    <w:spacing w:line="240" w:lineRule="auto"/>
                    <w:ind w:left="0" w:right="0" w:firstLine="0" w:firstLineChars="0"/>
                    <w:rPr>
                      <w:color w:val="000000" w:themeColor="text1"/>
                      <w:sz w:val="21"/>
                    </w:rPr>
                  </w:pPr>
                  <w:r>
                    <w:rPr>
                      <w:rFonts w:hint="eastAsia"/>
                      <w:color w:val="000000" w:themeColor="text1"/>
                      <w:sz w:val="21"/>
                    </w:rPr>
                    <w:t>振筛设备密闭，设置1根0.23m集气管</w:t>
                  </w:r>
                </w:p>
              </w:tc>
              <w:tc>
                <w:tcPr>
                  <w:tcW w:w="586" w:type="pct"/>
                  <w:vMerge w:val="continue"/>
                  <w:vAlign w:val="center"/>
                </w:tcPr>
                <w:p w14:paraId="1F8004D6">
                  <w:pPr>
                    <w:tabs>
                      <w:tab w:val="left" w:pos="720"/>
                    </w:tabs>
                    <w:spacing w:line="240" w:lineRule="auto"/>
                    <w:ind w:firstLine="0" w:firstLineChars="0"/>
                    <w:jc w:val="center"/>
                    <w:rPr>
                      <w:color w:val="000000" w:themeColor="text1"/>
                      <w:sz w:val="21"/>
                      <w:szCs w:val="21"/>
                    </w:rPr>
                  </w:pPr>
                </w:p>
              </w:tc>
              <w:tc>
                <w:tcPr>
                  <w:tcW w:w="679" w:type="pct"/>
                  <w:shd w:val="clear" w:color="auto" w:fill="auto"/>
                  <w:vAlign w:val="center"/>
                </w:tcPr>
                <w:p w14:paraId="0AEF0FBC">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筛面面积1.36m</w:t>
                  </w:r>
                  <w:r>
                    <w:rPr>
                      <w:rFonts w:hint="eastAsia"/>
                      <w:color w:val="000000" w:themeColor="text1"/>
                      <w:sz w:val="21"/>
                      <w:szCs w:val="21"/>
                      <w:vertAlign w:val="superscript"/>
                    </w:rPr>
                    <w:t>2</w:t>
                  </w:r>
                </w:p>
              </w:tc>
              <w:tc>
                <w:tcPr>
                  <w:tcW w:w="679" w:type="pct"/>
                  <w:shd w:val="clear" w:color="auto" w:fill="auto"/>
                  <w:vAlign w:val="center"/>
                </w:tcPr>
                <w:p w14:paraId="73F4D78A">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2244</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（1.36m</w:t>
                  </w:r>
                  <w:r>
                    <w:rPr>
                      <w:rFonts w:hint="eastAsia"/>
                      <w:color w:val="000000" w:themeColor="text1"/>
                      <w:sz w:val="21"/>
                      <w:szCs w:val="21"/>
                      <w:vertAlign w:val="superscript"/>
                    </w:rPr>
                    <w:t>2</w:t>
                  </w:r>
                  <w:r>
                    <w:rPr>
                      <w:color w:val="000000" w:themeColor="text1"/>
                      <w:sz w:val="21"/>
                      <w:szCs w:val="21"/>
                    </w:rPr>
                    <w:t>×</w:t>
                  </w:r>
                  <w:r>
                    <w:rPr>
                      <w:rFonts w:hint="eastAsia"/>
                      <w:color w:val="000000" w:themeColor="text1"/>
                      <w:sz w:val="21"/>
                      <w:szCs w:val="21"/>
                    </w:rPr>
                    <w:t>1500</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int="eastAsia"/>
                      <w:color w:val="000000" w:themeColor="text1"/>
                      <w:sz w:val="21"/>
                      <w:szCs w:val="21"/>
                    </w:rPr>
                    <w:t>1.1）</w:t>
                  </w:r>
                </w:p>
              </w:tc>
              <w:tc>
                <w:tcPr>
                  <w:tcW w:w="484" w:type="pct"/>
                  <w:vMerge w:val="continue"/>
                  <w:vAlign w:val="center"/>
                </w:tcPr>
                <w:p w14:paraId="31334FD1">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4B4F5700">
                  <w:pPr>
                    <w:tabs>
                      <w:tab w:val="left" w:pos="720"/>
                    </w:tabs>
                    <w:spacing w:line="240" w:lineRule="auto"/>
                    <w:ind w:firstLine="0" w:firstLineChars="0"/>
                    <w:jc w:val="center"/>
                    <w:rPr>
                      <w:color w:val="000000" w:themeColor="text1"/>
                      <w:sz w:val="21"/>
                      <w:szCs w:val="21"/>
                    </w:rPr>
                  </w:pPr>
                </w:p>
              </w:tc>
            </w:tr>
            <w:tr w14:paraId="70779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gridSpan w:val="2"/>
                  <w:shd w:val="clear" w:color="auto" w:fill="auto"/>
                  <w:vAlign w:val="center"/>
                </w:tcPr>
                <w:p w14:paraId="7B6F6280">
                  <w:pPr>
                    <w:pStyle w:val="66"/>
                    <w:spacing w:line="240" w:lineRule="auto"/>
                    <w:ind w:left="0" w:right="0" w:firstLine="0" w:firstLineChars="0"/>
                    <w:rPr>
                      <w:color w:val="000000" w:themeColor="text1"/>
                      <w:sz w:val="21"/>
                    </w:rPr>
                  </w:pPr>
                  <w:r>
                    <w:rPr>
                      <w:rFonts w:hint="eastAsia"/>
                      <w:color w:val="000000" w:themeColor="text1"/>
                      <w:sz w:val="21"/>
                    </w:rPr>
                    <w:t>筛下料落料</w:t>
                  </w:r>
                </w:p>
              </w:tc>
              <w:tc>
                <w:tcPr>
                  <w:tcW w:w="587" w:type="pct"/>
                  <w:vMerge w:val="continue"/>
                  <w:vAlign w:val="center"/>
                </w:tcPr>
                <w:p w14:paraId="0D2D7877">
                  <w:pPr>
                    <w:pStyle w:val="66"/>
                    <w:spacing w:line="240" w:lineRule="auto"/>
                    <w:ind w:left="0" w:right="0" w:firstLine="0" w:firstLineChars="0"/>
                    <w:rPr>
                      <w:color w:val="000000" w:themeColor="text1"/>
                      <w:sz w:val="21"/>
                    </w:rPr>
                  </w:pPr>
                </w:p>
              </w:tc>
              <w:tc>
                <w:tcPr>
                  <w:tcW w:w="950" w:type="pct"/>
                  <w:shd w:val="clear" w:color="auto" w:fill="auto"/>
                  <w:vAlign w:val="center"/>
                </w:tcPr>
                <w:p w14:paraId="4F78D522">
                  <w:pPr>
                    <w:pStyle w:val="66"/>
                    <w:spacing w:line="240" w:lineRule="auto"/>
                    <w:ind w:left="0" w:right="0" w:firstLine="0" w:firstLineChars="0"/>
                    <w:rPr>
                      <w:color w:val="000000" w:themeColor="text1"/>
                      <w:sz w:val="21"/>
                    </w:rPr>
                  </w:pPr>
                  <w:r>
                    <w:rPr>
                      <w:rFonts w:hint="eastAsia"/>
                      <w:color w:val="000000" w:themeColor="text1"/>
                      <w:sz w:val="21"/>
                    </w:rPr>
                    <w:t>振筛出料口上方设置1个0.6m</w:t>
                  </w:r>
                  <w:r>
                    <w:rPr>
                      <w:color w:val="000000" w:themeColor="text1"/>
                      <w:sz w:val="21"/>
                    </w:rPr>
                    <w:t>×</w:t>
                  </w:r>
                  <w:r>
                    <w:rPr>
                      <w:rFonts w:hint="eastAsia"/>
                      <w:color w:val="000000" w:themeColor="text1"/>
                      <w:sz w:val="21"/>
                    </w:rPr>
                    <w:t>0.6</w:t>
                  </w:r>
                  <w:r>
                    <w:rPr>
                      <w:color w:val="000000" w:themeColor="text1"/>
                      <w:sz w:val="21"/>
                    </w:rPr>
                    <w:t>m</w:t>
                  </w:r>
                  <w:r>
                    <w:rPr>
                      <w:rFonts w:hint="eastAsia"/>
                      <w:color w:val="000000" w:themeColor="text1"/>
                      <w:sz w:val="21"/>
                    </w:rPr>
                    <w:t>集气罩</w:t>
                  </w:r>
                </w:p>
              </w:tc>
              <w:tc>
                <w:tcPr>
                  <w:tcW w:w="586" w:type="pct"/>
                  <w:vMerge w:val="continue"/>
                  <w:vAlign w:val="center"/>
                </w:tcPr>
                <w:p w14:paraId="059119FB">
                  <w:pPr>
                    <w:tabs>
                      <w:tab w:val="left" w:pos="720"/>
                    </w:tabs>
                    <w:spacing w:line="240" w:lineRule="auto"/>
                    <w:ind w:firstLine="0" w:firstLineChars="0"/>
                    <w:jc w:val="center"/>
                    <w:rPr>
                      <w:color w:val="000000" w:themeColor="text1"/>
                      <w:sz w:val="21"/>
                      <w:szCs w:val="21"/>
                    </w:rPr>
                  </w:pPr>
                </w:p>
              </w:tc>
              <w:tc>
                <w:tcPr>
                  <w:tcW w:w="679" w:type="pct"/>
                  <w:shd w:val="clear" w:color="auto" w:fill="auto"/>
                  <w:vAlign w:val="center"/>
                </w:tcPr>
                <w:p w14:paraId="6D157AFA">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A：0.36m</w:t>
                  </w:r>
                  <w:r>
                    <w:rPr>
                      <w:rFonts w:hint="eastAsia"/>
                      <w:color w:val="000000" w:themeColor="text1"/>
                      <w:sz w:val="21"/>
                      <w:szCs w:val="21"/>
                      <w:vertAlign w:val="superscript"/>
                    </w:rPr>
                    <w:t>2</w:t>
                  </w:r>
                </w:p>
              </w:tc>
              <w:tc>
                <w:tcPr>
                  <w:tcW w:w="679" w:type="pct"/>
                  <w:shd w:val="clear" w:color="auto" w:fill="auto"/>
                  <w:vAlign w:val="center"/>
                </w:tcPr>
                <w:p w14:paraId="756BEB1E">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1426</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7857948D">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587ADC96">
                  <w:pPr>
                    <w:tabs>
                      <w:tab w:val="left" w:pos="720"/>
                    </w:tabs>
                    <w:spacing w:line="240" w:lineRule="auto"/>
                    <w:ind w:firstLine="0" w:firstLineChars="0"/>
                    <w:jc w:val="center"/>
                    <w:rPr>
                      <w:color w:val="000000" w:themeColor="text1"/>
                      <w:sz w:val="21"/>
                      <w:szCs w:val="21"/>
                    </w:rPr>
                  </w:pPr>
                </w:p>
              </w:tc>
            </w:tr>
            <w:tr w14:paraId="15F04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gridSpan w:val="2"/>
                  <w:shd w:val="clear" w:color="auto" w:fill="auto"/>
                  <w:vAlign w:val="center"/>
                </w:tcPr>
                <w:p w14:paraId="4719EE55">
                  <w:pPr>
                    <w:pStyle w:val="66"/>
                    <w:spacing w:line="240" w:lineRule="auto"/>
                    <w:ind w:left="0" w:right="0" w:firstLine="0" w:firstLineChars="0"/>
                    <w:rPr>
                      <w:color w:val="000000" w:themeColor="text1"/>
                      <w:sz w:val="21"/>
                    </w:rPr>
                  </w:pPr>
                  <w:r>
                    <w:rPr>
                      <w:rFonts w:hint="eastAsia"/>
                      <w:color w:val="000000" w:themeColor="text1"/>
                      <w:sz w:val="21"/>
                    </w:rPr>
                    <w:t>成品网状料仓入料及冷却</w:t>
                  </w:r>
                </w:p>
              </w:tc>
              <w:tc>
                <w:tcPr>
                  <w:tcW w:w="587" w:type="pct"/>
                  <w:vMerge w:val="continue"/>
                  <w:vAlign w:val="center"/>
                </w:tcPr>
                <w:p w14:paraId="48B85BAB">
                  <w:pPr>
                    <w:pStyle w:val="66"/>
                    <w:spacing w:line="240" w:lineRule="auto"/>
                    <w:ind w:left="0" w:right="0" w:firstLine="0" w:firstLineChars="0"/>
                    <w:rPr>
                      <w:color w:val="000000" w:themeColor="text1"/>
                      <w:sz w:val="21"/>
                    </w:rPr>
                  </w:pPr>
                </w:p>
              </w:tc>
              <w:tc>
                <w:tcPr>
                  <w:tcW w:w="950" w:type="pct"/>
                  <w:shd w:val="clear" w:color="auto" w:fill="auto"/>
                  <w:vAlign w:val="center"/>
                </w:tcPr>
                <w:p w14:paraId="1406C913">
                  <w:pPr>
                    <w:pStyle w:val="66"/>
                    <w:spacing w:line="240" w:lineRule="auto"/>
                    <w:ind w:left="0" w:right="0" w:firstLine="0" w:firstLineChars="0"/>
                    <w:rPr>
                      <w:color w:val="000000" w:themeColor="text1"/>
                      <w:sz w:val="21"/>
                    </w:rPr>
                  </w:pPr>
                  <w:r>
                    <w:rPr>
                      <w:rFonts w:hint="eastAsia"/>
                      <w:color w:val="000000" w:themeColor="text1"/>
                      <w:sz w:val="21"/>
                    </w:rPr>
                    <w:t>成品网状料仓入料口上方设置1个1m</w:t>
                  </w:r>
                  <w:r>
                    <w:rPr>
                      <w:color w:val="000000" w:themeColor="text1"/>
                      <w:sz w:val="21"/>
                    </w:rPr>
                    <w:t>×</w:t>
                  </w:r>
                  <w:r>
                    <w:rPr>
                      <w:rFonts w:hint="eastAsia"/>
                      <w:color w:val="000000" w:themeColor="text1"/>
                      <w:sz w:val="21"/>
                    </w:rPr>
                    <w:t>1</w:t>
                  </w:r>
                  <w:r>
                    <w:rPr>
                      <w:color w:val="000000" w:themeColor="text1"/>
                      <w:sz w:val="21"/>
                    </w:rPr>
                    <w:t>m</w:t>
                  </w:r>
                  <w:r>
                    <w:rPr>
                      <w:rFonts w:hint="eastAsia"/>
                      <w:color w:val="000000" w:themeColor="text1"/>
                      <w:sz w:val="21"/>
                    </w:rPr>
                    <w:t>集气罩</w:t>
                  </w:r>
                </w:p>
              </w:tc>
              <w:tc>
                <w:tcPr>
                  <w:tcW w:w="586" w:type="pct"/>
                  <w:vMerge w:val="continue"/>
                  <w:vAlign w:val="center"/>
                </w:tcPr>
                <w:p w14:paraId="43A93A41">
                  <w:pPr>
                    <w:tabs>
                      <w:tab w:val="left" w:pos="720"/>
                    </w:tabs>
                    <w:spacing w:line="240" w:lineRule="auto"/>
                    <w:ind w:firstLine="0" w:firstLineChars="0"/>
                    <w:jc w:val="center"/>
                    <w:rPr>
                      <w:color w:val="000000" w:themeColor="text1"/>
                      <w:sz w:val="21"/>
                      <w:szCs w:val="21"/>
                    </w:rPr>
                  </w:pPr>
                </w:p>
              </w:tc>
              <w:tc>
                <w:tcPr>
                  <w:tcW w:w="679" w:type="pct"/>
                  <w:vAlign w:val="center"/>
                </w:tcPr>
                <w:p w14:paraId="7D7EFF11">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A：1m</w:t>
                  </w:r>
                  <w:r>
                    <w:rPr>
                      <w:rFonts w:hint="eastAsia"/>
                      <w:color w:val="000000" w:themeColor="text1"/>
                      <w:sz w:val="21"/>
                      <w:szCs w:val="21"/>
                      <w:vertAlign w:val="superscript"/>
                    </w:rPr>
                    <w:t>2</w:t>
                  </w:r>
                </w:p>
              </w:tc>
              <w:tc>
                <w:tcPr>
                  <w:tcW w:w="679" w:type="pct"/>
                  <w:vAlign w:val="center"/>
                </w:tcPr>
                <w:p w14:paraId="4ECB9745">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3960</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777ED4D5">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3F3B1E31">
                  <w:pPr>
                    <w:tabs>
                      <w:tab w:val="left" w:pos="720"/>
                    </w:tabs>
                    <w:spacing w:line="240" w:lineRule="auto"/>
                    <w:ind w:firstLine="0" w:firstLineChars="0"/>
                    <w:jc w:val="center"/>
                    <w:rPr>
                      <w:color w:val="000000" w:themeColor="text1"/>
                      <w:sz w:val="21"/>
                      <w:szCs w:val="21"/>
                    </w:rPr>
                  </w:pPr>
                </w:p>
              </w:tc>
            </w:tr>
            <w:tr w14:paraId="5EDAE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shd w:val="clear" w:color="auto" w:fill="auto"/>
                  <w:vAlign w:val="center"/>
                </w:tcPr>
                <w:p w14:paraId="677F1B4C">
                  <w:pPr>
                    <w:pStyle w:val="66"/>
                    <w:spacing w:line="240" w:lineRule="auto"/>
                    <w:ind w:left="0" w:right="0" w:firstLine="0" w:firstLineChars="0"/>
                    <w:rPr>
                      <w:color w:val="000000" w:themeColor="text1"/>
                      <w:sz w:val="21"/>
                    </w:rPr>
                  </w:pPr>
                  <w:r>
                    <w:rPr>
                      <w:rFonts w:hint="eastAsia"/>
                      <w:color w:val="000000" w:themeColor="text1"/>
                      <w:sz w:val="21"/>
                    </w:rPr>
                    <w:t>成品皮带输送机落料</w:t>
                  </w:r>
                </w:p>
              </w:tc>
              <w:tc>
                <w:tcPr>
                  <w:tcW w:w="587" w:type="pct"/>
                  <w:vMerge w:val="continue"/>
                  <w:vAlign w:val="center"/>
                </w:tcPr>
                <w:p w14:paraId="6B27DCD1">
                  <w:pPr>
                    <w:pStyle w:val="66"/>
                    <w:spacing w:line="240" w:lineRule="auto"/>
                    <w:ind w:left="0" w:right="0" w:firstLine="0" w:firstLineChars="0"/>
                    <w:rPr>
                      <w:color w:val="000000" w:themeColor="text1"/>
                      <w:sz w:val="21"/>
                    </w:rPr>
                  </w:pPr>
                </w:p>
              </w:tc>
              <w:tc>
                <w:tcPr>
                  <w:tcW w:w="950" w:type="pct"/>
                  <w:shd w:val="clear" w:color="auto" w:fill="auto"/>
                  <w:vAlign w:val="center"/>
                </w:tcPr>
                <w:p w14:paraId="63CDD902">
                  <w:pPr>
                    <w:pStyle w:val="66"/>
                    <w:spacing w:line="240" w:lineRule="auto"/>
                    <w:ind w:left="0" w:right="0" w:firstLine="0" w:firstLineChars="0"/>
                    <w:rPr>
                      <w:color w:val="000000" w:themeColor="text1"/>
                      <w:sz w:val="21"/>
                    </w:rPr>
                  </w:pPr>
                  <w:r>
                    <w:rPr>
                      <w:rFonts w:hint="eastAsia"/>
                      <w:color w:val="000000" w:themeColor="text1"/>
                      <w:sz w:val="21"/>
                    </w:rPr>
                    <w:t>成品皮带输送机落料点上方设置1个0.8m</w:t>
                  </w:r>
                  <w:r>
                    <w:rPr>
                      <w:color w:val="000000" w:themeColor="text1"/>
                      <w:sz w:val="21"/>
                    </w:rPr>
                    <w:t>×</w:t>
                  </w:r>
                  <w:r>
                    <w:rPr>
                      <w:rFonts w:hint="eastAsia"/>
                      <w:color w:val="000000" w:themeColor="text1"/>
                      <w:sz w:val="21"/>
                    </w:rPr>
                    <w:t>0.8</w:t>
                  </w:r>
                  <w:r>
                    <w:rPr>
                      <w:color w:val="000000" w:themeColor="text1"/>
                      <w:sz w:val="21"/>
                    </w:rPr>
                    <w:t>m</w:t>
                  </w:r>
                  <w:r>
                    <w:rPr>
                      <w:rFonts w:hint="eastAsia"/>
                      <w:color w:val="000000" w:themeColor="text1"/>
                      <w:sz w:val="21"/>
                    </w:rPr>
                    <w:t>集气罩</w:t>
                  </w:r>
                </w:p>
              </w:tc>
              <w:tc>
                <w:tcPr>
                  <w:tcW w:w="586" w:type="pct"/>
                  <w:vMerge w:val="continue"/>
                  <w:vAlign w:val="center"/>
                </w:tcPr>
                <w:p w14:paraId="522693F2">
                  <w:pPr>
                    <w:tabs>
                      <w:tab w:val="left" w:pos="720"/>
                    </w:tabs>
                    <w:spacing w:line="240" w:lineRule="auto"/>
                    <w:ind w:firstLine="0" w:firstLineChars="0"/>
                    <w:jc w:val="center"/>
                    <w:rPr>
                      <w:color w:val="000000" w:themeColor="text1"/>
                      <w:sz w:val="21"/>
                      <w:szCs w:val="21"/>
                    </w:rPr>
                  </w:pPr>
                </w:p>
              </w:tc>
              <w:tc>
                <w:tcPr>
                  <w:tcW w:w="679" w:type="pct"/>
                  <w:shd w:val="clear" w:color="auto" w:fill="auto"/>
                  <w:vAlign w:val="center"/>
                </w:tcPr>
                <w:p w14:paraId="6F8A62EC">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A：0.64m</w:t>
                  </w:r>
                  <w:r>
                    <w:rPr>
                      <w:rFonts w:hint="eastAsia"/>
                      <w:color w:val="000000" w:themeColor="text1"/>
                      <w:sz w:val="21"/>
                      <w:szCs w:val="21"/>
                      <w:vertAlign w:val="superscript"/>
                    </w:rPr>
                    <w:t>2</w:t>
                  </w:r>
                </w:p>
              </w:tc>
              <w:tc>
                <w:tcPr>
                  <w:tcW w:w="679" w:type="pct"/>
                  <w:shd w:val="clear" w:color="auto" w:fill="auto"/>
                  <w:vAlign w:val="center"/>
                </w:tcPr>
                <w:p w14:paraId="1BEFFC6D">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2534</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6AD07ECF">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1BD998E8">
                  <w:pPr>
                    <w:tabs>
                      <w:tab w:val="left" w:pos="720"/>
                    </w:tabs>
                    <w:spacing w:line="240" w:lineRule="auto"/>
                    <w:ind w:firstLine="0" w:firstLineChars="0"/>
                    <w:jc w:val="center"/>
                    <w:rPr>
                      <w:color w:val="000000" w:themeColor="text1"/>
                      <w:sz w:val="21"/>
                      <w:szCs w:val="21"/>
                    </w:rPr>
                  </w:pPr>
                </w:p>
              </w:tc>
            </w:tr>
            <w:tr w14:paraId="634AB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gridSpan w:val="2"/>
                  <w:shd w:val="clear" w:color="auto" w:fill="auto"/>
                  <w:vAlign w:val="center"/>
                </w:tcPr>
                <w:p w14:paraId="347A4407">
                  <w:pPr>
                    <w:pStyle w:val="66"/>
                    <w:spacing w:line="240" w:lineRule="auto"/>
                    <w:ind w:left="0" w:right="0" w:firstLine="0" w:firstLineChars="0"/>
                    <w:rPr>
                      <w:color w:val="000000" w:themeColor="text1"/>
                      <w:sz w:val="21"/>
                    </w:rPr>
                  </w:pPr>
                  <w:r>
                    <w:rPr>
                      <w:rFonts w:hint="eastAsia"/>
                      <w:color w:val="000000" w:themeColor="text1"/>
                      <w:sz w:val="21"/>
                    </w:rPr>
                    <w:t>打包机包装</w:t>
                  </w:r>
                </w:p>
              </w:tc>
              <w:tc>
                <w:tcPr>
                  <w:tcW w:w="587" w:type="pct"/>
                  <w:vMerge w:val="continue"/>
                  <w:vAlign w:val="center"/>
                </w:tcPr>
                <w:p w14:paraId="6AC3417D">
                  <w:pPr>
                    <w:pStyle w:val="66"/>
                    <w:spacing w:line="240" w:lineRule="auto"/>
                    <w:ind w:left="0" w:right="0" w:firstLine="0" w:firstLineChars="0"/>
                    <w:rPr>
                      <w:color w:val="000000" w:themeColor="text1"/>
                      <w:sz w:val="21"/>
                    </w:rPr>
                  </w:pPr>
                </w:p>
              </w:tc>
              <w:tc>
                <w:tcPr>
                  <w:tcW w:w="950" w:type="pct"/>
                  <w:shd w:val="clear" w:color="auto" w:fill="auto"/>
                  <w:vAlign w:val="center"/>
                </w:tcPr>
                <w:p w14:paraId="14A41D01">
                  <w:pPr>
                    <w:pStyle w:val="66"/>
                    <w:spacing w:line="240" w:lineRule="auto"/>
                    <w:ind w:left="0" w:right="0" w:firstLine="0" w:firstLineChars="0"/>
                    <w:rPr>
                      <w:color w:val="000000" w:themeColor="text1"/>
                      <w:sz w:val="21"/>
                    </w:rPr>
                  </w:pPr>
                  <w:r>
                    <w:rPr>
                      <w:rFonts w:hint="eastAsia"/>
                      <w:color w:val="000000" w:themeColor="text1"/>
                      <w:sz w:val="21"/>
                    </w:rPr>
                    <w:t>打包机侧方设置1个0.6m</w:t>
                  </w:r>
                  <w:r>
                    <w:rPr>
                      <w:color w:val="000000" w:themeColor="text1"/>
                      <w:sz w:val="21"/>
                    </w:rPr>
                    <w:t>×0.</w:t>
                  </w:r>
                  <w:r>
                    <w:rPr>
                      <w:rFonts w:hint="eastAsia"/>
                      <w:color w:val="000000" w:themeColor="text1"/>
                      <w:sz w:val="21"/>
                    </w:rPr>
                    <w:t>6</w:t>
                  </w:r>
                  <w:r>
                    <w:rPr>
                      <w:color w:val="000000" w:themeColor="text1"/>
                      <w:sz w:val="21"/>
                    </w:rPr>
                    <w:t>m</w:t>
                  </w:r>
                  <w:r>
                    <w:rPr>
                      <w:rFonts w:hint="eastAsia"/>
                      <w:color w:val="000000" w:themeColor="text1"/>
                      <w:sz w:val="21"/>
                    </w:rPr>
                    <w:t>集气罩</w:t>
                  </w:r>
                </w:p>
              </w:tc>
              <w:tc>
                <w:tcPr>
                  <w:tcW w:w="586" w:type="pct"/>
                  <w:vMerge w:val="continue"/>
                  <w:vAlign w:val="center"/>
                </w:tcPr>
                <w:p w14:paraId="65D6DA7D">
                  <w:pPr>
                    <w:tabs>
                      <w:tab w:val="left" w:pos="720"/>
                    </w:tabs>
                    <w:spacing w:line="240" w:lineRule="auto"/>
                    <w:ind w:firstLine="0" w:firstLineChars="0"/>
                    <w:jc w:val="center"/>
                    <w:rPr>
                      <w:color w:val="000000" w:themeColor="text1"/>
                      <w:sz w:val="21"/>
                      <w:szCs w:val="21"/>
                    </w:rPr>
                  </w:pPr>
                </w:p>
              </w:tc>
              <w:tc>
                <w:tcPr>
                  <w:tcW w:w="679" w:type="pct"/>
                  <w:vAlign w:val="center"/>
                </w:tcPr>
                <w:p w14:paraId="5A78725C">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A：0.36m</w:t>
                  </w:r>
                  <w:r>
                    <w:rPr>
                      <w:rFonts w:hint="eastAsia"/>
                      <w:color w:val="000000" w:themeColor="text1"/>
                      <w:sz w:val="21"/>
                      <w:szCs w:val="21"/>
                      <w:vertAlign w:val="superscript"/>
                    </w:rPr>
                    <w:t>2</w:t>
                  </w:r>
                </w:p>
              </w:tc>
              <w:tc>
                <w:tcPr>
                  <w:tcW w:w="679" w:type="pct"/>
                  <w:vAlign w:val="center"/>
                </w:tcPr>
                <w:p w14:paraId="2DBBBDBA">
                  <w:pPr>
                    <w:tabs>
                      <w:tab w:val="left" w:pos="720"/>
                    </w:tabs>
                    <w:spacing w:line="240" w:lineRule="auto"/>
                    <w:ind w:firstLine="0" w:firstLineChars="0"/>
                    <w:jc w:val="center"/>
                    <w:rPr>
                      <w:color w:val="000000" w:themeColor="text1"/>
                      <w:sz w:val="21"/>
                      <w:szCs w:val="21"/>
                    </w:rPr>
                  </w:pPr>
                  <w:r>
                    <w:rPr>
                      <w:rFonts w:hint="eastAsia"/>
                      <w:color w:val="000000" w:themeColor="text1"/>
                      <w:sz w:val="21"/>
                      <w:szCs w:val="21"/>
                    </w:rPr>
                    <w:t>1426</w:t>
                  </w: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484" w:type="pct"/>
                  <w:vMerge w:val="continue"/>
                  <w:vAlign w:val="center"/>
                </w:tcPr>
                <w:p w14:paraId="06941E3D">
                  <w:pPr>
                    <w:tabs>
                      <w:tab w:val="left" w:pos="720"/>
                    </w:tabs>
                    <w:spacing w:line="240" w:lineRule="auto"/>
                    <w:ind w:firstLine="0" w:firstLineChars="0"/>
                    <w:jc w:val="center"/>
                    <w:rPr>
                      <w:color w:val="000000" w:themeColor="text1"/>
                      <w:sz w:val="21"/>
                      <w:szCs w:val="21"/>
                    </w:rPr>
                  </w:pPr>
                </w:p>
              </w:tc>
              <w:tc>
                <w:tcPr>
                  <w:tcW w:w="476" w:type="pct"/>
                  <w:vMerge w:val="continue"/>
                  <w:vAlign w:val="center"/>
                </w:tcPr>
                <w:p w14:paraId="14EED3F6">
                  <w:pPr>
                    <w:tabs>
                      <w:tab w:val="left" w:pos="720"/>
                    </w:tabs>
                    <w:spacing w:line="240" w:lineRule="auto"/>
                    <w:ind w:firstLine="0" w:firstLineChars="0"/>
                    <w:jc w:val="center"/>
                    <w:rPr>
                      <w:color w:val="000000" w:themeColor="text1"/>
                      <w:sz w:val="21"/>
                      <w:szCs w:val="21"/>
                    </w:rPr>
                  </w:pPr>
                </w:p>
              </w:tc>
            </w:tr>
          </w:tbl>
          <w:p w14:paraId="3C94BF30">
            <w:pPr>
              <w:ind w:firstLine="482"/>
              <w:rPr>
                <w:b/>
                <w:bCs/>
                <w:color w:val="000000" w:themeColor="text1"/>
              </w:rPr>
            </w:pPr>
            <w:r>
              <w:rPr>
                <w:b/>
                <w:bCs/>
                <w:color w:val="000000" w:themeColor="text1"/>
              </w:rPr>
              <w:t>1.</w:t>
            </w:r>
            <w:r>
              <w:rPr>
                <w:rFonts w:hint="eastAsia"/>
                <w:b/>
                <w:bCs/>
                <w:color w:val="000000" w:themeColor="text1"/>
              </w:rPr>
              <w:t>5废气监测计划</w:t>
            </w:r>
          </w:p>
          <w:p w14:paraId="2F02FEFB">
            <w:pPr>
              <w:ind w:firstLine="480"/>
              <w:rPr>
                <w:color w:val="000000" w:themeColor="text1"/>
              </w:rPr>
            </w:pPr>
            <w:r>
              <w:rPr>
                <w:rFonts w:hint="eastAsia"/>
                <w:color w:val="000000" w:themeColor="text1"/>
              </w:rPr>
              <w:t>根据《排污单位自行监测技术指南 总则》（HJ819-2017）、《排污许可证申请与核发技术规范 工业炉窑》（HJ1121-2020），本项目废气监测因子、监测频次、执行排放标准情况见下表。</w:t>
            </w:r>
          </w:p>
          <w:p w14:paraId="17250C6E">
            <w:pPr>
              <w:spacing w:line="360" w:lineRule="auto"/>
              <w:ind w:firstLine="0" w:firstLineChars="0"/>
              <w:jc w:val="center"/>
              <w:rPr>
                <w:b/>
                <w:bCs/>
                <w:color w:val="000000" w:themeColor="text1"/>
                <w:sz w:val="21"/>
                <w:szCs w:val="21"/>
              </w:rPr>
            </w:pPr>
            <w:r>
              <w:rPr>
                <w:rFonts w:hint="eastAsia"/>
                <w:b/>
                <w:bCs/>
                <w:color w:val="000000" w:themeColor="text1"/>
                <w:sz w:val="21"/>
                <w:szCs w:val="21"/>
              </w:rPr>
              <w:t>表38   本项目废气监测一览表</w:t>
            </w:r>
          </w:p>
          <w:tbl>
            <w:tblPr>
              <w:tblStyle w:val="25"/>
              <w:tblW w:w="81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1109"/>
              <w:gridCol w:w="1096"/>
              <w:gridCol w:w="4099"/>
            </w:tblGrid>
            <w:tr w14:paraId="0EFBE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87" w:type="pct"/>
                  <w:gridSpan w:val="3"/>
                  <w:tcBorders>
                    <w:tl2br w:val="nil"/>
                    <w:tr2bl w:val="nil"/>
                  </w:tcBorders>
                  <w:vAlign w:val="center"/>
                </w:tcPr>
                <w:p w14:paraId="3CB872CC">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监测要求</w:t>
                  </w:r>
                </w:p>
              </w:tc>
              <w:tc>
                <w:tcPr>
                  <w:tcW w:w="2512" w:type="pct"/>
                  <w:vMerge w:val="restart"/>
                  <w:tcBorders>
                    <w:tl2br w:val="nil"/>
                    <w:tr2bl w:val="nil"/>
                  </w:tcBorders>
                  <w:vAlign w:val="center"/>
                </w:tcPr>
                <w:p w14:paraId="30369E18">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排放标准</w:t>
                  </w:r>
                </w:p>
              </w:tc>
            </w:tr>
            <w:tr w14:paraId="2558A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5" w:type="pct"/>
                  <w:tcBorders>
                    <w:tl2br w:val="nil"/>
                    <w:tr2bl w:val="nil"/>
                  </w:tcBorders>
                  <w:vAlign w:val="center"/>
                </w:tcPr>
                <w:p w14:paraId="3532D99A">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监测点位</w:t>
                  </w:r>
                </w:p>
              </w:tc>
              <w:tc>
                <w:tcPr>
                  <w:tcW w:w="680" w:type="pct"/>
                  <w:tcBorders>
                    <w:tl2br w:val="nil"/>
                    <w:tr2bl w:val="nil"/>
                  </w:tcBorders>
                  <w:vAlign w:val="center"/>
                </w:tcPr>
                <w:p w14:paraId="616F644E">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监测因子</w:t>
                  </w:r>
                </w:p>
              </w:tc>
              <w:tc>
                <w:tcPr>
                  <w:tcW w:w="671" w:type="pct"/>
                  <w:tcBorders>
                    <w:tl2br w:val="nil"/>
                    <w:tr2bl w:val="nil"/>
                  </w:tcBorders>
                  <w:vAlign w:val="center"/>
                </w:tcPr>
                <w:p w14:paraId="4C1E688A">
                  <w:pPr>
                    <w:pStyle w:val="31"/>
                    <w:spacing w:line="240" w:lineRule="auto"/>
                    <w:ind w:left="0" w:leftChars="0" w:firstLine="0" w:firstLineChars="0"/>
                    <w:rPr>
                      <w:b/>
                      <w:bCs/>
                      <w:color w:val="000000" w:themeColor="text1"/>
                      <w:w w:val="100"/>
                      <w:kern w:val="2"/>
                      <w:sz w:val="21"/>
                      <w:szCs w:val="21"/>
                    </w:rPr>
                  </w:pPr>
                  <w:r>
                    <w:rPr>
                      <w:rFonts w:hint="eastAsia"/>
                      <w:b/>
                      <w:bCs/>
                      <w:color w:val="000000" w:themeColor="text1"/>
                      <w:w w:val="100"/>
                      <w:kern w:val="2"/>
                      <w:sz w:val="21"/>
                      <w:szCs w:val="21"/>
                    </w:rPr>
                    <w:t>监测频次</w:t>
                  </w:r>
                </w:p>
              </w:tc>
              <w:tc>
                <w:tcPr>
                  <w:tcW w:w="2512" w:type="pct"/>
                  <w:vMerge w:val="continue"/>
                  <w:tcBorders>
                    <w:tl2br w:val="nil"/>
                    <w:tr2bl w:val="nil"/>
                  </w:tcBorders>
                  <w:vAlign w:val="center"/>
                </w:tcPr>
                <w:p w14:paraId="7F2D1F66">
                  <w:pPr>
                    <w:pStyle w:val="31"/>
                    <w:spacing w:line="240" w:lineRule="auto"/>
                    <w:ind w:left="0" w:leftChars="0" w:firstLine="0" w:firstLineChars="0"/>
                    <w:rPr>
                      <w:b/>
                      <w:bCs/>
                      <w:color w:val="000000" w:themeColor="text1"/>
                      <w:w w:val="100"/>
                      <w:kern w:val="2"/>
                      <w:sz w:val="21"/>
                      <w:szCs w:val="21"/>
                    </w:rPr>
                  </w:pPr>
                </w:p>
              </w:tc>
            </w:tr>
            <w:tr w14:paraId="0B862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restart"/>
                  <w:tcBorders>
                    <w:tl2br w:val="nil"/>
                    <w:tr2bl w:val="nil"/>
                  </w:tcBorders>
                  <w:vAlign w:val="center"/>
                </w:tcPr>
                <w:p w14:paraId="0AFAD797">
                  <w:pPr>
                    <w:pStyle w:val="35"/>
                    <w:ind w:left="0" w:leftChars="0" w:right="0" w:rightChars="0"/>
                    <w:rPr>
                      <w:color w:val="000000" w:themeColor="text1"/>
                      <w:kern w:val="2"/>
                    </w:rPr>
                  </w:pPr>
                  <w:r>
                    <w:rPr>
                      <w:rFonts w:hint="eastAsia"/>
                      <w:color w:val="000000" w:themeColor="text1"/>
                    </w:rPr>
                    <w:t>“沙克龙除尘器+布袋除尘器”排气筒（DA001）</w:t>
                  </w:r>
                </w:p>
              </w:tc>
              <w:tc>
                <w:tcPr>
                  <w:tcW w:w="680" w:type="pct"/>
                  <w:tcBorders>
                    <w:tl2br w:val="nil"/>
                    <w:tr2bl w:val="nil"/>
                  </w:tcBorders>
                  <w:vAlign w:val="center"/>
                </w:tcPr>
                <w:p w14:paraId="173C5F53">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71" w:type="pct"/>
                  <w:tcBorders>
                    <w:tl2br w:val="nil"/>
                    <w:tr2bl w:val="nil"/>
                  </w:tcBorders>
                  <w:vAlign w:val="center"/>
                </w:tcPr>
                <w:p w14:paraId="493C514D">
                  <w:pPr>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restart"/>
                  <w:tcBorders>
                    <w:tl2br w:val="nil"/>
                    <w:tr2bl w:val="nil"/>
                  </w:tcBorders>
                  <w:vAlign w:val="center"/>
                </w:tcPr>
                <w:p w14:paraId="7104FEB0">
                  <w:pPr>
                    <w:autoSpaceDE w:val="0"/>
                    <w:autoSpaceDN w:val="0"/>
                    <w:adjustRightInd w:val="0"/>
                    <w:snapToGrid w:val="0"/>
                    <w:spacing w:line="240" w:lineRule="auto"/>
                    <w:ind w:firstLine="0" w:firstLineChars="0"/>
                    <w:jc w:val="center"/>
                    <w:rPr>
                      <w:bCs/>
                      <w:snapToGrid w:val="0"/>
                      <w:color w:val="000000" w:themeColor="text1"/>
                      <w:kern w:val="0"/>
                      <w:sz w:val="21"/>
                      <w:szCs w:val="21"/>
                    </w:rPr>
                  </w:pPr>
                  <w:r>
                    <w:rPr>
                      <w:rFonts w:hint="eastAsia"/>
                      <w:color w:val="000000" w:themeColor="text1"/>
                      <w:sz w:val="21"/>
                      <w:szCs w:val="21"/>
                    </w:rPr>
                    <w:t>《工业炉窑大气污染物排放标准》（DB13/ 1640-2012）表1、表2工业炉窑排放限值颗粒物50</w:t>
                  </w:r>
                  <w:r>
                    <w:rPr>
                      <w:rFonts w:hint="eastAsia"/>
                      <w:color w:val="000000" w:themeColor="text1"/>
                      <w:spacing w:val="-5"/>
                      <w:sz w:val="21"/>
                      <w:szCs w:val="21"/>
                    </w:rPr>
                    <w:t>mg/m</w:t>
                  </w:r>
                  <w:r>
                    <w:rPr>
                      <w:rFonts w:hint="eastAsia"/>
                      <w:color w:val="000000" w:themeColor="text1"/>
                      <w:spacing w:val="-5"/>
                      <w:sz w:val="21"/>
                      <w:szCs w:val="21"/>
                      <w:vertAlign w:val="superscript"/>
                    </w:rPr>
                    <w:t>3</w:t>
                  </w:r>
                  <w:r>
                    <w:rPr>
                      <w:rFonts w:hint="eastAsia"/>
                      <w:color w:val="000000" w:themeColor="text1"/>
                      <w:sz w:val="21"/>
                      <w:szCs w:val="21"/>
                    </w:rPr>
                    <w:t>、</w:t>
                  </w:r>
                  <w:r>
                    <w:rPr>
                      <w:rFonts w:hint="eastAsia"/>
                      <w:color w:val="000000" w:themeColor="text1"/>
                      <w:spacing w:val="-5"/>
                      <w:sz w:val="21"/>
                      <w:szCs w:val="21"/>
                    </w:rPr>
                    <w:t>SO</w:t>
                  </w:r>
                  <w:r>
                    <w:rPr>
                      <w:rFonts w:hint="eastAsia"/>
                      <w:color w:val="000000" w:themeColor="text1"/>
                      <w:spacing w:val="-5"/>
                      <w:sz w:val="21"/>
                      <w:szCs w:val="21"/>
                      <w:vertAlign w:val="subscript"/>
                    </w:rPr>
                    <w:t>2</w:t>
                  </w:r>
                  <w:r>
                    <w:rPr>
                      <w:rFonts w:hint="eastAsia"/>
                      <w:color w:val="000000" w:themeColor="text1"/>
                      <w:spacing w:val="-5"/>
                      <w:sz w:val="21"/>
                      <w:szCs w:val="21"/>
                    </w:rPr>
                    <w:t>400mg/m</w:t>
                  </w:r>
                  <w:r>
                    <w:rPr>
                      <w:rFonts w:hint="eastAsia"/>
                      <w:color w:val="000000" w:themeColor="text1"/>
                      <w:spacing w:val="-5"/>
                      <w:sz w:val="21"/>
                      <w:szCs w:val="21"/>
                      <w:vertAlign w:val="superscript"/>
                    </w:rPr>
                    <w:t>3</w:t>
                  </w:r>
                  <w:r>
                    <w:rPr>
                      <w:rFonts w:hint="eastAsia"/>
                      <w:color w:val="000000" w:themeColor="text1"/>
                      <w:spacing w:val="-5"/>
                      <w:sz w:val="21"/>
                      <w:szCs w:val="21"/>
                    </w:rPr>
                    <w:t>、NO</w:t>
                  </w:r>
                  <w:r>
                    <w:rPr>
                      <w:rFonts w:hint="eastAsia"/>
                      <w:color w:val="000000" w:themeColor="text1"/>
                      <w:spacing w:val="-5"/>
                      <w:sz w:val="21"/>
                      <w:szCs w:val="21"/>
                      <w:vertAlign w:val="subscript"/>
                    </w:rPr>
                    <w:t>X</w:t>
                  </w:r>
                  <w:r>
                    <w:rPr>
                      <w:rFonts w:hint="eastAsia"/>
                      <w:color w:val="000000" w:themeColor="text1"/>
                      <w:spacing w:val="-5"/>
                      <w:sz w:val="21"/>
                      <w:szCs w:val="21"/>
                    </w:rPr>
                    <w:t>400mg/m</w:t>
                  </w:r>
                  <w:r>
                    <w:rPr>
                      <w:rFonts w:hint="eastAsia"/>
                      <w:color w:val="000000" w:themeColor="text1"/>
                      <w:spacing w:val="-5"/>
                      <w:sz w:val="21"/>
                      <w:szCs w:val="21"/>
                      <w:vertAlign w:val="superscript"/>
                    </w:rPr>
                    <w:t>3</w:t>
                  </w:r>
                  <w:r>
                    <w:rPr>
                      <w:rFonts w:hint="eastAsia"/>
                      <w:color w:val="000000" w:themeColor="text1"/>
                      <w:sz w:val="21"/>
                      <w:szCs w:val="21"/>
                    </w:rPr>
                    <w:t>、汞0.010</w:t>
                  </w:r>
                  <w:r>
                    <w:rPr>
                      <w:rFonts w:hint="eastAsia"/>
                      <w:color w:val="000000" w:themeColor="text1"/>
                      <w:spacing w:val="-5"/>
                      <w:sz w:val="21"/>
                      <w:szCs w:val="21"/>
                    </w:rPr>
                    <w:t>mg/m</w:t>
                  </w:r>
                  <w:r>
                    <w:rPr>
                      <w:rFonts w:hint="eastAsia"/>
                      <w:color w:val="000000" w:themeColor="text1"/>
                      <w:spacing w:val="-5"/>
                      <w:sz w:val="21"/>
                      <w:szCs w:val="21"/>
                      <w:vertAlign w:val="superscript"/>
                    </w:rPr>
                    <w:t>3</w:t>
                  </w:r>
                  <w:r>
                    <w:rPr>
                      <w:rFonts w:hint="eastAsia"/>
                      <w:color w:val="000000" w:themeColor="text1"/>
                      <w:sz w:val="21"/>
                      <w:szCs w:val="21"/>
                    </w:rPr>
                    <w:t>、烟气黑度小于1级，</w:t>
                  </w:r>
                  <w:r>
                    <w:rPr>
                      <w:rFonts w:hint="eastAsia"/>
                      <w:color w:val="000000" w:themeColor="text1"/>
                      <w:spacing w:val="-5"/>
                      <w:sz w:val="21"/>
                      <w:szCs w:val="21"/>
                    </w:rPr>
                    <w:t>排气筒高度不低于15m，且高出200m范围内最高建筑物3m以上的要求</w:t>
                  </w:r>
                  <w:r>
                    <w:rPr>
                      <w:rFonts w:hint="eastAsia" w:eastAsia="Times New Roman"/>
                      <w:color w:val="000000" w:themeColor="text1"/>
                      <w:spacing w:val="2"/>
                      <w:sz w:val="21"/>
                      <w:szCs w:val="21"/>
                    </w:rPr>
                    <w:t>（本</w:t>
                  </w:r>
                  <w:r>
                    <w:rPr>
                      <w:rFonts w:eastAsia="Times New Roman"/>
                      <w:color w:val="000000" w:themeColor="text1"/>
                      <w:spacing w:val="2"/>
                      <w:sz w:val="21"/>
                      <w:szCs w:val="21"/>
                    </w:rPr>
                    <w:t>项目排气筒200m范围内最高建筑物为</w:t>
                  </w:r>
                  <w:r>
                    <w:rPr>
                      <w:rFonts w:hint="eastAsia" w:eastAsia="Times New Roman"/>
                      <w:color w:val="000000" w:themeColor="text1"/>
                      <w:spacing w:val="2"/>
                      <w:sz w:val="21"/>
                      <w:szCs w:val="21"/>
                    </w:rPr>
                    <w:t>9m），</w:t>
                  </w:r>
                  <w:r>
                    <w:rPr>
                      <w:rFonts w:hint="eastAsia"/>
                      <w:color w:val="000000" w:themeColor="text1"/>
                      <w:sz w:val="21"/>
                      <w:szCs w:val="21"/>
                    </w:rPr>
                    <w:t>同时执行《2019年“十项重点工作”工作方案》的通知（唐办发[2019]3号）中</w:t>
                  </w:r>
                  <w:r>
                    <w:rPr>
                      <w:rFonts w:hint="eastAsia"/>
                      <w:color w:val="000000" w:themeColor="text1"/>
                      <w:spacing w:val="-5"/>
                      <w:sz w:val="21"/>
                      <w:szCs w:val="21"/>
                    </w:rPr>
                    <w:t>排放限值：颗粒物30mg/m</w:t>
                  </w:r>
                  <w:r>
                    <w:rPr>
                      <w:rFonts w:hint="eastAsia"/>
                      <w:color w:val="000000" w:themeColor="text1"/>
                      <w:spacing w:val="-5"/>
                      <w:sz w:val="21"/>
                      <w:szCs w:val="21"/>
                      <w:vertAlign w:val="superscript"/>
                    </w:rPr>
                    <w:t>3</w:t>
                  </w:r>
                  <w:r>
                    <w:rPr>
                      <w:rFonts w:hint="eastAsia"/>
                      <w:color w:val="000000" w:themeColor="text1"/>
                      <w:spacing w:val="-5"/>
                      <w:sz w:val="21"/>
                      <w:szCs w:val="21"/>
                    </w:rPr>
                    <w:t>、SO</w:t>
                  </w:r>
                  <w:r>
                    <w:rPr>
                      <w:rFonts w:hint="eastAsia"/>
                      <w:color w:val="000000" w:themeColor="text1"/>
                      <w:spacing w:val="-5"/>
                      <w:sz w:val="21"/>
                      <w:szCs w:val="21"/>
                      <w:vertAlign w:val="subscript"/>
                    </w:rPr>
                    <w:t>2</w:t>
                  </w:r>
                  <w:r>
                    <w:rPr>
                      <w:rFonts w:hint="eastAsia"/>
                      <w:color w:val="000000" w:themeColor="text1"/>
                      <w:spacing w:val="-5"/>
                      <w:sz w:val="21"/>
                      <w:szCs w:val="21"/>
                    </w:rPr>
                    <w:t>200mg/m</w:t>
                  </w:r>
                  <w:r>
                    <w:rPr>
                      <w:rFonts w:hint="eastAsia"/>
                      <w:color w:val="000000" w:themeColor="text1"/>
                      <w:spacing w:val="-5"/>
                      <w:sz w:val="21"/>
                      <w:szCs w:val="21"/>
                      <w:vertAlign w:val="superscript"/>
                    </w:rPr>
                    <w:t>3</w:t>
                  </w:r>
                  <w:r>
                    <w:rPr>
                      <w:rFonts w:hint="eastAsia"/>
                      <w:color w:val="000000" w:themeColor="text1"/>
                      <w:spacing w:val="-5"/>
                      <w:sz w:val="21"/>
                      <w:szCs w:val="21"/>
                    </w:rPr>
                    <w:t>、NO</w:t>
                  </w:r>
                  <w:r>
                    <w:rPr>
                      <w:rFonts w:hint="eastAsia"/>
                      <w:color w:val="000000" w:themeColor="text1"/>
                      <w:spacing w:val="-5"/>
                      <w:sz w:val="21"/>
                      <w:szCs w:val="21"/>
                      <w:vertAlign w:val="subscript"/>
                    </w:rPr>
                    <w:t>X</w:t>
                  </w:r>
                  <w:r>
                    <w:rPr>
                      <w:rFonts w:hint="eastAsia"/>
                      <w:color w:val="000000" w:themeColor="text1"/>
                      <w:spacing w:val="-5"/>
                      <w:sz w:val="21"/>
                      <w:szCs w:val="21"/>
                    </w:rPr>
                    <w:t>300mg/m</w:t>
                  </w:r>
                  <w:r>
                    <w:rPr>
                      <w:rFonts w:hint="eastAsia"/>
                      <w:color w:val="000000" w:themeColor="text1"/>
                      <w:spacing w:val="-5"/>
                      <w:sz w:val="21"/>
                      <w:szCs w:val="21"/>
                      <w:vertAlign w:val="superscript"/>
                    </w:rPr>
                    <w:t>3</w:t>
                  </w:r>
                </w:p>
              </w:tc>
            </w:tr>
            <w:tr w14:paraId="29CEA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225730F5">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404AFFDC">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671" w:type="pct"/>
                  <w:tcBorders>
                    <w:tl2br w:val="nil"/>
                    <w:tr2bl w:val="nil"/>
                  </w:tcBorders>
                  <w:vAlign w:val="center"/>
                </w:tcPr>
                <w:p w14:paraId="46A69DC8">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07B02770">
                  <w:pPr>
                    <w:autoSpaceDE w:val="0"/>
                    <w:autoSpaceDN w:val="0"/>
                    <w:adjustRightInd w:val="0"/>
                    <w:snapToGrid w:val="0"/>
                    <w:spacing w:line="240" w:lineRule="auto"/>
                    <w:ind w:firstLine="0" w:firstLineChars="0"/>
                    <w:jc w:val="center"/>
                    <w:rPr>
                      <w:color w:val="000000" w:themeColor="text1"/>
                      <w:sz w:val="21"/>
                      <w:szCs w:val="21"/>
                    </w:rPr>
                  </w:pPr>
                </w:p>
              </w:tc>
            </w:tr>
            <w:tr w14:paraId="71EEA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0EA641ED">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43440E04">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671" w:type="pct"/>
                  <w:tcBorders>
                    <w:tl2br w:val="nil"/>
                    <w:tr2bl w:val="nil"/>
                  </w:tcBorders>
                  <w:vAlign w:val="center"/>
                </w:tcPr>
                <w:p w14:paraId="65AA39F7">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48D01908">
                  <w:pPr>
                    <w:autoSpaceDE w:val="0"/>
                    <w:autoSpaceDN w:val="0"/>
                    <w:adjustRightInd w:val="0"/>
                    <w:snapToGrid w:val="0"/>
                    <w:spacing w:line="240" w:lineRule="auto"/>
                    <w:ind w:firstLine="0" w:firstLineChars="0"/>
                    <w:jc w:val="center"/>
                    <w:rPr>
                      <w:color w:val="000000" w:themeColor="text1"/>
                      <w:sz w:val="21"/>
                      <w:szCs w:val="21"/>
                    </w:rPr>
                  </w:pPr>
                </w:p>
              </w:tc>
            </w:tr>
            <w:tr w14:paraId="75FDF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544FC8DB">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6DA26D6B">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671" w:type="pct"/>
                  <w:tcBorders>
                    <w:tl2br w:val="nil"/>
                    <w:tr2bl w:val="nil"/>
                  </w:tcBorders>
                  <w:shd w:val="clear" w:color="auto" w:fill="auto"/>
                  <w:vAlign w:val="center"/>
                </w:tcPr>
                <w:p w14:paraId="5DF10E74">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00C871A5">
                  <w:pPr>
                    <w:autoSpaceDE w:val="0"/>
                    <w:autoSpaceDN w:val="0"/>
                    <w:adjustRightInd w:val="0"/>
                    <w:snapToGrid w:val="0"/>
                    <w:spacing w:line="240" w:lineRule="auto"/>
                    <w:ind w:firstLine="0" w:firstLineChars="0"/>
                    <w:jc w:val="center"/>
                    <w:rPr>
                      <w:color w:val="000000" w:themeColor="text1"/>
                      <w:sz w:val="21"/>
                      <w:szCs w:val="21"/>
                    </w:rPr>
                  </w:pPr>
                </w:p>
              </w:tc>
            </w:tr>
            <w:tr w14:paraId="3A266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35" w:type="pct"/>
                  <w:vMerge w:val="continue"/>
                  <w:tcBorders>
                    <w:tl2br w:val="nil"/>
                    <w:tr2bl w:val="nil"/>
                  </w:tcBorders>
                  <w:vAlign w:val="center"/>
                </w:tcPr>
                <w:p w14:paraId="6573C132">
                  <w:pPr>
                    <w:autoSpaceDE w:val="0"/>
                    <w:autoSpaceDN w:val="0"/>
                    <w:adjustRightInd w:val="0"/>
                    <w:snapToGrid w:val="0"/>
                    <w:spacing w:line="240" w:lineRule="auto"/>
                    <w:ind w:firstLine="0" w:firstLineChars="0"/>
                    <w:jc w:val="center"/>
                    <w:rPr>
                      <w:color w:val="000000" w:themeColor="text1"/>
                      <w:sz w:val="21"/>
                      <w:szCs w:val="21"/>
                    </w:rPr>
                  </w:pPr>
                </w:p>
              </w:tc>
              <w:tc>
                <w:tcPr>
                  <w:tcW w:w="680" w:type="pct"/>
                  <w:tcBorders>
                    <w:tl2br w:val="nil"/>
                    <w:tr2bl w:val="nil"/>
                  </w:tcBorders>
                  <w:shd w:val="clear" w:color="auto" w:fill="auto"/>
                  <w:vAlign w:val="center"/>
                </w:tcPr>
                <w:p w14:paraId="0A651BC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671" w:type="pct"/>
                  <w:tcBorders>
                    <w:tl2br w:val="nil"/>
                    <w:tr2bl w:val="nil"/>
                  </w:tcBorders>
                  <w:shd w:val="clear" w:color="auto" w:fill="auto"/>
                  <w:vAlign w:val="center"/>
                </w:tcPr>
                <w:p w14:paraId="09C77C3A">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vMerge w:val="continue"/>
                  <w:tcBorders>
                    <w:tl2br w:val="nil"/>
                    <w:tr2bl w:val="nil"/>
                  </w:tcBorders>
                  <w:vAlign w:val="center"/>
                </w:tcPr>
                <w:p w14:paraId="5282F409">
                  <w:pPr>
                    <w:autoSpaceDE w:val="0"/>
                    <w:autoSpaceDN w:val="0"/>
                    <w:adjustRightInd w:val="0"/>
                    <w:snapToGrid w:val="0"/>
                    <w:spacing w:line="240" w:lineRule="auto"/>
                    <w:ind w:firstLine="0" w:firstLineChars="0"/>
                    <w:jc w:val="center"/>
                    <w:rPr>
                      <w:color w:val="000000" w:themeColor="text1"/>
                      <w:sz w:val="21"/>
                      <w:szCs w:val="21"/>
                    </w:rPr>
                  </w:pPr>
                </w:p>
              </w:tc>
            </w:tr>
            <w:tr w14:paraId="07B58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5" w:type="pct"/>
                  <w:tcBorders>
                    <w:tl2br w:val="nil"/>
                    <w:tr2bl w:val="nil"/>
                  </w:tcBorders>
                  <w:vAlign w:val="center"/>
                </w:tcPr>
                <w:p w14:paraId="549D432D">
                  <w:pPr>
                    <w:pStyle w:val="35"/>
                    <w:ind w:left="0" w:leftChars="0" w:right="0" w:rightChars="0"/>
                    <w:rPr>
                      <w:color w:val="000000" w:themeColor="text1"/>
                      <w:kern w:val="2"/>
                    </w:rPr>
                  </w:pPr>
                  <w:r>
                    <w:rPr>
                      <w:rFonts w:hint="eastAsia"/>
                      <w:color w:val="000000" w:themeColor="text1"/>
                    </w:rPr>
                    <w:t>布袋除尘器排气筒（DA002）</w:t>
                  </w:r>
                </w:p>
              </w:tc>
              <w:tc>
                <w:tcPr>
                  <w:tcW w:w="680" w:type="pct"/>
                  <w:tcBorders>
                    <w:tl2br w:val="nil"/>
                    <w:tr2bl w:val="nil"/>
                  </w:tcBorders>
                  <w:vAlign w:val="center"/>
                </w:tcPr>
                <w:p w14:paraId="7E892716">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71" w:type="pct"/>
                  <w:tcBorders>
                    <w:tl2br w:val="nil"/>
                    <w:tr2bl w:val="nil"/>
                  </w:tcBorders>
                  <w:vAlign w:val="center"/>
                </w:tcPr>
                <w:p w14:paraId="464B4954">
                  <w:pPr>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tcBorders>
                    <w:tl2br w:val="nil"/>
                    <w:tr2bl w:val="nil"/>
                  </w:tcBorders>
                  <w:vAlign w:val="center"/>
                </w:tcPr>
                <w:p w14:paraId="448E9C11">
                  <w:pPr>
                    <w:autoSpaceDE w:val="0"/>
                    <w:autoSpaceDN w:val="0"/>
                    <w:adjustRightInd w:val="0"/>
                    <w:snapToGrid w:val="0"/>
                    <w:spacing w:line="240" w:lineRule="auto"/>
                    <w:ind w:firstLine="0" w:firstLineChars="0"/>
                    <w:jc w:val="center"/>
                    <w:rPr>
                      <w:color w:val="000000" w:themeColor="text1"/>
                      <w:spacing w:val="-5"/>
                      <w:sz w:val="21"/>
                      <w:szCs w:val="21"/>
                    </w:rPr>
                  </w:pPr>
                  <w:r>
                    <w:rPr>
                      <w:rFonts w:hint="eastAsia"/>
                      <w:color w:val="000000" w:themeColor="text1"/>
                      <w:sz w:val="21"/>
                      <w:szCs w:val="21"/>
                    </w:rPr>
                    <w:t>《大气污染物综合排放标准》（GB16297-1996）表2颗粒物排放限值120</w:t>
                  </w:r>
                  <w:r>
                    <w:rPr>
                      <w:rFonts w:hint="eastAsia"/>
                      <w:color w:val="000000" w:themeColor="text1"/>
                      <w:spacing w:val="-5"/>
                      <w:sz w:val="21"/>
                      <w:szCs w:val="21"/>
                    </w:rPr>
                    <w:t>mg/m</w:t>
                  </w:r>
                  <w:r>
                    <w:rPr>
                      <w:rFonts w:hint="eastAsia"/>
                      <w:color w:val="000000" w:themeColor="text1"/>
                      <w:spacing w:val="-5"/>
                      <w:sz w:val="21"/>
                      <w:szCs w:val="21"/>
                      <w:vertAlign w:val="superscript"/>
                    </w:rPr>
                    <w:t>3</w:t>
                  </w:r>
                  <w:r>
                    <w:rPr>
                      <w:rFonts w:hint="eastAsia"/>
                      <w:color w:val="000000" w:themeColor="text1"/>
                      <w:sz w:val="21"/>
                      <w:szCs w:val="21"/>
                    </w:rPr>
                    <w:t>、排放速率3.5kg/h，排气筒高度不低于15m，</w:t>
                  </w:r>
                  <w:r>
                    <w:rPr>
                      <w:rFonts w:hint="eastAsia"/>
                      <w:color w:val="000000" w:themeColor="text1"/>
                      <w:spacing w:val="-5"/>
                      <w:sz w:val="21"/>
                      <w:szCs w:val="21"/>
                    </w:rPr>
                    <w:t>且高出200m范围内最高建筑物5m以上的要求</w:t>
                  </w:r>
                  <w:r>
                    <w:rPr>
                      <w:rFonts w:hint="eastAsia" w:eastAsia="Times New Roman"/>
                      <w:color w:val="000000" w:themeColor="text1"/>
                      <w:spacing w:val="2"/>
                      <w:sz w:val="21"/>
                      <w:szCs w:val="21"/>
                    </w:rPr>
                    <w:t>（本</w:t>
                  </w:r>
                  <w:r>
                    <w:rPr>
                      <w:rFonts w:eastAsia="Times New Roman"/>
                      <w:color w:val="000000" w:themeColor="text1"/>
                      <w:spacing w:val="2"/>
                      <w:sz w:val="21"/>
                      <w:szCs w:val="21"/>
                    </w:rPr>
                    <w:t>项目排气筒200m范围内最高建筑物为</w:t>
                  </w:r>
                  <w:r>
                    <w:rPr>
                      <w:rFonts w:hint="eastAsia" w:eastAsia="Times New Roman"/>
                      <w:color w:val="000000" w:themeColor="text1"/>
                      <w:spacing w:val="2"/>
                      <w:sz w:val="21"/>
                      <w:szCs w:val="21"/>
                    </w:rPr>
                    <w:t>9m）</w:t>
                  </w:r>
                </w:p>
              </w:tc>
            </w:tr>
            <w:tr w14:paraId="44FBE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5" w:type="pct"/>
                  <w:tcBorders>
                    <w:tl2br w:val="nil"/>
                    <w:tr2bl w:val="nil"/>
                  </w:tcBorders>
                  <w:vAlign w:val="center"/>
                </w:tcPr>
                <w:p w14:paraId="3AB92961">
                  <w:pPr>
                    <w:pStyle w:val="35"/>
                    <w:ind w:left="0" w:leftChars="0" w:right="0" w:rightChars="0"/>
                    <w:rPr>
                      <w:color w:val="000000" w:themeColor="text1"/>
                    </w:rPr>
                  </w:pPr>
                  <w:r>
                    <w:rPr>
                      <w:rFonts w:hint="eastAsia"/>
                      <w:color w:val="000000" w:themeColor="text1"/>
                    </w:rPr>
                    <w:t>厂房</w:t>
                  </w:r>
                </w:p>
              </w:tc>
              <w:tc>
                <w:tcPr>
                  <w:tcW w:w="680" w:type="pct"/>
                  <w:tcBorders>
                    <w:tl2br w:val="nil"/>
                    <w:tr2bl w:val="nil"/>
                  </w:tcBorders>
                  <w:vAlign w:val="center"/>
                </w:tcPr>
                <w:p w14:paraId="4BC69E65">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671" w:type="pct"/>
                  <w:tcBorders>
                    <w:tl2br w:val="nil"/>
                    <w:tr2bl w:val="nil"/>
                  </w:tcBorders>
                  <w:vAlign w:val="center"/>
                </w:tcPr>
                <w:p w14:paraId="73D6CE30">
                  <w:pPr>
                    <w:spacing w:line="240" w:lineRule="auto"/>
                    <w:ind w:firstLine="0" w:firstLineChars="0"/>
                    <w:jc w:val="center"/>
                    <w:rPr>
                      <w:color w:val="000000" w:themeColor="text1"/>
                      <w:sz w:val="21"/>
                      <w:szCs w:val="21"/>
                    </w:rPr>
                  </w:pPr>
                  <w:r>
                    <w:rPr>
                      <w:rFonts w:hint="eastAsia"/>
                      <w:color w:val="000000" w:themeColor="text1"/>
                      <w:sz w:val="21"/>
                      <w:szCs w:val="21"/>
                    </w:rPr>
                    <w:t>1次/年</w:t>
                  </w:r>
                </w:p>
              </w:tc>
              <w:tc>
                <w:tcPr>
                  <w:tcW w:w="2512" w:type="pct"/>
                  <w:tcBorders>
                    <w:tl2br w:val="nil"/>
                    <w:tr2bl w:val="nil"/>
                  </w:tcBorders>
                  <w:vAlign w:val="center"/>
                </w:tcPr>
                <w:p w14:paraId="1C2E2F7F">
                  <w:pPr>
                    <w:autoSpaceDE w:val="0"/>
                    <w:autoSpaceDN w:val="0"/>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w:t>
                  </w:r>
                  <w:r>
                    <w:rPr>
                      <w:rStyle w:val="27"/>
                      <w:rFonts w:ascii="Arial" w:hAnsi="Arial" w:eastAsia="Arial" w:cs="Arial"/>
                      <w:b w:val="0"/>
                      <w:color w:val="000000" w:themeColor="text1"/>
                      <w:sz w:val="21"/>
                      <w:szCs w:val="21"/>
                      <w:shd w:val="clear" w:color="auto" w:fill="FFFFFF"/>
                    </w:rPr>
                    <w:t>工业炉窑大气污染物排放标准</w:t>
                  </w:r>
                  <w:r>
                    <w:rPr>
                      <w:rFonts w:hint="eastAsia"/>
                      <w:color w:val="000000" w:themeColor="text1"/>
                      <w:sz w:val="21"/>
                      <w:szCs w:val="21"/>
                    </w:rPr>
                    <w:t>》（GB 9078-1996）表3其他炉窑有车间厂房无组织排放浓度5</w:t>
                  </w:r>
                  <w:r>
                    <w:rPr>
                      <w:color w:val="000000" w:themeColor="text1"/>
                      <w:kern w:val="0"/>
                      <w:sz w:val="21"/>
                      <w:szCs w:val="21"/>
                    </w:rPr>
                    <w:t>mg/m</w:t>
                  </w:r>
                  <w:r>
                    <w:rPr>
                      <w:color w:val="000000" w:themeColor="text1"/>
                      <w:kern w:val="0"/>
                      <w:sz w:val="21"/>
                      <w:szCs w:val="21"/>
                      <w:vertAlign w:val="superscript"/>
                    </w:rPr>
                    <w:t>3</w:t>
                  </w:r>
                </w:p>
              </w:tc>
            </w:tr>
            <w:tr w14:paraId="00758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35" w:type="pct"/>
                  <w:tcBorders>
                    <w:tl2br w:val="nil"/>
                    <w:tr2bl w:val="nil"/>
                  </w:tcBorders>
                  <w:vAlign w:val="center"/>
                </w:tcPr>
                <w:p w14:paraId="413E8DA6">
                  <w:pPr>
                    <w:pStyle w:val="31"/>
                    <w:spacing w:line="240" w:lineRule="auto"/>
                    <w:ind w:left="0" w:leftChars="0" w:firstLine="0" w:firstLineChars="0"/>
                    <w:rPr>
                      <w:b/>
                      <w:bCs/>
                      <w:color w:val="000000" w:themeColor="text1"/>
                      <w:w w:val="100"/>
                      <w:kern w:val="2"/>
                      <w:sz w:val="21"/>
                      <w:szCs w:val="21"/>
                    </w:rPr>
                  </w:pPr>
                  <w:r>
                    <w:rPr>
                      <w:rFonts w:hint="eastAsia"/>
                      <w:color w:val="000000" w:themeColor="text1"/>
                      <w:w w:val="100"/>
                      <w:kern w:val="2"/>
                      <w:sz w:val="21"/>
                      <w:szCs w:val="21"/>
                    </w:rPr>
                    <w:t>厂界上风向设置1个参照点，下风向设置3个监控点</w:t>
                  </w:r>
                </w:p>
              </w:tc>
              <w:tc>
                <w:tcPr>
                  <w:tcW w:w="680" w:type="pct"/>
                  <w:tcBorders>
                    <w:tl2br w:val="nil"/>
                    <w:tr2bl w:val="nil"/>
                  </w:tcBorders>
                  <w:vAlign w:val="center"/>
                </w:tcPr>
                <w:p w14:paraId="55562FB1">
                  <w:pPr>
                    <w:pStyle w:val="31"/>
                    <w:spacing w:line="240" w:lineRule="auto"/>
                    <w:ind w:left="0" w:leftChars="0" w:firstLine="0" w:firstLineChars="0"/>
                    <w:rPr>
                      <w:color w:val="000000" w:themeColor="text1"/>
                      <w:w w:val="100"/>
                      <w:kern w:val="2"/>
                      <w:sz w:val="21"/>
                      <w:szCs w:val="21"/>
                    </w:rPr>
                  </w:pPr>
                  <w:r>
                    <w:rPr>
                      <w:rFonts w:hint="eastAsia"/>
                      <w:color w:val="000000" w:themeColor="text1"/>
                      <w:w w:val="100"/>
                      <w:kern w:val="2"/>
                      <w:sz w:val="21"/>
                      <w:szCs w:val="21"/>
                    </w:rPr>
                    <w:t>颗粒物</w:t>
                  </w:r>
                </w:p>
              </w:tc>
              <w:tc>
                <w:tcPr>
                  <w:tcW w:w="671" w:type="pct"/>
                  <w:tcBorders>
                    <w:tl2br w:val="nil"/>
                    <w:tr2bl w:val="nil"/>
                  </w:tcBorders>
                  <w:vAlign w:val="center"/>
                </w:tcPr>
                <w:p w14:paraId="7AE01525">
                  <w:pPr>
                    <w:pStyle w:val="31"/>
                    <w:spacing w:line="240" w:lineRule="auto"/>
                    <w:ind w:left="0" w:leftChars="0" w:firstLine="0" w:firstLineChars="0"/>
                    <w:rPr>
                      <w:b/>
                      <w:bCs/>
                      <w:color w:val="000000" w:themeColor="text1"/>
                      <w:w w:val="100"/>
                      <w:kern w:val="2"/>
                      <w:sz w:val="21"/>
                      <w:szCs w:val="21"/>
                    </w:rPr>
                  </w:pPr>
                  <w:r>
                    <w:rPr>
                      <w:rFonts w:hint="eastAsia"/>
                      <w:color w:val="000000" w:themeColor="text1"/>
                      <w:w w:val="100"/>
                      <w:kern w:val="2"/>
                      <w:sz w:val="21"/>
                      <w:szCs w:val="21"/>
                    </w:rPr>
                    <w:t>1次/半年</w:t>
                  </w:r>
                </w:p>
              </w:tc>
              <w:tc>
                <w:tcPr>
                  <w:tcW w:w="2512" w:type="pct"/>
                  <w:tcBorders>
                    <w:tl2br w:val="nil"/>
                    <w:tr2bl w:val="nil"/>
                  </w:tcBorders>
                  <w:vAlign w:val="center"/>
                </w:tcPr>
                <w:p w14:paraId="057C9A7A">
                  <w:pPr>
                    <w:autoSpaceDE w:val="0"/>
                    <w:autoSpaceDN w:val="0"/>
                    <w:spacing w:line="240" w:lineRule="auto"/>
                    <w:ind w:firstLine="0" w:firstLineChars="0"/>
                    <w:jc w:val="center"/>
                    <w:rPr>
                      <w:snapToGrid w:val="0"/>
                      <w:color w:val="000000" w:themeColor="text1"/>
                      <w:kern w:val="0"/>
                      <w:sz w:val="21"/>
                      <w:szCs w:val="21"/>
                    </w:rPr>
                  </w:pPr>
                  <w:r>
                    <w:rPr>
                      <w:color w:val="000000" w:themeColor="text1"/>
                      <w:spacing w:val="-5"/>
                      <w:sz w:val="21"/>
                      <w:szCs w:val="21"/>
                    </w:rPr>
                    <w:t>《大气污染物综合排放标准》（</w:t>
                  </w:r>
                  <w:r>
                    <w:rPr>
                      <w:rFonts w:eastAsia="Times New Roman"/>
                      <w:color w:val="000000" w:themeColor="text1"/>
                      <w:spacing w:val="-6"/>
                      <w:sz w:val="21"/>
                      <w:szCs w:val="21"/>
                    </w:rPr>
                    <w:t>GB16297-1996</w:t>
                  </w:r>
                  <w:r>
                    <w:rPr>
                      <w:color w:val="000000" w:themeColor="text1"/>
                      <w:spacing w:val="-6"/>
                      <w:sz w:val="21"/>
                      <w:szCs w:val="21"/>
                    </w:rPr>
                    <w:t>）</w:t>
                  </w:r>
                  <w:r>
                    <w:rPr>
                      <w:rFonts w:hint="eastAsia"/>
                      <w:color w:val="000000" w:themeColor="text1"/>
                      <w:spacing w:val="-6"/>
                      <w:sz w:val="21"/>
                      <w:szCs w:val="21"/>
                    </w:rPr>
                    <w:t>表 2 中颗粒物无组织排放监控浓度限值</w:t>
                  </w:r>
                  <w:r>
                    <w:rPr>
                      <w:rFonts w:hint="eastAsia"/>
                      <w:color w:val="000000" w:themeColor="text1"/>
                      <w:kern w:val="0"/>
                      <w:sz w:val="21"/>
                      <w:szCs w:val="21"/>
                    </w:rPr>
                    <w:t>1.0</w:t>
                  </w:r>
                  <w:r>
                    <w:rPr>
                      <w:color w:val="000000" w:themeColor="text1"/>
                      <w:kern w:val="0"/>
                      <w:sz w:val="21"/>
                      <w:szCs w:val="21"/>
                    </w:rPr>
                    <w:t>mg/m</w:t>
                  </w:r>
                  <w:r>
                    <w:rPr>
                      <w:color w:val="000000" w:themeColor="text1"/>
                      <w:kern w:val="0"/>
                      <w:sz w:val="21"/>
                      <w:szCs w:val="21"/>
                      <w:vertAlign w:val="superscript"/>
                    </w:rPr>
                    <w:t>3</w:t>
                  </w:r>
                </w:p>
              </w:tc>
            </w:tr>
          </w:tbl>
          <w:p w14:paraId="5A85FCC2">
            <w:pPr>
              <w:ind w:firstLine="482"/>
              <w:rPr>
                <w:b/>
                <w:bCs/>
                <w:color w:val="000000" w:themeColor="text1"/>
              </w:rPr>
            </w:pPr>
            <w:r>
              <w:rPr>
                <w:rFonts w:hint="eastAsia"/>
                <w:b/>
                <w:bCs/>
                <w:color w:val="000000" w:themeColor="text1"/>
              </w:rPr>
              <w:t>1.6废气排放量核算</w:t>
            </w:r>
          </w:p>
          <w:p w14:paraId="57069B4B">
            <w:pPr>
              <w:spacing w:line="460" w:lineRule="exact"/>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 xml:space="preserve">39 </w:t>
            </w:r>
            <w:r>
              <w:rPr>
                <w:b/>
                <w:bCs/>
                <w:color w:val="000000" w:themeColor="text1"/>
                <w:sz w:val="21"/>
                <w:szCs w:val="21"/>
              </w:rPr>
              <w:t xml:space="preserve"> 本项目大气污染物有组织排放量核算表 </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561"/>
              <w:gridCol w:w="1040"/>
              <w:gridCol w:w="1570"/>
              <w:gridCol w:w="1277"/>
              <w:gridCol w:w="1135"/>
            </w:tblGrid>
            <w:tr w14:paraId="0B97B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tcBorders>
                    <w:tl2br w:val="nil"/>
                    <w:tr2bl w:val="nil"/>
                  </w:tcBorders>
                  <w:vAlign w:val="center"/>
                </w:tcPr>
                <w:p w14:paraId="6123987D">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序号</w:t>
                  </w:r>
                </w:p>
              </w:tc>
              <w:tc>
                <w:tcPr>
                  <w:tcW w:w="1590" w:type="pct"/>
                  <w:tcBorders>
                    <w:tl2br w:val="nil"/>
                    <w:tr2bl w:val="nil"/>
                  </w:tcBorders>
                  <w:vAlign w:val="center"/>
                </w:tcPr>
                <w:p w14:paraId="4BA04A08">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排放口编号</w:t>
                  </w:r>
                </w:p>
              </w:tc>
              <w:tc>
                <w:tcPr>
                  <w:tcW w:w="646" w:type="pct"/>
                  <w:tcBorders>
                    <w:tl2br w:val="nil"/>
                    <w:tr2bl w:val="nil"/>
                  </w:tcBorders>
                  <w:vAlign w:val="center"/>
                </w:tcPr>
                <w:p w14:paraId="5AE339C2">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975" w:type="pct"/>
                  <w:tcBorders>
                    <w:tl2br w:val="nil"/>
                    <w:tr2bl w:val="nil"/>
                  </w:tcBorders>
                  <w:vAlign w:val="center"/>
                </w:tcPr>
                <w:p w14:paraId="3583D4F7">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核算排放浓度</w:t>
                  </w:r>
                </w:p>
                <w:p w14:paraId="57FFEC9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（mg/m</w:t>
                  </w:r>
                  <w:r>
                    <w:rPr>
                      <w:b/>
                      <w:bCs/>
                      <w:snapToGrid w:val="0"/>
                      <w:color w:val="000000" w:themeColor="text1"/>
                      <w:kern w:val="0"/>
                      <w:sz w:val="21"/>
                      <w:szCs w:val="21"/>
                      <w:vertAlign w:val="superscript"/>
                    </w:rPr>
                    <w:t>3</w:t>
                  </w:r>
                  <w:r>
                    <w:rPr>
                      <w:b/>
                      <w:bCs/>
                      <w:snapToGrid w:val="0"/>
                      <w:color w:val="000000" w:themeColor="text1"/>
                      <w:kern w:val="0"/>
                      <w:sz w:val="21"/>
                      <w:szCs w:val="21"/>
                    </w:rPr>
                    <w:t>）</w:t>
                  </w:r>
                </w:p>
              </w:tc>
              <w:tc>
                <w:tcPr>
                  <w:tcW w:w="793" w:type="pct"/>
                  <w:tcBorders>
                    <w:tl2br w:val="nil"/>
                    <w:tr2bl w:val="nil"/>
                  </w:tcBorders>
                  <w:vAlign w:val="center"/>
                </w:tcPr>
                <w:p w14:paraId="08C17417">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核算排放速率（kg/h）</w:t>
                  </w:r>
                </w:p>
              </w:tc>
              <w:tc>
                <w:tcPr>
                  <w:tcW w:w="703" w:type="pct"/>
                  <w:tcBorders>
                    <w:tl2br w:val="nil"/>
                    <w:tr2bl w:val="nil"/>
                  </w:tcBorders>
                  <w:vAlign w:val="center"/>
                </w:tcPr>
                <w:p w14:paraId="3CC79041">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核算年排放量（t/a）</w:t>
                  </w:r>
                </w:p>
              </w:tc>
            </w:tr>
            <w:tr w14:paraId="4B825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4B389363">
                  <w:pPr>
                    <w:spacing w:line="240" w:lineRule="auto"/>
                    <w:ind w:firstLine="0" w:firstLineChars="0"/>
                    <w:jc w:val="center"/>
                    <w:rPr>
                      <w:color w:val="000000" w:themeColor="text1"/>
                      <w:sz w:val="21"/>
                      <w:szCs w:val="21"/>
                    </w:rPr>
                  </w:pPr>
                  <w:r>
                    <w:rPr>
                      <w:color w:val="000000" w:themeColor="text1"/>
                      <w:sz w:val="21"/>
                      <w:szCs w:val="21"/>
                    </w:rPr>
                    <w:t>一般排放口</w:t>
                  </w:r>
                </w:p>
              </w:tc>
            </w:tr>
            <w:tr w14:paraId="75246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restart"/>
                  <w:tcBorders>
                    <w:tl2br w:val="nil"/>
                    <w:tr2bl w:val="nil"/>
                  </w:tcBorders>
                  <w:vAlign w:val="center"/>
                </w:tcPr>
                <w:p w14:paraId="52D672D8">
                  <w:pPr>
                    <w:spacing w:line="240" w:lineRule="auto"/>
                    <w:ind w:firstLine="0" w:firstLineChars="0"/>
                    <w:jc w:val="center"/>
                    <w:rPr>
                      <w:color w:val="000000" w:themeColor="text1"/>
                      <w:sz w:val="21"/>
                      <w:szCs w:val="21"/>
                    </w:rPr>
                  </w:pPr>
                  <w:r>
                    <w:rPr>
                      <w:color w:val="000000" w:themeColor="text1"/>
                      <w:sz w:val="21"/>
                      <w:szCs w:val="21"/>
                    </w:rPr>
                    <w:t>1</w:t>
                  </w:r>
                </w:p>
              </w:tc>
              <w:tc>
                <w:tcPr>
                  <w:tcW w:w="1590" w:type="pct"/>
                  <w:vMerge w:val="restart"/>
                  <w:tcBorders>
                    <w:tl2br w:val="nil"/>
                    <w:tr2bl w:val="nil"/>
                  </w:tcBorders>
                  <w:vAlign w:val="center"/>
                </w:tcPr>
                <w:p w14:paraId="606EB820">
                  <w:pPr>
                    <w:pStyle w:val="35"/>
                    <w:ind w:left="0" w:leftChars="0" w:right="0" w:rightChars="0"/>
                    <w:rPr>
                      <w:color w:val="000000" w:themeColor="text1"/>
                      <w:kern w:val="2"/>
                    </w:rPr>
                  </w:pPr>
                  <w:r>
                    <w:rPr>
                      <w:rFonts w:hint="eastAsia"/>
                      <w:color w:val="000000" w:themeColor="text1"/>
                    </w:rPr>
                    <w:t>“沙克龙除尘器+布袋除尘器”排气筒（DA001）</w:t>
                  </w:r>
                </w:p>
              </w:tc>
              <w:tc>
                <w:tcPr>
                  <w:tcW w:w="646" w:type="pct"/>
                  <w:tcBorders>
                    <w:tl2br w:val="nil"/>
                    <w:tr2bl w:val="nil"/>
                  </w:tcBorders>
                  <w:vAlign w:val="center"/>
                </w:tcPr>
                <w:p w14:paraId="4332A010">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570" w:type="dxa"/>
                  <w:tcBorders>
                    <w:tl2br w:val="nil"/>
                    <w:tr2bl w:val="nil"/>
                  </w:tcBorders>
                  <w:shd w:val="clear" w:color="auto" w:fill="auto"/>
                  <w:vAlign w:val="center"/>
                </w:tcPr>
                <w:p w14:paraId="61BA008B">
                  <w:pPr>
                    <w:spacing w:line="0" w:lineRule="atLeast"/>
                    <w:ind w:firstLine="0" w:firstLineChars="0"/>
                    <w:jc w:val="center"/>
                    <w:rPr>
                      <w:bCs/>
                      <w:color w:val="000000" w:themeColor="text1"/>
                      <w:sz w:val="21"/>
                      <w:szCs w:val="21"/>
                    </w:rPr>
                  </w:pPr>
                  <w:r>
                    <w:rPr>
                      <w:rFonts w:hint="eastAsia"/>
                      <w:color w:val="000000" w:themeColor="text1"/>
                      <w:sz w:val="21"/>
                      <w:szCs w:val="21"/>
                    </w:rPr>
                    <w:t>1.5（折算浓度25.0）</w:t>
                  </w:r>
                </w:p>
              </w:tc>
              <w:tc>
                <w:tcPr>
                  <w:tcW w:w="1277" w:type="dxa"/>
                  <w:tcBorders>
                    <w:tl2br w:val="nil"/>
                    <w:tr2bl w:val="nil"/>
                  </w:tcBorders>
                  <w:shd w:val="clear" w:color="auto" w:fill="auto"/>
                  <w:vAlign w:val="center"/>
                </w:tcPr>
                <w:p w14:paraId="166F405B">
                  <w:pPr>
                    <w:spacing w:line="0" w:lineRule="atLeast"/>
                    <w:ind w:firstLine="0" w:firstLineChars="0"/>
                    <w:jc w:val="center"/>
                    <w:rPr>
                      <w:bCs/>
                      <w:color w:val="000000" w:themeColor="text1"/>
                      <w:sz w:val="21"/>
                      <w:szCs w:val="21"/>
                    </w:rPr>
                  </w:pPr>
                  <w:r>
                    <w:rPr>
                      <w:rFonts w:hint="eastAsia"/>
                      <w:color w:val="000000" w:themeColor="text1"/>
                      <w:sz w:val="21"/>
                      <w:szCs w:val="21"/>
                    </w:rPr>
                    <w:t>0.029</w:t>
                  </w:r>
                </w:p>
              </w:tc>
              <w:tc>
                <w:tcPr>
                  <w:tcW w:w="1133" w:type="dxa"/>
                  <w:tcBorders>
                    <w:tl2br w:val="nil"/>
                    <w:tr2bl w:val="nil"/>
                  </w:tcBorders>
                  <w:shd w:val="clear" w:color="auto" w:fill="auto"/>
                  <w:vAlign w:val="center"/>
                </w:tcPr>
                <w:p w14:paraId="6EB4E1D7">
                  <w:pPr>
                    <w:spacing w:line="0" w:lineRule="atLeast"/>
                    <w:ind w:firstLine="0" w:firstLineChars="0"/>
                    <w:jc w:val="center"/>
                    <w:rPr>
                      <w:bCs/>
                      <w:color w:val="000000" w:themeColor="text1"/>
                      <w:sz w:val="21"/>
                      <w:szCs w:val="21"/>
                    </w:rPr>
                  </w:pPr>
                  <w:r>
                    <w:rPr>
                      <w:rFonts w:hint="eastAsia"/>
                      <w:color w:val="000000" w:themeColor="text1"/>
                      <w:sz w:val="21"/>
                      <w:szCs w:val="21"/>
                    </w:rPr>
                    <w:t>0.052</w:t>
                  </w:r>
                </w:p>
              </w:tc>
            </w:tr>
            <w:tr w14:paraId="21BB3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5A8FB2CA">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13B00411">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09D851DF">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570" w:type="dxa"/>
                  <w:tcBorders>
                    <w:tl2br w:val="nil"/>
                    <w:tr2bl w:val="nil"/>
                  </w:tcBorders>
                  <w:shd w:val="clear" w:color="auto" w:fill="auto"/>
                  <w:vAlign w:val="center"/>
                </w:tcPr>
                <w:p w14:paraId="0D0364B0">
                  <w:pPr>
                    <w:spacing w:line="0" w:lineRule="atLeast"/>
                    <w:ind w:firstLine="0" w:firstLineChars="0"/>
                    <w:jc w:val="center"/>
                    <w:rPr>
                      <w:bCs/>
                      <w:color w:val="000000" w:themeColor="text1"/>
                      <w:sz w:val="21"/>
                      <w:szCs w:val="21"/>
                    </w:rPr>
                  </w:pPr>
                  <w:r>
                    <w:rPr>
                      <w:rFonts w:hint="eastAsia"/>
                      <w:color w:val="000000" w:themeColor="text1"/>
                      <w:sz w:val="21"/>
                      <w:szCs w:val="21"/>
                    </w:rPr>
                    <w:t>7.8（折算浓度130.2）</w:t>
                  </w:r>
                </w:p>
              </w:tc>
              <w:tc>
                <w:tcPr>
                  <w:tcW w:w="1277" w:type="dxa"/>
                  <w:tcBorders>
                    <w:tl2br w:val="nil"/>
                    <w:tr2bl w:val="nil"/>
                  </w:tcBorders>
                  <w:shd w:val="clear" w:color="auto" w:fill="auto"/>
                  <w:vAlign w:val="center"/>
                </w:tcPr>
                <w:p w14:paraId="307EFCFE">
                  <w:pPr>
                    <w:spacing w:line="0" w:lineRule="atLeast"/>
                    <w:ind w:firstLine="0" w:firstLineChars="0"/>
                    <w:jc w:val="center"/>
                    <w:rPr>
                      <w:bCs/>
                      <w:color w:val="000000" w:themeColor="text1"/>
                      <w:sz w:val="21"/>
                      <w:szCs w:val="21"/>
                    </w:rPr>
                  </w:pPr>
                  <w:r>
                    <w:rPr>
                      <w:rFonts w:hint="eastAsia"/>
                      <w:color w:val="000000" w:themeColor="text1"/>
                      <w:sz w:val="21"/>
                      <w:szCs w:val="21"/>
                    </w:rPr>
                    <w:t>0.155</w:t>
                  </w:r>
                </w:p>
              </w:tc>
              <w:tc>
                <w:tcPr>
                  <w:tcW w:w="1133" w:type="dxa"/>
                  <w:tcBorders>
                    <w:tl2br w:val="nil"/>
                    <w:tr2bl w:val="nil"/>
                  </w:tcBorders>
                  <w:shd w:val="clear" w:color="auto" w:fill="auto"/>
                  <w:vAlign w:val="center"/>
                </w:tcPr>
                <w:p w14:paraId="07363822">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5C964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27476B2D">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4066B70B">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5657563F">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570" w:type="dxa"/>
                  <w:tcBorders>
                    <w:tl2br w:val="nil"/>
                    <w:tr2bl w:val="nil"/>
                  </w:tcBorders>
                  <w:shd w:val="clear" w:color="auto" w:fill="auto"/>
                  <w:vAlign w:val="center"/>
                </w:tcPr>
                <w:p w14:paraId="3DAC2FF1">
                  <w:pPr>
                    <w:spacing w:line="0" w:lineRule="atLeast"/>
                    <w:ind w:firstLine="0" w:firstLineChars="0"/>
                    <w:jc w:val="center"/>
                    <w:rPr>
                      <w:bCs/>
                      <w:color w:val="000000" w:themeColor="text1"/>
                      <w:sz w:val="21"/>
                      <w:szCs w:val="21"/>
                    </w:rPr>
                  </w:pPr>
                  <w:r>
                    <w:rPr>
                      <w:rFonts w:hint="eastAsia"/>
                      <w:color w:val="000000" w:themeColor="text1"/>
                      <w:sz w:val="21"/>
                      <w:szCs w:val="21"/>
                    </w:rPr>
                    <w:t>9.3（折算浓度155.2）</w:t>
                  </w:r>
                </w:p>
              </w:tc>
              <w:tc>
                <w:tcPr>
                  <w:tcW w:w="1277" w:type="dxa"/>
                  <w:tcBorders>
                    <w:tl2br w:val="nil"/>
                    <w:tr2bl w:val="nil"/>
                  </w:tcBorders>
                  <w:shd w:val="clear" w:color="auto" w:fill="auto"/>
                  <w:vAlign w:val="center"/>
                </w:tcPr>
                <w:p w14:paraId="15F1595E">
                  <w:pPr>
                    <w:spacing w:line="0" w:lineRule="atLeast"/>
                    <w:ind w:firstLine="0" w:firstLineChars="0"/>
                    <w:jc w:val="center"/>
                    <w:rPr>
                      <w:bCs/>
                      <w:color w:val="000000" w:themeColor="text1"/>
                      <w:sz w:val="21"/>
                      <w:szCs w:val="21"/>
                    </w:rPr>
                  </w:pPr>
                  <w:r>
                    <w:rPr>
                      <w:rFonts w:hint="eastAsia"/>
                      <w:color w:val="000000" w:themeColor="text1"/>
                      <w:sz w:val="21"/>
                      <w:szCs w:val="21"/>
                    </w:rPr>
                    <w:t>0.186</w:t>
                  </w:r>
                </w:p>
              </w:tc>
              <w:tc>
                <w:tcPr>
                  <w:tcW w:w="1133" w:type="dxa"/>
                  <w:tcBorders>
                    <w:tl2br w:val="nil"/>
                    <w:tr2bl w:val="nil"/>
                  </w:tcBorders>
                  <w:shd w:val="clear" w:color="auto" w:fill="auto"/>
                  <w:vAlign w:val="center"/>
                </w:tcPr>
                <w:p w14:paraId="119AA397">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6D5EA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06590F3C">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524F6511">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4340D382">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570" w:type="dxa"/>
                  <w:tcBorders>
                    <w:tl2br w:val="nil"/>
                    <w:tr2bl w:val="nil"/>
                  </w:tcBorders>
                  <w:shd w:val="clear" w:color="auto" w:fill="auto"/>
                  <w:vAlign w:val="center"/>
                </w:tcPr>
                <w:p w14:paraId="37C58877">
                  <w:pPr>
                    <w:spacing w:line="0" w:lineRule="atLeast"/>
                    <w:ind w:firstLine="0" w:firstLineChars="0"/>
                    <w:jc w:val="center"/>
                    <w:rPr>
                      <w:color w:val="000000" w:themeColor="text1"/>
                      <w:sz w:val="21"/>
                      <w:szCs w:val="21"/>
                    </w:rPr>
                  </w:pPr>
                  <w:r>
                    <w:rPr>
                      <w:rFonts w:hint="eastAsia"/>
                      <w:color w:val="000000" w:themeColor="text1"/>
                      <w:sz w:val="21"/>
                      <w:szCs w:val="21"/>
                    </w:rPr>
                    <w:t>4.5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5</w:t>
                  </w:r>
                  <w:r>
                    <w:rPr>
                      <w:rFonts w:hint="eastAsia"/>
                      <w:color w:val="000000" w:themeColor="text1"/>
                      <w:sz w:val="21"/>
                      <w:szCs w:val="21"/>
                    </w:rPr>
                    <w:t>（折算浓度7.5</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4</w:t>
                  </w:r>
                  <w:r>
                    <w:rPr>
                      <w:rFonts w:hint="eastAsia"/>
                      <w:color w:val="000000" w:themeColor="text1"/>
                      <w:sz w:val="21"/>
                      <w:szCs w:val="21"/>
                    </w:rPr>
                    <w:t>）</w:t>
                  </w:r>
                </w:p>
              </w:tc>
              <w:tc>
                <w:tcPr>
                  <w:tcW w:w="1277" w:type="dxa"/>
                  <w:tcBorders>
                    <w:tl2br w:val="nil"/>
                    <w:tr2bl w:val="nil"/>
                  </w:tcBorders>
                  <w:shd w:val="clear" w:color="auto" w:fill="auto"/>
                  <w:vAlign w:val="center"/>
                </w:tcPr>
                <w:p w14:paraId="7B253940">
                  <w:pPr>
                    <w:spacing w:line="0" w:lineRule="atLeast"/>
                    <w:ind w:firstLine="0" w:firstLineChars="0"/>
                    <w:jc w:val="center"/>
                    <w:rPr>
                      <w:color w:val="000000" w:themeColor="text1"/>
                      <w:sz w:val="21"/>
                      <w:szCs w:val="21"/>
                    </w:rPr>
                  </w:pPr>
                  <w:r>
                    <w:rPr>
                      <w:rFonts w:hint="eastAsia"/>
                      <w:color w:val="000000" w:themeColor="text1"/>
                      <w:kern w:val="0"/>
                      <w:sz w:val="21"/>
                      <w:szCs w:val="21"/>
                    </w:rPr>
                    <w:t>9.072</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7</w:t>
                  </w:r>
                </w:p>
              </w:tc>
              <w:tc>
                <w:tcPr>
                  <w:tcW w:w="1133" w:type="dxa"/>
                  <w:tcBorders>
                    <w:tl2br w:val="nil"/>
                    <w:tr2bl w:val="nil"/>
                  </w:tcBorders>
                  <w:shd w:val="clear" w:color="auto" w:fill="auto"/>
                  <w:vAlign w:val="center"/>
                </w:tcPr>
                <w:p w14:paraId="3F754C68">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1A050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vMerge w:val="continue"/>
                  <w:tcBorders>
                    <w:tl2br w:val="nil"/>
                    <w:tr2bl w:val="nil"/>
                  </w:tcBorders>
                  <w:vAlign w:val="center"/>
                </w:tcPr>
                <w:p w14:paraId="3CF0883A">
                  <w:pPr>
                    <w:spacing w:line="240" w:lineRule="auto"/>
                    <w:ind w:firstLine="0" w:firstLineChars="0"/>
                    <w:jc w:val="center"/>
                    <w:rPr>
                      <w:color w:val="000000" w:themeColor="text1"/>
                      <w:sz w:val="21"/>
                      <w:szCs w:val="21"/>
                    </w:rPr>
                  </w:pPr>
                </w:p>
              </w:tc>
              <w:tc>
                <w:tcPr>
                  <w:tcW w:w="1590" w:type="pct"/>
                  <w:vMerge w:val="continue"/>
                  <w:tcBorders>
                    <w:tl2br w:val="nil"/>
                    <w:tr2bl w:val="nil"/>
                  </w:tcBorders>
                  <w:vAlign w:val="center"/>
                </w:tcPr>
                <w:p w14:paraId="2E9F1691">
                  <w:pPr>
                    <w:autoSpaceDE w:val="0"/>
                    <w:autoSpaceDN w:val="0"/>
                    <w:adjustRightInd w:val="0"/>
                    <w:snapToGrid w:val="0"/>
                    <w:spacing w:line="240" w:lineRule="auto"/>
                    <w:ind w:firstLine="0" w:firstLineChars="0"/>
                    <w:jc w:val="center"/>
                    <w:rPr>
                      <w:color w:val="000000" w:themeColor="text1"/>
                      <w:sz w:val="21"/>
                      <w:szCs w:val="21"/>
                    </w:rPr>
                  </w:pPr>
                </w:p>
              </w:tc>
              <w:tc>
                <w:tcPr>
                  <w:tcW w:w="646" w:type="pct"/>
                  <w:tcBorders>
                    <w:tl2br w:val="nil"/>
                    <w:tr2bl w:val="nil"/>
                  </w:tcBorders>
                  <w:vAlign w:val="center"/>
                </w:tcPr>
                <w:p w14:paraId="5E5D0BB7">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975" w:type="pct"/>
                  <w:tcBorders>
                    <w:tl2br w:val="nil"/>
                    <w:tr2bl w:val="nil"/>
                  </w:tcBorders>
                  <w:shd w:val="clear" w:color="auto" w:fill="auto"/>
                  <w:vAlign w:val="center"/>
                </w:tcPr>
                <w:p w14:paraId="6B23594C">
                  <w:pPr>
                    <w:spacing w:line="0" w:lineRule="atLeast"/>
                    <w:ind w:firstLine="0" w:firstLineChars="0"/>
                    <w:jc w:val="center"/>
                    <w:rPr>
                      <w:color w:val="000000" w:themeColor="text1"/>
                      <w:sz w:val="21"/>
                      <w:szCs w:val="21"/>
                    </w:rPr>
                  </w:pPr>
                  <w:r>
                    <w:rPr>
                      <w:rFonts w:hint="eastAsia"/>
                      <w:color w:val="000000" w:themeColor="text1"/>
                      <w:sz w:val="21"/>
                      <w:szCs w:val="21"/>
                    </w:rPr>
                    <w:t>﹤1级</w:t>
                  </w:r>
                </w:p>
              </w:tc>
              <w:tc>
                <w:tcPr>
                  <w:tcW w:w="793" w:type="pct"/>
                  <w:tcBorders>
                    <w:tl2br w:val="nil"/>
                    <w:tr2bl w:val="nil"/>
                  </w:tcBorders>
                  <w:shd w:val="clear" w:color="auto" w:fill="auto"/>
                  <w:vAlign w:val="center"/>
                </w:tcPr>
                <w:p w14:paraId="63794234">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703" w:type="pct"/>
                  <w:tcBorders>
                    <w:tl2br w:val="nil"/>
                    <w:tr2bl w:val="nil"/>
                  </w:tcBorders>
                  <w:shd w:val="clear" w:color="auto" w:fill="auto"/>
                  <w:vAlign w:val="center"/>
                </w:tcPr>
                <w:p w14:paraId="2FC30898">
                  <w:pPr>
                    <w:spacing w:line="0" w:lineRule="atLeast"/>
                    <w:ind w:firstLine="0" w:firstLineChars="0"/>
                    <w:jc w:val="center"/>
                    <w:rPr>
                      <w:color w:val="000000" w:themeColor="text1"/>
                      <w:sz w:val="21"/>
                      <w:szCs w:val="21"/>
                    </w:rPr>
                  </w:pPr>
                  <w:r>
                    <w:rPr>
                      <w:rFonts w:hint="eastAsia"/>
                      <w:color w:val="000000" w:themeColor="text1"/>
                      <w:sz w:val="21"/>
                      <w:szCs w:val="21"/>
                    </w:rPr>
                    <w:t>/</w:t>
                  </w:r>
                </w:p>
              </w:tc>
            </w:tr>
            <w:tr w14:paraId="6010F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tcBorders>
                    <w:tl2br w:val="nil"/>
                    <w:tr2bl w:val="nil"/>
                  </w:tcBorders>
                  <w:vAlign w:val="center"/>
                </w:tcPr>
                <w:p w14:paraId="6C6B2E04">
                  <w:pPr>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590" w:type="pct"/>
                  <w:tcBorders>
                    <w:tl2br w:val="nil"/>
                    <w:tr2bl w:val="nil"/>
                  </w:tcBorders>
                  <w:shd w:val="clear" w:color="auto" w:fill="auto"/>
                  <w:vAlign w:val="center"/>
                </w:tcPr>
                <w:p w14:paraId="57E0593A">
                  <w:pPr>
                    <w:pStyle w:val="35"/>
                    <w:ind w:left="0" w:leftChars="0" w:right="0" w:rightChars="0"/>
                    <w:rPr>
                      <w:color w:val="000000" w:themeColor="text1"/>
                      <w:kern w:val="2"/>
                    </w:rPr>
                  </w:pPr>
                  <w:r>
                    <w:rPr>
                      <w:rFonts w:hint="eastAsia"/>
                      <w:color w:val="000000" w:themeColor="text1"/>
                    </w:rPr>
                    <w:t>布袋除尘器排气筒（DA002）</w:t>
                  </w:r>
                </w:p>
              </w:tc>
              <w:tc>
                <w:tcPr>
                  <w:tcW w:w="646" w:type="pct"/>
                  <w:tcBorders>
                    <w:tl2br w:val="nil"/>
                    <w:tr2bl w:val="nil"/>
                  </w:tcBorders>
                  <w:shd w:val="clear" w:color="auto" w:fill="auto"/>
                  <w:vAlign w:val="center"/>
                </w:tcPr>
                <w:p w14:paraId="1A8E6022">
                  <w:pPr>
                    <w:spacing w:line="240" w:lineRule="auto"/>
                    <w:ind w:firstLine="0" w:firstLineChars="0"/>
                    <w:jc w:val="center"/>
                    <w:rPr>
                      <w:color w:val="000000" w:themeColor="text1"/>
                      <w:sz w:val="21"/>
                      <w:szCs w:val="21"/>
                    </w:rPr>
                  </w:pPr>
                  <w:r>
                    <w:rPr>
                      <w:rFonts w:hint="eastAsia"/>
                      <w:color w:val="000000" w:themeColor="text1"/>
                      <w:sz w:val="21"/>
                      <w:szCs w:val="21"/>
                    </w:rPr>
                    <w:t>颗粒物</w:t>
                  </w:r>
                </w:p>
              </w:tc>
              <w:tc>
                <w:tcPr>
                  <w:tcW w:w="1570" w:type="dxa"/>
                  <w:tcBorders>
                    <w:tl2br w:val="nil"/>
                    <w:tr2bl w:val="nil"/>
                  </w:tcBorders>
                  <w:shd w:val="clear" w:color="auto" w:fill="auto"/>
                  <w:vAlign w:val="center"/>
                </w:tcPr>
                <w:p w14:paraId="58B907A5">
                  <w:pPr>
                    <w:spacing w:line="0" w:lineRule="atLeast"/>
                    <w:ind w:firstLine="0" w:firstLineChars="0"/>
                    <w:jc w:val="center"/>
                    <w:rPr>
                      <w:color w:val="000000" w:themeColor="text1"/>
                      <w:sz w:val="21"/>
                      <w:szCs w:val="21"/>
                    </w:rPr>
                  </w:pPr>
                  <w:r>
                    <w:rPr>
                      <w:rFonts w:hint="eastAsia"/>
                      <w:color w:val="000000" w:themeColor="text1"/>
                      <w:sz w:val="21"/>
                      <w:szCs w:val="21"/>
                    </w:rPr>
                    <w:t>4.4</w:t>
                  </w:r>
                </w:p>
              </w:tc>
              <w:tc>
                <w:tcPr>
                  <w:tcW w:w="1277" w:type="dxa"/>
                  <w:tcBorders>
                    <w:tl2br w:val="nil"/>
                    <w:tr2bl w:val="nil"/>
                  </w:tcBorders>
                  <w:shd w:val="clear" w:color="auto" w:fill="auto"/>
                  <w:vAlign w:val="center"/>
                </w:tcPr>
                <w:p w14:paraId="62B562D0">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54</w:t>
                  </w:r>
                </w:p>
              </w:tc>
              <w:tc>
                <w:tcPr>
                  <w:tcW w:w="1133" w:type="dxa"/>
                  <w:tcBorders>
                    <w:tl2br w:val="nil"/>
                    <w:tr2bl w:val="nil"/>
                  </w:tcBorders>
                  <w:shd w:val="clear" w:color="auto" w:fill="auto"/>
                  <w:vAlign w:val="center"/>
                </w:tcPr>
                <w:p w14:paraId="77446BCA">
                  <w:pPr>
                    <w:spacing w:line="0" w:lineRule="atLeast"/>
                    <w:ind w:firstLine="0" w:firstLineChars="0"/>
                    <w:jc w:val="center"/>
                    <w:rPr>
                      <w:color w:val="000000" w:themeColor="text1"/>
                      <w:sz w:val="21"/>
                      <w:szCs w:val="21"/>
                    </w:rPr>
                  </w:pPr>
                  <w:r>
                    <w:rPr>
                      <w:color w:val="000000" w:themeColor="text1"/>
                      <w:kern w:val="0"/>
                      <w:sz w:val="21"/>
                      <w:szCs w:val="21"/>
                    </w:rPr>
                    <w:t>0.1</w:t>
                  </w:r>
                  <w:r>
                    <w:rPr>
                      <w:rFonts w:hint="eastAsia"/>
                      <w:color w:val="000000" w:themeColor="text1"/>
                      <w:kern w:val="0"/>
                      <w:sz w:val="21"/>
                      <w:szCs w:val="21"/>
                    </w:rPr>
                    <w:t>69</w:t>
                  </w:r>
                </w:p>
              </w:tc>
            </w:tr>
            <w:tr w14:paraId="2B23B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restart"/>
                  <w:tcBorders>
                    <w:tl2br w:val="nil"/>
                    <w:tr2bl w:val="nil"/>
                  </w:tcBorders>
                  <w:vAlign w:val="center"/>
                </w:tcPr>
                <w:p w14:paraId="67850CC4">
                  <w:pPr>
                    <w:spacing w:line="240" w:lineRule="auto"/>
                    <w:ind w:firstLine="0" w:firstLineChars="0"/>
                    <w:jc w:val="center"/>
                    <w:rPr>
                      <w:color w:val="000000" w:themeColor="text1"/>
                      <w:sz w:val="21"/>
                      <w:szCs w:val="21"/>
                    </w:rPr>
                  </w:pPr>
                  <w:r>
                    <w:rPr>
                      <w:color w:val="000000" w:themeColor="text1"/>
                      <w:sz w:val="21"/>
                      <w:szCs w:val="21"/>
                    </w:rPr>
                    <w:t>一般排放口合计</w:t>
                  </w:r>
                </w:p>
              </w:tc>
              <w:tc>
                <w:tcPr>
                  <w:tcW w:w="2414" w:type="pct"/>
                  <w:gridSpan w:val="3"/>
                  <w:tcBorders>
                    <w:tl2br w:val="nil"/>
                    <w:tr2bl w:val="nil"/>
                  </w:tcBorders>
                  <w:vAlign w:val="center"/>
                </w:tcPr>
                <w:p w14:paraId="2FE17B42">
                  <w:pPr>
                    <w:pStyle w:val="15"/>
                    <w:adjustRightInd w:val="0"/>
                    <w:snapToGrid w:val="0"/>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颗粒物</w:t>
                  </w:r>
                </w:p>
              </w:tc>
              <w:tc>
                <w:tcPr>
                  <w:tcW w:w="703" w:type="pct"/>
                  <w:tcBorders>
                    <w:tl2br w:val="nil"/>
                    <w:tr2bl w:val="nil"/>
                  </w:tcBorders>
                  <w:vAlign w:val="center"/>
                </w:tcPr>
                <w:p w14:paraId="3CF78810">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0.221</w:t>
                  </w:r>
                </w:p>
              </w:tc>
            </w:tr>
            <w:tr w14:paraId="71F24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2389F7C1">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19F0A2B9">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133" w:type="dxa"/>
                  <w:tcBorders>
                    <w:tl2br w:val="nil"/>
                    <w:tr2bl w:val="nil"/>
                  </w:tcBorders>
                  <w:shd w:val="clear" w:color="auto" w:fill="auto"/>
                  <w:vAlign w:val="center"/>
                </w:tcPr>
                <w:p w14:paraId="6C1C8971">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65CB3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49A01EB5">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48BC2A1F">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133" w:type="dxa"/>
                  <w:tcBorders>
                    <w:tl2br w:val="nil"/>
                    <w:tr2bl w:val="nil"/>
                  </w:tcBorders>
                  <w:shd w:val="clear" w:color="auto" w:fill="auto"/>
                  <w:vAlign w:val="center"/>
                </w:tcPr>
                <w:p w14:paraId="25BC4EB0">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294FE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28A90498">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05B5465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133" w:type="dxa"/>
                  <w:tcBorders>
                    <w:tl2br w:val="nil"/>
                    <w:tr2bl w:val="nil"/>
                  </w:tcBorders>
                  <w:shd w:val="clear" w:color="auto" w:fill="auto"/>
                  <w:vAlign w:val="center"/>
                </w:tcPr>
                <w:p w14:paraId="10C8DF97">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27884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6DA3D471">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17AA0E6F">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703" w:type="pct"/>
                  <w:tcBorders>
                    <w:tl2br w:val="nil"/>
                    <w:tr2bl w:val="nil"/>
                  </w:tcBorders>
                  <w:shd w:val="clear" w:color="auto" w:fill="auto"/>
                  <w:vAlign w:val="center"/>
                </w:tcPr>
                <w:p w14:paraId="76063D77">
                  <w:pPr>
                    <w:spacing w:line="0" w:lineRule="atLeast"/>
                    <w:ind w:firstLine="0" w:firstLineChars="0"/>
                    <w:jc w:val="center"/>
                    <w:rPr>
                      <w:color w:val="000000" w:themeColor="text1"/>
                      <w:sz w:val="21"/>
                      <w:szCs w:val="21"/>
                    </w:rPr>
                  </w:pPr>
                  <w:r>
                    <w:rPr>
                      <w:rFonts w:hint="eastAsia"/>
                      <w:color w:val="000000" w:themeColor="text1"/>
                      <w:sz w:val="21"/>
                      <w:szCs w:val="21"/>
                    </w:rPr>
                    <w:t>/</w:t>
                  </w:r>
                </w:p>
              </w:tc>
            </w:tr>
            <w:tr w14:paraId="7F8DA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restart"/>
                  <w:tcBorders>
                    <w:tl2br w:val="nil"/>
                    <w:tr2bl w:val="nil"/>
                  </w:tcBorders>
                  <w:vAlign w:val="center"/>
                </w:tcPr>
                <w:p w14:paraId="2A3BDBE5">
                  <w:pPr>
                    <w:spacing w:line="240" w:lineRule="auto"/>
                    <w:ind w:firstLine="0" w:firstLineChars="0"/>
                    <w:jc w:val="center"/>
                    <w:rPr>
                      <w:color w:val="000000" w:themeColor="text1"/>
                      <w:sz w:val="21"/>
                      <w:szCs w:val="21"/>
                    </w:rPr>
                  </w:pPr>
                  <w:r>
                    <w:rPr>
                      <w:color w:val="000000" w:themeColor="text1"/>
                      <w:sz w:val="21"/>
                      <w:szCs w:val="21"/>
                    </w:rPr>
                    <w:t>有组织排放总计</w:t>
                  </w:r>
                </w:p>
              </w:tc>
              <w:tc>
                <w:tcPr>
                  <w:tcW w:w="2414" w:type="pct"/>
                  <w:gridSpan w:val="3"/>
                  <w:tcBorders>
                    <w:tl2br w:val="nil"/>
                    <w:tr2bl w:val="nil"/>
                  </w:tcBorders>
                  <w:vAlign w:val="center"/>
                </w:tcPr>
                <w:p w14:paraId="2734482C">
                  <w:pPr>
                    <w:pStyle w:val="15"/>
                    <w:adjustRightInd w:val="0"/>
                    <w:snapToGrid w:val="0"/>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颗粒物</w:t>
                  </w:r>
                </w:p>
              </w:tc>
              <w:tc>
                <w:tcPr>
                  <w:tcW w:w="703" w:type="pct"/>
                  <w:tcBorders>
                    <w:tl2br w:val="nil"/>
                    <w:tr2bl w:val="nil"/>
                  </w:tcBorders>
                  <w:shd w:val="clear" w:color="auto" w:fill="auto"/>
                  <w:vAlign w:val="center"/>
                </w:tcPr>
                <w:p w14:paraId="35D7F6FC">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0.221</w:t>
                  </w:r>
                </w:p>
              </w:tc>
            </w:tr>
            <w:tr w14:paraId="2E7C6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576A5676">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51C7DAA0">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133" w:type="dxa"/>
                  <w:tcBorders>
                    <w:tl2br w:val="nil"/>
                    <w:tr2bl w:val="nil"/>
                  </w:tcBorders>
                  <w:shd w:val="clear" w:color="auto" w:fill="auto"/>
                  <w:vAlign w:val="center"/>
                </w:tcPr>
                <w:p w14:paraId="5291CA91">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57240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40D7F0E2">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11B9C143">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133" w:type="dxa"/>
                  <w:tcBorders>
                    <w:tl2br w:val="nil"/>
                    <w:tr2bl w:val="nil"/>
                  </w:tcBorders>
                  <w:shd w:val="clear" w:color="auto" w:fill="auto"/>
                  <w:vAlign w:val="center"/>
                </w:tcPr>
                <w:p w14:paraId="6F17063B">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69CFB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1099CBC1">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2CE265EC">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133" w:type="dxa"/>
                  <w:tcBorders>
                    <w:tl2br w:val="nil"/>
                    <w:tr2bl w:val="nil"/>
                  </w:tcBorders>
                  <w:shd w:val="clear" w:color="auto" w:fill="auto"/>
                  <w:vAlign w:val="center"/>
                </w:tcPr>
                <w:p w14:paraId="23EAD2B9">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1C56E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81" w:type="pct"/>
                  <w:gridSpan w:val="2"/>
                  <w:vMerge w:val="continue"/>
                  <w:tcBorders>
                    <w:tl2br w:val="nil"/>
                    <w:tr2bl w:val="nil"/>
                  </w:tcBorders>
                  <w:vAlign w:val="center"/>
                </w:tcPr>
                <w:p w14:paraId="3630EBD3">
                  <w:pPr>
                    <w:spacing w:line="240" w:lineRule="auto"/>
                    <w:ind w:firstLine="0" w:firstLineChars="0"/>
                    <w:jc w:val="center"/>
                    <w:rPr>
                      <w:color w:val="000000" w:themeColor="text1"/>
                      <w:sz w:val="21"/>
                      <w:szCs w:val="21"/>
                    </w:rPr>
                  </w:pPr>
                </w:p>
              </w:tc>
              <w:tc>
                <w:tcPr>
                  <w:tcW w:w="2414" w:type="pct"/>
                  <w:gridSpan w:val="3"/>
                  <w:tcBorders>
                    <w:tl2br w:val="nil"/>
                    <w:tr2bl w:val="nil"/>
                  </w:tcBorders>
                  <w:shd w:val="clear" w:color="auto" w:fill="auto"/>
                  <w:vAlign w:val="center"/>
                </w:tcPr>
                <w:p w14:paraId="6CAD698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703" w:type="pct"/>
                  <w:tcBorders>
                    <w:tl2br w:val="nil"/>
                    <w:tr2bl w:val="nil"/>
                  </w:tcBorders>
                  <w:shd w:val="clear" w:color="auto" w:fill="auto"/>
                  <w:vAlign w:val="center"/>
                </w:tcPr>
                <w:p w14:paraId="09670E21">
                  <w:pPr>
                    <w:spacing w:line="0" w:lineRule="atLeast"/>
                    <w:ind w:firstLine="0" w:firstLineChars="0"/>
                    <w:jc w:val="center"/>
                    <w:rPr>
                      <w:color w:val="000000" w:themeColor="text1"/>
                      <w:sz w:val="21"/>
                      <w:szCs w:val="21"/>
                    </w:rPr>
                  </w:pPr>
                  <w:r>
                    <w:rPr>
                      <w:rFonts w:hint="eastAsia"/>
                      <w:color w:val="000000" w:themeColor="text1"/>
                      <w:sz w:val="21"/>
                      <w:szCs w:val="21"/>
                    </w:rPr>
                    <w:t>/</w:t>
                  </w:r>
                </w:p>
              </w:tc>
            </w:tr>
          </w:tbl>
          <w:p w14:paraId="03FC9E4F">
            <w:pPr>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40</w:t>
            </w:r>
            <w:r>
              <w:rPr>
                <w:b/>
                <w:bCs/>
                <w:color w:val="000000" w:themeColor="text1"/>
                <w:sz w:val="21"/>
                <w:szCs w:val="21"/>
              </w:rPr>
              <w:t xml:space="preserve">   本项目大气污染物无组织排放量核算表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3"/>
              <w:gridCol w:w="712"/>
              <w:gridCol w:w="1689"/>
              <w:gridCol w:w="856"/>
              <w:gridCol w:w="855"/>
              <w:gridCol w:w="1526"/>
              <w:gridCol w:w="1238"/>
              <w:gridCol w:w="810"/>
            </w:tblGrid>
            <w:tr w14:paraId="1C112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vMerge w:val="restart"/>
                  <w:tcBorders>
                    <w:tl2br w:val="nil"/>
                    <w:tr2bl w:val="nil"/>
                  </w:tcBorders>
                  <w:vAlign w:val="center"/>
                </w:tcPr>
                <w:p w14:paraId="37460C7C">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序号</w:t>
                  </w:r>
                </w:p>
              </w:tc>
              <w:tc>
                <w:tcPr>
                  <w:tcW w:w="442" w:type="pct"/>
                  <w:vMerge w:val="restart"/>
                  <w:tcBorders>
                    <w:tl2br w:val="nil"/>
                    <w:tr2bl w:val="nil"/>
                  </w:tcBorders>
                  <w:vAlign w:val="center"/>
                </w:tcPr>
                <w:p w14:paraId="32D8464E">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排放口编号</w:t>
                  </w:r>
                </w:p>
              </w:tc>
              <w:tc>
                <w:tcPr>
                  <w:tcW w:w="1049" w:type="pct"/>
                  <w:vMerge w:val="restart"/>
                  <w:tcBorders>
                    <w:tl2br w:val="nil"/>
                    <w:tr2bl w:val="nil"/>
                  </w:tcBorders>
                  <w:vAlign w:val="center"/>
                </w:tcPr>
                <w:p w14:paraId="3BD236E9">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产污环节</w:t>
                  </w:r>
                </w:p>
              </w:tc>
              <w:tc>
                <w:tcPr>
                  <w:tcW w:w="531" w:type="pct"/>
                  <w:vMerge w:val="restart"/>
                  <w:tcBorders>
                    <w:tl2br w:val="nil"/>
                    <w:tr2bl w:val="nil"/>
                  </w:tcBorders>
                  <w:vAlign w:val="center"/>
                </w:tcPr>
                <w:p w14:paraId="250C4647">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531" w:type="pct"/>
                  <w:vMerge w:val="restart"/>
                  <w:tcBorders>
                    <w:tl2br w:val="nil"/>
                    <w:tr2bl w:val="nil"/>
                  </w:tcBorders>
                  <w:vAlign w:val="center"/>
                </w:tcPr>
                <w:p w14:paraId="412310EA">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主要污染防治措施</w:t>
                  </w:r>
                </w:p>
              </w:tc>
              <w:tc>
                <w:tcPr>
                  <w:tcW w:w="1716" w:type="pct"/>
                  <w:gridSpan w:val="2"/>
                  <w:tcBorders>
                    <w:tl2br w:val="nil"/>
                    <w:tr2bl w:val="nil"/>
                  </w:tcBorders>
                  <w:vAlign w:val="center"/>
                </w:tcPr>
                <w:p w14:paraId="0DD7C276">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国家或地方污染物排放标准</w:t>
                  </w:r>
                </w:p>
              </w:tc>
              <w:tc>
                <w:tcPr>
                  <w:tcW w:w="501" w:type="pct"/>
                  <w:vMerge w:val="restart"/>
                  <w:tcBorders>
                    <w:tl2br w:val="nil"/>
                    <w:tr2bl w:val="nil"/>
                  </w:tcBorders>
                  <w:vAlign w:val="center"/>
                </w:tcPr>
                <w:p w14:paraId="30AE3B0C">
                  <w:pPr>
                    <w:spacing w:line="240" w:lineRule="auto"/>
                    <w:ind w:firstLine="0" w:firstLineChars="0"/>
                    <w:jc w:val="center"/>
                    <w:rPr>
                      <w:snapToGrid w:val="0"/>
                      <w:color w:val="000000" w:themeColor="text1"/>
                      <w:kern w:val="0"/>
                      <w:sz w:val="21"/>
                      <w:szCs w:val="21"/>
                    </w:rPr>
                  </w:pPr>
                  <w:r>
                    <w:rPr>
                      <w:b/>
                      <w:bCs/>
                      <w:snapToGrid w:val="0"/>
                      <w:color w:val="000000" w:themeColor="text1"/>
                      <w:kern w:val="0"/>
                      <w:sz w:val="21"/>
                      <w:szCs w:val="21"/>
                    </w:rPr>
                    <w:t>年排放量（t/a）</w:t>
                  </w:r>
                </w:p>
              </w:tc>
            </w:tr>
            <w:tr w14:paraId="4E06D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vMerge w:val="continue"/>
                  <w:tcBorders>
                    <w:tl2br w:val="nil"/>
                    <w:tr2bl w:val="nil"/>
                  </w:tcBorders>
                  <w:vAlign w:val="center"/>
                </w:tcPr>
                <w:p w14:paraId="22D00D99">
                  <w:pPr>
                    <w:spacing w:line="240" w:lineRule="auto"/>
                    <w:ind w:firstLine="0" w:firstLineChars="0"/>
                    <w:jc w:val="center"/>
                    <w:rPr>
                      <w:b/>
                      <w:bCs/>
                      <w:snapToGrid w:val="0"/>
                      <w:color w:val="000000" w:themeColor="text1"/>
                      <w:kern w:val="0"/>
                      <w:sz w:val="21"/>
                      <w:szCs w:val="21"/>
                    </w:rPr>
                  </w:pPr>
                </w:p>
              </w:tc>
              <w:tc>
                <w:tcPr>
                  <w:tcW w:w="442" w:type="pct"/>
                  <w:vMerge w:val="continue"/>
                  <w:tcBorders>
                    <w:tl2br w:val="nil"/>
                    <w:tr2bl w:val="nil"/>
                  </w:tcBorders>
                  <w:vAlign w:val="center"/>
                </w:tcPr>
                <w:p w14:paraId="2873FA43">
                  <w:pPr>
                    <w:spacing w:line="240" w:lineRule="auto"/>
                    <w:ind w:firstLine="0" w:firstLineChars="0"/>
                    <w:jc w:val="center"/>
                    <w:rPr>
                      <w:b/>
                      <w:bCs/>
                      <w:snapToGrid w:val="0"/>
                      <w:color w:val="000000" w:themeColor="text1"/>
                      <w:kern w:val="0"/>
                      <w:sz w:val="21"/>
                      <w:szCs w:val="21"/>
                    </w:rPr>
                  </w:pPr>
                </w:p>
              </w:tc>
              <w:tc>
                <w:tcPr>
                  <w:tcW w:w="1049" w:type="pct"/>
                  <w:vMerge w:val="continue"/>
                  <w:tcBorders>
                    <w:tl2br w:val="nil"/>
                    <w:tr2bl w:val="nil"/>
                  </w:tcBorders>
                  <w:vAlign w:val="center"/>
                </w:tcPr>
                <w:p w14:paraId="65B6A1BA">
                  <w:pPr>
                    <w:spacing w:line="240" w:lineRule="auto"/>
                    <w:ind w:firstLine="0" w:firstLineChars="0"/>
                    <w:jc w:val="center"/>
                    <w:rPr>
                      <w:b/>
                      <w:bCs/>
                      <w:snapToGrid w:val="0"/>
                      <w:color w:val="000000" w:themeColor="text1"/>
                      <w:kern w:val="0"/>
                      <w:sz w:val="21"/>
                      <w:szCs w:val="21"/>
                    </w:rPr>
                  </w:pPr>
                </w:p>
              </w:tc>
              <w:tc>
                <w:tcPr>
                  <w:tcW w:w="531" w:type="pct"/>
                  <w:vMerge w:val="continue"/>
                  <w:tcBorders>
                    <w:tl2br w:val="nil"/>
                    <w:tr2bl w:val="nil"/>
                  </w:tcBorders>
                  <w:vAlign w:val="center"/>
                </w:tcPr>
                <w:p w14:paraId="29A2B8F6">
                  <w:pPr>
                    <w:spacing w:line="240" w:lineRule="auto"/>
                    <w:ind w:firstLine="0" w:firstLineChars="0"/>
                    <w:jc w:val="center"/>
                    <w:rPr>
                      <w:b/>
                      <w:bCs/>
                      <w:snapToGrid w:val="0"/>
                      <w:color w:val="000000" w:themeColor="text1"/>
                      <w:kern w:val="0"/>
                      <w:sz w:val="21"/>
                      <w:szCs w:val="21"/>
                    </w:rPr>
                  </w:pPr>
                </w:p>
              </w:tc>
              <w:tc>
                <w:tcPr>
                  <w:tcW w:w="531" w:type="pct"/>
                  <w:vMerge w:val="continue"/>
                  <w:tcBorders>
                    <w:tl2br w:val="nil"/>
                    <w:tr2bl w:val="nil"/>
                  </w:tcBorders>
                  <w:vAlign w:val="center"/>
                </w:tcPr>
                <w:p w14:paraId="032C3DD9">
                  <w:pPr>
                    <w:spacing w:line="240" w:lineRule="auto"/>
                    <w:ind w:firstLine="0" w:firstLineChars="0"/>
                    <w:jc w:val="center"/>
                    <w:rPr>
                      <w:b/>
                      <w:bCs/>
                      <w:snapToGrid w:val="0"/>
                      <w:color w:val="000000" w:themeColor="text1"/>
                      <w:kern w:val="0"/>
                      <w:sz w:val="21"/>
                      <w:szCs w:val="21"/>
                    </w:rPr>
                  </w:pPr>
                </w:p>
              </w:tc>
              <w:tc>
                <w:tcPr>
                  <w:tcW w:w="948" w:type="pct"/>
                  <w:tcBorders>
                    <w:tl2br w:val="nil"/>
                    <w:tr2bl w:val="nil"/>
                  </w:tcBorders>
                  <w:vAlign w:val="center"/>
                </w:tcPr>
                <w:p w14:paraId="077F288C">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标准名称</w:t>
                  </w:r>
                </w:p>
              </w:tc>
              <w:tc>
                <w:tcPr>
                  <w:tcW w:w="767" w:type="pct"/>
                  <w:tcBorders>
                    <w:tl2br w:val="nil"/>
                    <w:tr2bl w:val="nil"/>
                  </w:tcBorders>
                  <w:vAlign w:val="center"/>
                </w:tcPr>
                <w:p w14:paraId="6BEC6173">
                  <w:pPr>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浓度限值/（</w:t>
                  </w:r>
                  <w:r>
                    <w:rPr>
                      <w:rFonts w:hint="eastAsia"/>
                      <w:b/>
                      <w:bCs/>
                      <w:snapToGrid w:val="0"/>
                      <w:color w:val="000000" w:themeColor="text1"/>
                      <w:kern w:val="0"/>
                      <w:sz w:val="21"/>
                      <w:szCs w:val="21"/>
                    </w:rPr>
                    <w:t>m</w:t>
                  </w:r>
                  <w:r>
                    <w:rPr>
                      <w:b/>
                      <w:bCs/>
                      <w:snapToGrid w:val="0"/>
                      <w:color w:val="000000" w:themeColor="text1"/>
                      <w:kern w:val="0"/>
                      <w:sz w:val="21"/>
                      <w:szCs w:val="21"/>
                    </w:rPr>
                    <w:t>g/m</w:t>
                  </w:r>
                  <w:r>
                    <w:rPr>
                      <w:b/>
                      <w:bCs/>
                      <w:snapToGrid w:val="0"/>
                      <w:color w:val="000000" w:themeColor="text1"/>
                      <w:kern w:val="0"/>
                      <w:sz w:val="21"/>
                      <w:szCs w:val="21"/>
                      <w:vertAlign w:val="superscript"/>
                    </w:rPr>
                    <w:t>3</w:t>
                  </w:r>
                  <w:r>
                    <w:rPr>
                      <w:b/>
                      <w:bCs/>
                      <w:snapToGrid w:val="0"/>
                      <w:color w:val="000000" w:themeColor="text1"/>
                      <w:kern w:val="0"/>
                      <w:sz w:val="21"/>
                      <w:szCs w:val="21"/>
                    </w:rPr>
                    <w:t>）</w:t>
                  </w:r>
                </w:p>
              </w:tc>
              <w:tc>
                <w:tcPr>
                  <w:tcW w:w="501" w:type="pct"/>
                  <w:vMerge w:val="continue"/>
                  <w:tcBorders>
                    <w:tl2br w:val="nil"/>
                    <w:tr2bl w:val="nil"/>
                  </w:tcBorders>
                  <w:vAlign w:val="center"/>
                </w:tcPr>
                <w:p w14:paraId="0E02F764">
                  <w:pPr>
                    <w:spacing w:line="240" w:lineRule="auto"/>
                    <w:ind w:firstLine="0" w:firstLineChars="0"/>
                    <w:jc w:val="center"/>
                    <w:rPr>
                      <w:snapToGrid w:val="0"/>
                      <w:color w:val="000000" w:themeColor="text1"/>
                      <w:kern w:val="0"/>
                      <w:sz w:val="21"/>
                      <w:szCs w:val="21"/>
                    </w:rPr>
                  </w:pPr>
                </w:p>
              </w:tc>
            </w:tr>
            <w:tr w14:paraId="21A7E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14:paraId="2B1DBBB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w:t>
                  </w:r>
                </w:p>
              </w:tc>
              <w:tc>
                <w:tcPr>
                  <w:tcW w:w="442" w:type="pct"/>
                  <w:vMerge w:val="restart"/>
                  <w:tcBorders>
                    <w:tl2br w:val="nil"/>
                    <w:tr2bl w:val="nil"/>
                  </w:tcBorders>
                  <w:vAlign w:val="center"/>
                </w:tcPr>
                <w:p w14:paraId="26C3577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厂房</w:t>
                  </w:r>
                </w:p>
              </w:tc>
              <w:tc>
                <w:tcPr>
                  <w:tcW w:w="1049" w:type="pct"/>
                  <w:tcBorders>
                    <w:tl2br w:val="nil"/>
                    <w:tr2bl w:val="nil"/>
                  </w:tcBorders>
                  <w:shd w:val="clear" w:color="auto" w:fill="auto"/>
                  <w:vAlign w:val="center"/>
                </w:tcPr>
                <w:p w14:paraId="7D9E7103">
                  <w:pPr>
                    <w:pStyle w:val="15"/>
                    <w:spacing w:after="0" w:line="240" w:lineRule="auto"/>
                    <w:ind w:left="0" w:leftChars="0" w:right="0" w:rightChars="0" w:firstLine="0" w:firstLineChars="0"/>
                    <w:jc w:val="center"/>
                    <w:rPr>
                      <w:color w:val="000000" w:themeColor="text1"/>
                      <w:sz w:val="21"/>
                      <w:szCs w:val="21"/>
                    </w:rPr>
                  </w:pPr>
                  <w:r>
                    <w:rPr>
                      <w:rStyle w:val="53"/>
                      <w:rFonts w:hint="eastAsia"/>
                      <w:b w:val="0"/>
                      <w:color w:val="000000" w:themeColor="text1"/>
                    </w:rPr>
                    <w:t>原料装卸、堆存、铲车转运、上料斗上料过程</w:t>
                  </w:r>
                </w:p>
              </w:tc>
              <w:tc>
                <w:tcPr>
                  <w:tcW w:w="531" w:type="pct"/>
                  <w:tcBorders>
                    <w:tl2br w:val="nil"/>
                    <w:tr2bl w:val="nil"/>
                  </w:tcBorders>
                  <w:vAlign w:val="center"/>
                </w:tcPr>
                <w:p w14:paraId="1F991730">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31" w:type="pct"/>
                  <w:vMerge w:val="restart"/>
                  <w:tcBorders>
                    <w:tl2br w:val="nil"/>
                    <w:tr2bl w:val="nil"/>
                  </w:tcBorders>
                  <w:vAlign w:val="center"/>
                </w:tcPr>
                <w:p w14:paraId="2C6EE5D3">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封闭</w:t>
                  </w:r>
                  <w:r>
                    <w:rPr>
                      <w:rFonts w:hint="eastAsia"/>
                      <w:snapToGrid w:val="0"/>
                      <w:color w:val="000000" w:themeColor="text1"/>
                      <w:kern w:val="0"/>
                      <w:sz w:val="21"/>
                      <w:szCs w:val="21"/>
                    </w:rPr>
                    <w:t>厂房</w:t>
                  </w:r>
                </w:p>
              </w:tc>
              <w:tc>
                <w:tcPr>
                  <w:tcW w:w="948" w:type="pct"/>
                  <w:vMerge w:val="restart"/>
                  <w:tcBorders>
                    <w:tl2br w:val="nil"/>
                    <w:tr2bl w:val="nil"/>
                  </w:tcBorders>
                  <w:vAlign w:val="center"/>
                </w:tcPr>
                <w:p w14:paraId="0D56045E">
                  <w:pPr>
                    <w:autoSpaceDE w:val="0"/>
                    <w:autoSpaceDN w:val="0"/>
                    <w:spacing w:line="240" w:lineRule="auto"/>
                    <w:ind w:firstLine="0" w:firstLineChars="0"/>
                    <w:jc w:val="center"/>
                    <w:rPr>
                      <w:snapToGrid w:val="0"/>
                      <w:color w:val="000000" w:themeColor="text1"/>
                      <w:kern w:val="0"/>
                      <w:sz w:val="21"/>
                      <w:szCs w:val="21"/>
                      <w:lang w:val="zh-CN"/>
                    </w:rPr>
                  </w:pPr>
                  <w:r>
                    <w:rPr>
                      <w:snapToGrid w:val="0"/>
                      <w:color w:val="000000" w:themeColor="text1"/>
                      <w:kern w:val="0"/>
                      <w:sz w:val="21"/>
                      <w:szCs w:val="21"/>
                      <w:lang w:val="zh-CN"/>
                    </w:rPr>
                    <w:t>《大气污染物综合排放标准》（GB16297-1996）</w:t>
                  </w:r>
                </w:p>
              </w:tc>
              <w:tc>
                <w:tcPr>
                  <w:tcW w:w="767" w:type="pct"/>
                  <w:vMerge w:val="restart"/>
                  <w:tcBorders>
                    <w:tl2br w:val="nil"/>
                    <w:tr2bl w:val="nil"/>
                  </w:tcBorders>
                  <w:vAlign w:val="center"/>
                </w:tcPr>
                <w:p w14:paraId="5C5F505E">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1.0</w:t>
                  </w:r>
                </w:p>
              </w:tc>
              <w:tc>
                <w:tcPr>
                  <w:tcW w:w="808" w:type="dxa"/>
                  <w:tcBorders>
                    <w:tl2br w:val="nil"/>
                    <w:tr2bl w:val="nil"/>
                  </w:tcBorders>
                  <w:shd w:val="clear" w:color="auto" w:fill="auto"/>
                  <w:vAlign w:val="center"/>
                </w:tcPr>
                <w:p w14:paraId="5D15281A">
                  <w:pPr>
                    <w:spacing w:line="0" w:lineRule="atLeast"/>
                    <w:ind w:firstLine="0" w:firstLineChars="0"/>
                    <w:jc w:val="center"/>
                    <w:rPr>
                      <w:color w:val="000000" w:themeColor="text1"/>
                      <w:kern w:val="0"/>
                      <w:sz w:val="21"/>
                      <w:szCs w:val="21"/>
                    </w:rPr>
                  </w:pPr>
                  <w:r>
                    <w:rPr>
                      <w:rFonts w:hint="eastAsia"/>
                      <w:color w:val="000000" w:themeColor="text1"/>
                      <w:sz w:val="21"/>
                      <w:szCs w:val="21"/>
                    </w:rPr>
                    <w:t>0.00085</w:t>
                  </w:r>
                </w:p>
              </w:tc>
            </w:tr>
            <w:tr w14:paraId="0E2BF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14:paraId="1687A254">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w:t>
                  </w:r>
                </w:p>
              </w:tc>
              <w:tc>
                <w:tcPr>
                  <w:tcW w:w="442" w:type="pct"/>
                  <w:vMerge w:val="continue"/>
                  <w:tcBorders>
                    <w:tl2br w:val="nil"/>
                    <w:tr2bl w:val="nil"/>
                  </w:tcBorders>
                  <w:vAlign w:val="center"/>
                </w:tcPr>
                <w:p w14:paraId="7F0D0259">
                  <w:pPr>
                    <w:spacing w:line="240" w:lineRule="auto"/>
                    <w:ind w:firstLine="0" w:firstLineChars="0"/>
                    <w:jc w:val="center"/>
                    <w:rPr>
                      <w:snapToGrid w:val="0"/>
                      <w:color w:val="000000" w:themeColor="text1"/>
                      <w:kern w:val="0"/>
                      <w:sz w:val="21"/>
                      <w:szCs w:val="21"/>
                    </w:rPr>
                  </w:pPr>
                </w:p>
              </w:tc>
              <w:tc>
                <w:tcPr>
                  <w:tcW w:w="1049" w:type="pct"/>
                  <w:tcBorders>
                    <w:tl2br w:val="nil"/>
                    <w:tr2bl w:val="nil"/>
                  </w:tcBorders>
                  <w:shd w:val="clear" w:color="auto" w:fill="auto"/>
                  <w:vAlign w:val="center"/>
                </w:tcPr>
                <w:p w14:paraId="0F2A35F1">
                  <w:pPr>
                    <w:pStyle w:val="15"/>
                    <w:spacing w:after="0" w:line="240" w:lineRule="auto"/>
                    <w:ind w:left="0" w:leftChars="0" w:right="0" w:rightChars="0" w:firstLine="0" w:firstLineChars="0"/>
                    <w:jc w:val="center"/>
                    <w:rPr>
                      <w:color w:val="000000" w:themeColor="text1"/>
                      <w:spacing w:val="-6"/>
                      <w:sz w:val="21"/>
                      <w:szCs w:val="21"/>
                    </w:rPr>
                  </w:pPr>
                  <w:r>
                    <w:rPr>
                      <w:rFonts w:hint="eastAsia"/>
                      <w:color w:val="000000" w:themeColor="text1"/>
                      <w:sz w:val="21"/>
                      <w:szCs w:val="21"/>
                    </w:rPr>
                    <w:t>中转仓落料及入料、制粒、筛分及筛下料落料、成品网状料仓入料及冷却、成品皮带输送机落料、打包机包装过程未被捕集</w:t>
                  </w:r>
                </w:p>
              </w:tc>
              <w:tc>
                <w:tcPr>
                  <w:tcW w:w="531" w:type="pct"/>
                  <w:tcBorders>
                    <w:tl2br w:val="nil"/>
                    <w:tr2bl w:val="nil"/>
                  </w:tcBorders>
                  <w:vAlign w:val="center"/>
                </w:tcPr>
                <w:p w14:paraId="2D10F305">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531" w:type="pct"/>
                  <w:vMerge w:val="continue"/>
                  <w:tcBorders>
                    <w:tl2br w:val="nil"/>
                    <w:tr2bl w:val="nil"/>
                  </w:tcBorders>
                  <w:vAlign w:val="center"/>
                </w:tcPr>
                <w:p w14:paraId="2E617F0A">
                  <w:pPr>
                    <w:spacing w:line="240" w:lineRule="auto"/>
                    <w:ind w:firstLine="0" w:firstLineChars="0"/>
                    <w:jc w:val="center"/>
                    <w:rPr>
                      <w:snapToGrid w:val="0"/>
                      <w:color w:val="000000" w:themeColor="text1"/>
                      <w:kern w:val="0"/>
                      <w:sz w:val="21"/>
                      <w:szCs w:val="21"/>
                    </w:rPr>
                  </w:pPr>
                </w:p>
              </w:tc>
              <w:tc>
                <w:tcPr>
                  <w:tcW w:w="948" w:type="pct"/>
                  <w:vMerge w:val="continue"/>
                  <w:tcBorders>
                    <w:tl2br w:val="nil"/>
                    <w:tr2bl w:val="nil"/>
                  </w:tcBorders>
                  <w:vAlign w:val="center"/>
                </w:tcPr>
                <w:p w14:paraId="7FCB542E">
                  <w:pPr>
                    <w:autoSpaceDE w:val="0"/>
                    <w:autoSpaceDN w:val="0"/>
                    <w:spacing w:line="240" w:lineRule="auto"/>
                    <w:ind w:firstLine="0" w:firstLineChars="0"/>
                    <w:jc w:val="center"/>
                    <w:rPr>
                      <w:snapToGrid w:val="0"/>
                      <w:color w:val="000000" w:themeColor="text1"/>
                      <w:kern w:val="0"/>
                      <w:sz w:val="21"/>
                      <w:szCs w:val="21"/>
                      <w:lang w:val="zh-CN"/>
                    </w:rPr>
                  </w:pPr>
                </w:p>
              </w:tc>
              <w:tc>
                <w:tcPr>
                  <w:tcW w:w="767" w:type="pct"/>
                  <w:vMerge w:val="continue"/>
                  <w:tcBorders>
                    <w:tl2br w:val="nil"/>
                    <w:tr2bl w:val="nil"/>
                  </w:tcBorders>
                  <w:vAlign w:val="center"/>
                </w:tcPr>
                <w:p w14:paraId="62927A46">
                  <w:pPr>
                    <w:spacing w:line="240" w:lineRule="auto"/>
                    <w:ind w:firstLine="0" w:firstLineChars="0"/>
                    <w:jc w:val="center"/>
                    <w:rPr>
                      <w:snapToGrid w:val="0"/>
                      <w:color w:val="000000" w:themeColor="text1"/>
                      <w:kern w:val="0"/>
                      <w:sz w:val="21"/>
                      <w:szCs w:val="21"/>
                    </w:rPr>
                  </w:pPr>
                </w:p>
              </w:tc>
              <w:tc>
                <w:tcPr>
                  <w:tcW w:w="808" w:type="dxa"/>
                  <w:tcBorders>
                    <w:tl2br w:val="nil"/>
                    <w:tr2bl w:val="nil"/>
                  </w:tcBorders>
                  <w:shd w:val="clear" w:color="auto" w:fill="auto"/>
                  <w:vAlign w:val="center"/>
                </w:tcPr>
                <w:p w14:paraId="6A2A4FF2">
                  <w:pPr>
                    <w:spacing w:line="0" w:lineRule="atLeast"/>
                    <w:ind w:firstLine="0" w:firstLineChars="0"/>
                    <w:jc w:val="center"/>
                    <w:rPr>
                      <w:bCs/>
                      <w:color w:val="000000" w:themeColor="text1"/>
                      <w:sz w:val="21"/>
                      <w:szCs w:val="21"/>
                    </w:rPr>
                  </w:pPr>
                  <w:r>
                    <w:rPr>
                      <w:color w:val="000000" w:themeColor="text1"/>
                      <w:kern w:val="0"/>
                      <w:sz w:val="21"/>
                      <w:szCs w:val="21"/>
                    </w:rPr>
                    <w:t>0.5</w:t>
                  </w:r>
                  <w:r>
                    <w:rPr>
                      <w:rFonts w:hint="eastAsia"/>
                      <w:color w:val="000000" w:themeColor="text1"/>
                      <w:kern w:val="0"/>
                      <w:sz w:val="21"/>
                      <w:szCs w:val="21"/>
                    </w:rPr>
                    <w:t>0</w:t>
                  </w:r>
                  <w:r>
                    <w:rPr>
                      <w:color w:val="000000" w:themeColor="text1"/>
                      <w:kern w:val="0"/>
                      <w:sz w:val="21"/>
                      <w:szCs w:val="21"/>
                    </w:rPr>
                    <w:t xml:space="preserve">8 </w:t>
                  </w:r>
                </w:p>
              </w:tc>
            </w:tr>
            <w:tr w14:paraId="69328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l2br w:val="nil"/>
                    <w:tr2bl w:val="nil"/>
                  </w:tcBorders>
                  <w:vAlign w:val="center"/>
                </w:tcPr>
                <w:p w14:paraId="466E74E7">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无组织排放总计</w:t>
                  </w:r>
                </w:p>
              </w:tc>
            </w:tr>
            <w:tr w14:paraId="56C3F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49" w:type="pct"/>
                  <w:gridSpan w:val="4"/>
                  <w:tcBorders>
                    <w:tl2br w:val="nil"/>
                    <w:tr2bl w:val="nil"/>
                  </w:tcBorders>
                  <w:vAlign w:val="center"/>
                </w:tcPr>
                <w:p w14:paraId="765DB350">
                  <w:pPr>
                    <w:spacing w:line="240" w:lineRule="auto"/>
                    <w:ind w:firstLine="0" w:firstLineChars="0"/>
                    <w:jc w:val="center"/>
                    <w:rPr>
                      <w:snapToGrid w:val="0"/>
                      <w:color w:val="000000" w:themeColor="text1"/>
                      <w:kern w:val="0"/>
                      <w:sz w:val="21"/>
                      <w:szCs w:val="21"/>
                    </w:rPr>
                  </w:pPr>
                  <w:r>
                    <w:rPr>
                      <w:snapToGrid w:val="0"/>
                      <w:color w:val="000000" w:themeColor="text1"/>
                      <w:kern w:val="0"/>
                      <w:sz w:val="21"/>
                      <w:szCs w:val="21"/>
                    </w:rPr>
                    <w:t>无组织排放总计</w:t>
                  </w:r>
                </w:p>
              </w:tc>
              <w:tc>
                <w:tcPr>
                  <w:tcW w:w="2248" w:type="pct"/>
                  <w:gridSpan w:val="3"/>
                  <w:tcBorders>
                    <w:tl2br w:val="nil"/>
                    <w:tr2bl w:val="nil"/>
                  </w:tcBorders>
                  <w:vAlign w:val="center"/>
                </w:tcPr>
                <w:p w14:paraId="397CE07E">
                  <w:pPr>
                    <w:adjustRightInd w:val="0"/>
                    <w:snapToGrid w:val="0"/>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颗粒物</w:t>
                  </w:r>
                </w:p>
              </w:tc>
              <w:tc>
                <w:tcPr>
                  <w:tcW w:w="501" w:type="pct"/>
                  <w:tcBorders>
                    <w:tl2br w:val="nil"/>
                    <w:tr2bl w:val="nil"/>
                  </w:tcBorders>
                  <w:vAlign w:val="center"/>
                </w:tcPr>
                <w:p w14:paraId="32BB6F94">
                  <w:pPr>
                    <w:adjustRightInd w:val="0"/>
                    <w:snapToGrid w:val="0"/>
                    <w:spacing w:line="240" w:lineRule="auto"/>
                    <w:ind w:firstLine="0" w:firstLineChars="0"/>
                    <w:jc w:val="center"/>
                    <w:rPr>
                      <w:color w:val="000000" w:themeColor="text1"/>
                      <w:sz w:val="21"/>
                      <w:szCs w:val="21"/>
                    </w:rPr>
                  </w:pPr>
                  <w:r>
                    <w:rPr>
                      <w:color w:val="000000" w:themeColor="text1"/>
                      <w:kern w:val="0"/>
                      <w:sz w:val="21"/>
                      <w:szCs w:val="21"/>
                    </w:rPr>
                    <w:t>0.5</w:t>
                  </w:r>
                  <w:r>
                    <w:rPr>
                      <w:rFonts w:hint="eastAsia"/>
                      <w:color w:val="000000" w:themeColor="text1"/>
                      <w:kern w:val="0"/>
                      <w:sz w:val="21"/>
                      <w:szCs w:val="21"/>
                    </w:rPr>
                    <w:t>09</w:t>
                  </w:r>
                </w:p>
              </w:tc>
            </w:tr>
          </w:tbl>
          <w:p w14:paraId="7047E0B4">
            <w:pPr>
              <w:spacing w:line="360" w:lineRule="auto"/>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41</w:t>
            </w:r>
            <w:r>
              <w:rPr>
                <w:b/>
                <w:bCs/>
                <w:color w:val="000000" w:themeColor="text1"/>
                <w:sz w:val="21"/>
                <w:szCs w:val="21"/>
              </w:rPr>
              <w:t xml:space="preserve">   本项目大气污染物年排放量核算表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3584"/>
              <w:gridCol w:w="2733"/>
            </w:tblGrid>
            <w:tr w14:paraId="2B610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7165EABD">
                  <w:pPr>
                    <w:adjustRightInd w:val="0"/>
                    <w:snapToGri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序号</w:t>
                  </w:r>
                </w:p>
              </w:tc>
              <w:tc>
                <w:tcPr>
                  <w:tcW w:w="2226" w:type="pct"/>
                  <w:tcBorders>
                    <w:tl2br w:val="nil"/>
                    <w:tr2bl w:val="nil"/>
                  </w:tcBorders>
                  <w:vAlign w:val="center"/>
                </w:tcPr>
                <w:p w14:paraId="5DE7C67D">
                  <w:pPr>
                    <w:adjustRightInd w:val="0"/>
                    <w:snapToGri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污染物</w:t>
                  </w:r>
                </w:p>
              </w:tc>
              <w:tc>
                <w:tcPr>
                  <w:tcW w:w="1698" w:type="pct"/>
                  <w:tcBorders>
                    <w:tl2br w:val="nil"/>
                    <w:tr2bl w:val="nil"/>
                  </w:tcBorders>
                  <w:vAlign w:val="center"/>
                </w:tcPr>
                <w:p w14:paraId="4563D7DB">
                  <w:pPr>
                    <w:adjustRightInd w:val="0"/>
                    <w:snapToGrid w:val="0"/>
                    <w:spacing w:line="240" w:lineRule="auto"/>
                    <w:ind w:firstLine="0" w:firstLineChars="0"/>
                    <w:jc w:val="center"/>
                    <w:rPr>
                      <w:b/>
                      <w:bCs/>
                      <w:snapToGrid w:val="0"/>
                      <w:color w:val="000000" w:themeColor="text1"/>
                      <w:kern w:val="0"/>
                      <w:sz w:val="21"/>
                      <w:szCs w:val="21"/>
                    </w:rPr>
                  </w:pPr>
                  <w:r>
                    <w:rPr>
                      <w:b/>
                      <w:bCs/>
                      <w:snapToGrid w:val="0"/>
                      <w:color w:val="000000" w:themeColor="text1"/>
                      <w:kern w:val="0"/>
                      <w:sz w:val="21"/>
                      <w:szCs w:val="21"/>
                    </w:rPr>
                    <w:t>年排放量（t/a）</w:t>
                  </w:r>
                </w:p>
              </w:tc>
            </w:tr>
            <w:tr w14:paraId="04086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77168AE2">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1</w:t>
                  </w:r>
                </w:p>
              </w:tc>
              <w:tc>
                <w:tcPr>
                  <w:tcW w:w="2226" w:type="pct"/>
                  <w:tcBorders>
                    <w:tl2br w:val="nil"/>
                    <w:tr2bl w:val="nil"/>
                  </w:tcBorders>
                  <w:vAlign w:val="center"/>
                </w:tcPr>
                <w:p w14:paraId="0EC7265B">
                  <w:pPr>
                    <w:pStyle w:val="15"/>
                    <w:adjustRightInd w:val="0"/>
                    <w:snapToGrid w:val="0"/>
                    <w:spacing w:after="0" w:line="240" w:lineRule="auto"/>
                    <w:ind w:left="0" w:leftChars="0" w:right="0" w:rightChars="0" w:firstLine="0" w:firstLineChars="0"/>
                    <w:jc w:val="center"/>
                    <w:rPr>
                      <w:snapToGrid w:val="0"/>
                      <w:color w:val="000000" w:themeColor="text1"/>
                      <w:kern w:val="0"/>
                      <w:sz w:val="21"/>
                      <w:szCs w:val="21"/>
                    </w:rPr>
                  </w:pPr>
                  <w:r>
                    <w:rPr>
                      <w:rFonts w:hint="eastAsia"/>
                      <w:snapToGrid w:val="0"/>
                      <w:color w:val="000000" w:themeColor="text1"/>
                      <w:kern w:val="0"/>
                      <w:sz w:val="21"/>
                      <w:szCs w:val="21"/>
                    </w:rPr>
                    <w:t>颗粒物</w:t>
                  </w:r>
                </w:p>
              </w:tc>
              <w:tc>
                <w:tcPr>
                  <w:tcW w:w="2734" w:type="dxa"/>
                  <w:tcBorders>
                    <w:tl2br w:val="nil"/>
                    <w:tr2bl w:val="nil"/>
                  </w:tcBorders>
                  <w:vAlign w:val="center"/>
                </w:tcPr>
                <w:p w14:paraId="18ED9ECA">
                  <w:pPr>
                    <w:adjustRightInd w:val="0"/>
                    <w:snapToGrid w:val="0"/>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0.730</w:t>
                  </w:r>
                </w:p>
              </w:tc>
            </w:tr>
            <w:tr w14:paraId="34A0C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2EF95F48">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2</w:t>
                  </w:r>
                </w:p>
              </w:tc>
              <w:tc>
                <w:tcPr>
                  <w:tcW w:w="2226" w:type="pct"/>
                  <w:tcBorders>
                    <w:tl2br w:val="nil"/>
                    <w:tr2bl w:val="nil"/>
                  </w:tcBorders>
                  <w:shd w:val="clear" w:color="auto" w:fill="auto"/>
                  <w:vAlign w:val="center"/>
                </w:tcPr>
                <w:p w14:paraId="04223C6D">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2734" w:type="dxa"/>
                  <w:tcBorders>
                    <w:tl2br w:val="nil"/>
                    <w:tr2bl w:val="nil"/>
                  </w:tcBorders>
                  <w:shd w:val="clear" w:color="auto" w:fill="auto"/>
                  <w:vAlign w:val="center"/>
                </w:tcPr>
                <w:p w14:paraId="068AFFBD">
                  <w:pPr>
                    <w:spacing w:line="0" w:lineRule="atLeast"/>
                    <w:ind w:firstLine="0" w:firstLineChars="0"/>
                    <w:jc w:val="center"/>
                    <w:rPr>
                      <w:bCs/>
                      <w:color w:val="000000" w:themeColor="text1"/>
                      <w:sz w:val="21"/>
                      <w:szCs w:val="21"/>
                    </w:rPr>
                  </w:pPr>
                  <w:r>
                    <w:rPr>
                      <w:rFonts w:hint="eastAsia"/>
                      <w:color w:val="000000" w:themeColor="text1"/>
                      <w:sz w:val="21"/>
                      <w:szCs w:val="21"/>
                    </w:rPr>
                    <w:t>0.279</w:t>
                  </w:r>
                </w:p>
              </w:tc>
            </w:tr>
            <w:tr w14:paraId="2B0F7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71D06CE9">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3</w:t>
                  </w:r>
                </w:p>
              </w:tc>
              <w:tc>
                <w:tcPr>
                  <w:tcW w:w="2226" w:type="pct"/>
                  <w:tcBorders>
                    <w:tl2br w:val="nil"/>
                    <w:tr2bl w:val="nil"/>
                  </w:tcBorders>
                  <w:shd w:val="clear" w:color="auto" w:fill="auto"/>
                  <w:vAlign w:val="center"/>
                </w:tcPr>
                <w:p w14:paraId="0B7FAD63">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2734" w:type="dxa"/>
                  <w:tcBorders>
                    <w:tl2br w:val="nil"/>
                    <w:tr2bl w:val="nil"/>
                  </w:tcBorders>
                  <w:shd w:val="clear" w:color="auto" w:fill="auto"/>
                  <w:vAlign w:val="center"/>
                </w:tcPr>
                <w:p w14:paraId="34CFBA37">
                  <w:pPr>
                    <w:spacing w:line="0" w:lineRule="atLeast"/>
                    <w:ind w:firstLine="0" w:firstLineChars="0"/>
                    <w:jc w:val="center"/>
                    <w:rPr>
                      <w:bCs/>
                      <w:color w:val="000000" w:themeColor="text1"/>
                      <w:sz w:val="21"/>
                      <w:szCs w:val="21"/>
                    </w:rPr>
                  </w:pPr>
                  <w:r>
                    <w:rPr>
                      <w:rFonts w:hint="eastAsia"/>
                      <w:color w:val="000000" w:themeColor="text1"/>
                      <w:sz w:val="21"/>
                      <w:szCs w:val="21"/>
                    </w:rPr>
                    <w:t>0.335</w:t>
                  </w:r>
                </w:p>
              </w:tc>
            </w:tr>
            <w:tr w14:paraId="25A9D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4C0C14F3">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4</w:t>
                  </w:r>
                </w:p>
              </w:tc>
              <w:tc>
                <w:tcPr>
                  <w:tcW w:w="2226" w:type="pct"/>
                  <w:tcBorders>
                    <w:tl2br w:val="nil"/>
                    <w:tr2bl w:val="nil"/>
                  </w:tcBorders>
                  <w:shd w:val="clear" w:color="auto" w:fill="auto"/>
                  <w:vAlign w:val="center"/>
                </w:tcPr>
                <w:p w14:paraId="55B361F1">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2734" w:type="dxa"/>
                  <w:tcBorders>
                    <w:tl2br w:val="nil"/>
                    <w:tr2bl w:val="nil"/>
                  </w:tcBorders>
                  <w:shd w:val="clear" w:color="auto" w:fill="auto"/>
                  <w:vAlign w:val="center"/>
                </w:tcPr>
                <w:p w14:paraId="73774031">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74E01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tcBorders>
                    <w:tl2br w:val="nil"/>
                    <w:tr2bl w:val="nil"/>
                  </w:tcBorders>
                  <w:vAlign w:val="center"/>
                </w:tcPr>
                <w:p w14:paraId="49629E1D">
                  <w:pPr>
                    <w:adjustRightInd w:val="0"/>
                    <w:snapToGrid w:val="0"/>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5</w:t>
                  </w:r>
                </w:p>
              </w:tc>
              <w:tc>
                <w:tcPr>
                  <w:tcW w:w="2226" w:type="pct"/>
                  <w:tcBorders>
                    <w:tl2br w:val="nil"/>
                    <w:tr2bl w:val="nil"/>
                  </w:tcBorders>
                  <w:shd w:val="clear" w:color="auto" w:fill="auto"/>
                  <w:vAlign w:val="center"/>
                </w:tcPr>
                <w:p w14:paraId="076C636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1698" w:type="pct"/>
                  <w:tcBorders>
                    <w:tl2br w:val="nil"/>
                    <w:tr2bl w:val="nil"/>
                  </w:tcBorders>
                  <w:shd w:val="clear" w:color="auto" w:fill="auto"/>
                  <w:vAlign w:val="center"/>
                </w:tcPr>
                <w:p w14:paraId="44576971">
                  <w:pPr>
                    <w:spacing w:line="0" w:lineRule="atLeast"/>
                    <w:ind w:firstLine="0" w:firstLineChars="0"/>
                    <w:jc w:val="center"/>
                    <w:rPr>
                      <w:color w:val="000000" w:themeColor="text1"/>
                      <w:sz w:val="21"/>
                      <w:szCs w:val="21"/>
                    </w:rPr>
                  </w:pPr>
                  <w:r>
                    <w:rPr>
                      <w:rFonts w:hint="eastAsia"/>
                      <w:color w:val="000000" w:themeColor="text1"/>
                      <w:sz w:val="21"/>
                      <w:szCs w:val="21"/>
                    </w:rPr>
                    <w:t>/</w:t>
                  </w:r>
                </w:p>
              </w:tc>
            </w:tr>
          </w:tbl>
          <w:p w14:paraId="7209E9C2">
            <w:pPr>
              <w:spacing w:line="360" w:lineRule="auto"/>
              <w:ind w:firstLine="482"/>
              <w:rPr>
                <w:b/>
                <w:bCs/>
                <w:color w:val="000000" w:themeColor="text1"/>
              </w:rPr>
            </w:pPr>
            <w:r>
              <w:rPr>
                <w:b/>
                <w:bCs/>
                <w:color w:val="000000" w:themeColor="text1"/>
              </w:rPr>
              <w:t>1.</w:t>
            </w:r>
            <w:r>
              <w:rPr>
                <w:rFonts w:hint="eastAsia"/>
                <w:b/>
                <w:bCs/>
                <w:color w:val="000000" w:themeColor="text1"/>
              </w:rPr>
              <w:t>7大气环境评价结论</w:t>
            </w:r>
          </w:p>
          <w:p w14:paraId="4532A808">
            <w:pPr>
              <w:adjustRightInd w:val="0"/>
              <w:snapToGrid w:val="0"/>
              <w:spacing w:line="360" w:lineRule="auto"/>
              <w:ind w:firstLine="480"/>
              <w:rPr>
                <w:snapToGrid w:val="0"/>
                <w:color w:val="000000" w:themeColor="text1"/>
              </w:rPr>
            </w:pPr>
            <w:r>
              <w:rPr>
                <w:color w:val="000000" w:themeColor="text1"/>
              </w:rPr>
              <w:t>根据</w:t>
            </w:r>
            <w:r>
              <w:rPr>
                <w:rFonts w:hint="eastAsia"/>
                <w:color w:val="000000" w:themeColor="text1"/>
                <w:shd w:val="clear" w:color="auto" w:fill="FFFFFF"/>
              </w:rPr>
              <w:t>《2023年唐山市生态环境状况公报》</w:t>
            </w:r>
            <w:r>
              <w:rPr>
                <w:rFonts w:hint="eastAsia"/>
                <w:bCs/>
                <w:snapToGrid w:val="0"/>
                <w:color w:val="000000" w:themeColor="text1"/>
              </w:rPr>
              <w:t>，本项目所在区域</w:t>
            </w:r>
            <w:r>
              <w:rPr>
                <w:color w:val="000000" w:themeColor="text1"/>
              </w:rPr>
              <w:t>PM</w:t>
            </w:r>
            <w:r>
              <w:rPr>
                <w:color w:val="000000" w:themeColor="text1"/>
                <w:vertAlign w:val="subscript"/>
              </w:rPr>
              <w:t>10</w:t>
            </w:r>
            <w:r>
              <w:rPr>
                <w:rFonts w:hint="eastAsia"/>
                <w:color w:val="000000" w:themeColor="text1"/>
              </w:rPr>
              <w:t>、</w:t>
            </w:r>
            <w:r>
              <w:rPr>
                <w:color w:val="000000" w:themeColor="text1"/>
              </w:rPr>
              <w:t>PM</w:t>
            </w:r>
            <w:r>
              <w:rPr>
                <w:color w:val="000000" w:themeColor="text1"/>
                <w:vertAlign w:val="subscript"/>
              </w:rPr>
              <w:t>2.5</w:t>
            </w:r>
            <w:r>
              <w:rPr>
                <w:color w:val="000000" w:themeColor="text1"/>
              </w:rPr>
              <w:t>年平均质量浓度</w:t>
            </w:r>
            <w:r>
              <w:rPr>
                <w:rFonts w:hint="eastAsia"/>
                <w:color w:val="000000" w:themeColor="text1"/>
              </w:rPr>
              <w:t>及</w:t>
            </w:r>
            <w:r>
              <w:rPr>
                <w:color w:val="000000" w:themeColor="text1"/>
              </w:rPr>
              <w:t>O</w:t>
            </w:r>
            <w:r>
              <w:rPr>
                <w:color w:val="000000" w:themeColor="text1"/>
                <w:vertAlign w:val="subscript"/>
              </w:rPr>
              <w:t>3</w:t>
            </w:r>
            <w:r>
              <w:rPr>
                <w:color w:val="000000" w:themeColor="text1"/>
              </w:rPr>
              <w:t>日最大8h平均第90百分位浓度</w:t>
            </w:r>
            <w:r>
              <w:rPr>
                <w:rFonts w:hint="eastAsia"/>
                <w:color w:val="000000" w:themeColor="text1"/>
              </w:rPr>
              <w:t>超过《环境空气质量标准》（GB3095-2012）及修改单中二级标准限值</w:t>
            </w:r>
            <w:r>
              <w:rPr>
                <w:color w:val="000000" w:themeColor="text1"/>
              </w:rPr>
              <w:t>，本项目所在区域为不达标区</w:t>
            </w:r>
            <w:r>
              <w:rPr>
                <w:rFonts w:hint="eastAsia"/>
                <w:snapToGrid w:val="0"/>
                <w:color w:val="000000" w:themeColor="text1"/>
              </w:rPr>
              <w:t>。特征污染物TSP 24小时浓度满足《环境空气质量标准》（GB3095-2012）</w:t>
            </w:r>
            <w:r>
              <w:rPr>
                <w:rFonts w:hint="eastAsia"/>
                <w:color w:val="000000" w:themeColor="text1"/>
              </w:rPr>
              <w:t>及修改单中二级标准</w:t>
            </w:r>
            <w:r>
              <w:rPr>
                <w:rFonts w:hint="eastAsia"/>
                <w:snapToGrid w:val="0"/>
                <w:color w:val="000000" w:themeColor="text1"/>
              </w:rPr>
              <w:t>要求。</w:t>
            </w:r>
          </w:p>
          <w:p w14:paraId="551A3C09">
            <w:pPr>
              <w:adjustRightInd w:val="0"/>
              <w:snapToGrid w:val="0"/>
              <w:spacing w:line="360" w:lineRule="auto"/>
              <w:ind w:firstLine="480"/>
              <w:rPr>
                <w:b/>
                <w:bCs/>
                <w:color w:val="000000" w:themeColor="text1"/>
              </w:rPr>
            </w:pPr>
            <w:r>
              <w:rPr>
                <w:rFonts w:hint="eastAsia"/>
                <w:color w:val="000000" w:themeColor="text1"/>
              </w:rPr>
              <w:t>本项目烘干废气（</w:t>
            </w:r>
            <w:r>
              <w:rPr>
                <w:color w:val="000000" w:themeColor="text1"/>
              </w:rPr>
              <w:t>包括热风炉燃料燃烧废气和物料烘干工艺废气</w:t>
            </w:r>
            <w:r>
              <w:rPr>
                <w:rFonts w:hint="eastAsia"/>
                <w:color w:val="000000" w:themeColor="text1"/>
              </w:rPr>
              <w:t>）通过“沙克龙除尘器+布袋除尘器”处理，中转仓落料及入料、制粒（经配套旋风除尘器预处理后）、筛分及筛下料落料、成品网状料仓入料及冷却、成品皮带输送机落料、打包机包装废气共用1台布袋除尘器处理，</w:t>
            </w:r>
            <w:r>
              <w:rPr>
                <w:color w:val="000000" w:themeColor="text1"/>
                <w:kern w:val="0"/>
              </w:rPr>
              <w:t>污染物</w:t>
            </w:r>
            <w:r>
              <w:rPr>
                <w:rFonts w:hint="eastAsia"/>
                <w:color w:val="000000" w:themeColor="text1"/>
                <w:kern w:val="0"/>
              </w:rPr>
              <w:t>均能实现</w:t>
            </w:r>
            <w:r>
              <w:rPr>
                <w:color w:val="000000" w:themeColor="text1"/>
                <w:kern w:val="0"/>
              </w:rPr>
              <w:t>达标排放，</w:t>
            </w:r>
            <w:r>
              <w:rPr>
                <w:rFonts w:hint="eastAsia"/>
                <w:color w:val="000000" w:themeColor="text1"/>
              </w:rPr>
              <w:t>项目实施后对区域内环境影响较小，</w:t>
            </w:r>
            <w:r>
              <w:rPr>
                <w:iCs/>
                <w:color w:val="000000" w:themeColor="text1"/>
              </w:rPr>
              <w:t>不会对区域大气环境质量造成冲击影响</w:t>
            </w:r>
            <w:r>
              <w:rPr>
                <w:rFonts w:hint="eastAsia"/>
                <w:iCs/>
                <w:color w:val="000000" w:themeColor="text1"/>
              </w:rPr>
              <w:t>。本项目厂界外500m范围内</w:t>
            </w:r>
            <w:r>
              <w:rPr>
                <w:rFonts w:hint="eastAsia"/>
                <w:color w:val="000000" w:themeColor="text1"/>
              </w:rPr>
              <w:t>无大气环境保护目标，本项目采取上述污染防治措施后，基本不会对周边大气环境造成影响。因此，</w:t>
            </w:r>
            <w:r>
              <w:rPr>
                <w:color w:val="000000" w:themeColor="text1"/>
              </w:rPr>
              <w:t>本项目大气环境影响可接受</w:t>
            </w:r>
            <w:r>
              <w:rPr>
                <w:rFonts w:hint="eastAsia"/>
                <w:color w:val="000000" w:themeColor="text1"/>
              </w:rPr>
              <w:t>。</w:t>
            </w:r>
            <w:r>
              <w:rPr>
                <w:b/>
                <w:bCs/>
                <w:color w:val="000000" w:themeColor="text1"/>
              </w:rPr>
              <w:t xml:space="preserve"> </w:t>
            </w:r>
          </w:p>
          <w:p w14:paraId="6F18D3B1">
            <w:pPr>
              <w:adjustRightInd w:val="0"/>
              <w:snapToGrid w:val="0"/>
              <w:spacing w:line="360" w:lineRule="auto"/>
              <w:ind w:firstLine="482"/>
              <w:rPr>
                <w:b/>
                <w:bCs/>
                <w:color w:val="000000" w:themeColor="text1"/>
              </w:rPr>
            </w:pPr>
            <w:r>
              <w:rPr>
                <w:rFonts w:hint="eastAsia"/>
                <w:b/>
                <w:bCs/>
                <w:color w:val="000000" w:themeColor="text1"/>
              </w:rPr>
              <w:t>2、废水</w:t>
            </w:r>
          </w:p>
          <w:p w14:paraId="45B7B573">
            <w:pPr>
              <w:spacing w:line="360" w:lineRule="auto"/>
              <w:ind w:firstLine="482"/>
              <w:rPr>
                <w:color w:val="000000" w:themeColor="text1"/>
              </w:rPr>
            </w:pPr>
            <w:r>
              <w:rPr>
                <w:b/>
                <w:bCs/>
                <w:color w:val="000000" w:themeColor="text1"/>
              </w:rPr>
              <w:t>2.1废水污染源及治理措施</w:t>
            </w:r>
          </w:p>
          <w:p w14:paraId="52D5EB32">
            <w:pPr>
              <w:spacing w:line="360" w:lineRule="auto"/>
              <w:ind w:firstLine="480"/>
              <w:rPr>
                <w:color w:val="000000" w:themeColor="text1"/>
              </w:rPr>
            </w:pPr>
            <w:r>
              <w:rPr>
                <w:rFonts w:hint="eastAsia"/>
                <w:color w:val="000000" w:themeColor="text1"/>
              </w:rPr>
              <w:t>本项目废水主要为生活污水、</w:t>
            </w:r>
            <w:r>
              <w:rPr>
                <w:rFonts w:hint="eastAsia"/>
                <w:color w:val="000000" w:themeColor="text1"/>
                <w:kern w:val="0"/>
              </w:rPr>
              <w:t>热风炉冷却过程排污水</w:t>
            </w:r>
            <w:r>
              <w:rPr>
                <w:rFonts w:hint="eastAsia"/>
                <w:color w:val="000000" w:themeColor="text1"/>
              </w:rPr>
              <w:t>。生活污水</w:t>
            </w:r>
            <w:r>
              <w:rPr>
                <w:rFonts w:hint="eastAsia"/>
                <w:color w:val="000000" w:themeColor="text1"/>
                <w:kern w:val="0"/>
              </w:rPr>
              <w:t>经</w:t>
            </w:r>
            <w:r>
              <w:rPr>
                <w:rFonts w:hint="eastAsia"/>
                <w:color w:val="000000" w:themeColor="text1"/>
              </w:rPr>
              <w:t>唐山曹妃甸木业股份有限公司废水总排口排入市政污水管网，最终进入曹妃甸工业区装备制造区污水处理站处理；</w:t>
            </w:r>
            <w:r>
              <w:rPr>
                <w:rFonts w:hint="eastAsia"/>
                <w:color w:val="000000" w:themeColor="text1"/>
                <w:kern w:val="0"/>
              </w:rPr>
              <w:t>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p>
          <w:p w14:paraId="5B7CDE0C">
            <w:pPr>
              <w:spacing w:line="360" w:lineRule="auto"/>
              <w:ind w:firstLine="480"/>
              <w:rPr>
                <w:color w:val="000000" w:themeColor="text1"/>
              </w:rPr>
            </w:pPr>
            <w:r>
              <w:rPr>
                <w:rFonts w:hint="eastAsia"/>
                <w:color w:val="000000" w:themeColor="text1"/>
              </w:rPr>
              <w:t>（1）生活污水</w:t>
            </w:r>
          </w:p>
          <w:p w14:paraId="47BC78E1">
            <w:pPr>
              <w:spacing w:line="360" w:lineRule="auto"/>
              <w:ind w:firstLine="480"/>
              <w:rPr>
                <w:color w:val="000000" w:themeColor="text1"/>
              </w:rPr>
            </w:pPr>
            <w:r>
              <w:rPr>
                <w:color w:val="000000" w:themeColor="text1"/>
                <w:kern w:val="0"/>
              </w:rPr>
              <w:t>本项目不设食堂、宿舍、浴室等设施，厕所依托于</w:t>
            </w:r>
            <w:r>
              <w:rPr>
                <w:rFonts w:hint="eastAsia"/>
                <w:color w:val="000000" w:themeColor="text1"/>
              </w:rPr>
              <w:t>唐山曹妃甸木业股份有限公司</w:t>
            </w:r>
            <w:r>
              <w:rPr>
                <w:color w:val="000000" w:themeColor="text1"/>
              </w:rPr>
              <w:t>水厕，生活</w:t>
            </w:r>
            <w:r>
              <w:rPr>
                <w:rFonts w:hint="eastAsia"/>
                <w:color w:val="000000" w:themeColor="text1"/>
              </w:rPr>
              <w:t>污</w:t>
            </w:r>
            <w:r>
              <w:rPr>
                <w:color w:val="000000" w:themeColor="text1"/>
              </w:rPr>
              <w:t>水主要为盥洗、冲厕</w:t>
            </w:r>
            <w:r>
              <w:rPr>
                <w:rFonts w:hint="eastAsia"/>
                <w:color w:val="000000" w:themeColor="text1"/>
              </w:rPr>
              <w:t>废</w:t>
            </w:r>
            <w:r>
              <w:rPr>
                <w:color w:val="000000" w:themeColor="text1"/>
              </w:rPr>
              <w:t>水</w:t>
            </w:r>
            <w:r>
              <w:rPr>
                <w:rFonts w:hint="eastAsia"/>
                <w:color w:val="000000" w:themeColor="text1"/>
              </w:rPr>
              <w:t>，</w:t>
            </w:r>
            <w:r>
              <w:rPr>
                <w:rFonts w:hint="eastAsia"/>
                <w:color w:val="000000" w:themeColor="text1"/>
                <w:kern w:val="0"/>
              </w:rPr>
              <w:t>生活污水产生量为</w:t>
            </w:r>
            <w:r>
              <w:rPr>
                <w:color w:val="000000" w:themeColor="text1"/>
                <w:kern w:val="0"/>
              </w:rPr>
              <w:t>0.</w:t>
            </w:r>
            <w:r>
              <w:rPr>
                <w:rFonts w:hint="eastAsia"/>
                <w:color w:val="000000" w:themeColor="text1"/>
                <w:kern w:val="0"/>
              </w:rPr>
              <w:t>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生活污水主要污染物及浓度为：pH：6-9（无量纲）、COD：</w:t>
            </w:r>
            <w:r>
              <w:rPr>
                <w:color w:val="000000" w:themeColor="text1"/>
                <w:kern w:val="24"/>
              </w:rPr>
              <w:t>3</w:t>
            </w:r>
            <w:r>
              <w:rPr>
                <w:rFonts w:hint="eastAsia"/>
                <w:color w:val="000000" w:themeColor="text1"/>
                <w:kern w:val="24"/>
              </w:rPr>
              <w:t>0</w:t>
            </w:r>
            <w:r>
              <w:rPr>
                <w:color w:val="000000" w:themeColor="text1"/>
                <w:kern w:val="24"/>
              </w:rPr>
              <w:t>0mg/L、</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：150</w:t>
            </w:r>
            <w:r>
              <w:rPr>
                <w:color w:val="000000" w:themeColor="text1"/>
                <w:kern w:val="24"/>
              </w:rPr>
              <w:t>mg/L、</w:t>
            </w:r>
            <w:r>
              <w:rPr>
                <w:rFonts w:hint="eastAsia"/>
                <w:color w:val="000000" w:themeColor="text1"/>
                <w:kern w:val="24"/>
              </w:rPr>
              <w:t>SS：10</w:t>
            </w:r>
            <w:r>
              <w:rPr>
                <w:color w:val="000000" w:themeColor="text1"/>
                <w:kern w:val="24"/>
              </w:rPr>
              <w:t>0mg/L、</w:t>
            </w:r>
            <w:r>
              <w:rPr>
                <w:rFonts w:hint="eastAsia"/>
                <w:color w:val="000000" w:themeColor="text1"/>
                <w:kern w:val="24"/>
              </w:rPr>
              <w:t>氨氮：20</w:t>
            </w:r>
            <w:r>
              <w:rPr>
                <w:color w:val="000000" w:themeColor="text1"/>
                <w:kern w:val="24"/>
              </w:rPr>
              <w:t>mg/L、</w:t>
            </w:r>
            <w:r>
              <w:rPr>
                <w:rFonts w:hint="eastAsia"/>
                <w:color w:val="000000" w:themeColor="text1"/>
                <w:kern w:val="24"/>
              </w:rPr>
              <w:t>总氮：30</w:t>
            </w:r>
            <w:r>
              <w:rPr>
                <w:color w:val="000000" w:themeColor="text1"/>
                <w:kern w:val="24"/>
              </w:rPr>
              <w:t>mg/L</w:t>
            </w:r>
            <w:r>
              <w:rPr>
                <w:rFonts w:hint="eastAsia"/>
                <w:color w:val="000000" w:themeColor="text1"/>
                <w:kern w:val="24"/>
              </w:rPr>
              <w:t>，总磷：3mg/L，排放量为</w:t>
            </w:r>
            <w:r>
              <w:rPr>
                <w:rFonts w:hint="eastAsia"/>
                <w:color w:val="000000" w:themeColor="text1"/>
              </w:rPr>
              <w:t>COD：</w:t>
            </w:r>
            <w:r>
              <w:rPr>
                <w:rFonts w:hint="eastAsia"/>
                <w:color w:val="000000" w:themeColor="text1"/>
                <w:kern w:val="24"/>
              </w:rPr>
              <w:t>0.017t/a</w:t>
            </w:r>
            <w:r>
              <w:rPr>
                <w:color w:val="000000" w:themeColor="text1"/>
                <w:kern w:val="24"/>
              </w:rPr>
              <w:t>、</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：0.0086t/a</w:t>
            </w:r>
            <w:r>
              <w:rPr>
                <w:color w:val="000000" w:themeColor="text1"/>
                <w:kern w:val="24"/>
              </w:rPr>
              <w:t>、</w:t>
            </w:r>
            <w:r>
              <w:rPr>
                <w:rFonts w:hint="eastAsia"/>
                <w:color w:val="000000" w:themeColor="text1"/>
                <w:kern w:val="24"/>
              </w:rPr>
              <w:t>SS：0.0058t/a</w:t>
            </w:r>
            <w:r>
              <w:rPr>
                <w:color w:val="000000" w:themeColor="text1"/>
                <w:kern w:val="24"/>
              </w:rPr>
              <w:t>、</w:t>
            </w:r>
            <w:r>
              <w:rPr>
                <w:rFonts w:hint="eastAsia"/>
                <w:color w:val="000000" w:themeColor="text1"/>
                <w:kern w:val="24"/>
              </w:rPr>
              <w:t>氨氮：0.0012t/a</w:t>
            </w:r>
            <w:r>
              <w:rPr>
                <w:color w:val="000000" w:themeColor="text1"/>
                <w:kern w:val="24"/>
              </w:rPr>
              <w:t>、</w:t>
            </w:r>
            <w:r>
              <w:rPr>
                <w:rFonts w:hint="eastAsia"/>
                <w:color w:val="000000" w:themeColor="text1"/>
                <w:kern w:val="24"/>
              </w:rPr>
              <w:t>总氮：0.0017t/a、总磷：0.00017t/a</w:t>
            </w:r>
            <w:r>
              <w:rPr>
                <w:rFonts w:hint="eastAsia"/>
                <w:color w:val="000000" w:themeColor="text1"/>
                <w:szCs w:val="20"/>
              </w:rPr>
              <w:t>。满足</w:t>
            </w:r>
            <w:r>
              <w:rPr>
                <w:rFonts w:hint="eastAsia"/>
                <w:color w:val="000000" w:themeColor="text1"/>
              </w:rPr>
              <w:t>《污水综合排放标准》（GB8978</w:t>
            </w:r>
            <w:r>
              <w:rPr>
                <w:rFonts w:hint="eastAsia" w:ascii="宋体" w:hAnsi="宋体" w:cs="宋体"/>
                <w:color w:val="000000" w:themeColor="text1"/>
              </w:rPr>
              <w:t>-</w:t>
            </w:r>
            <w:r>
              <w:rPr>
                <w:rFonts w:hint="eastAsia"/>
                <w:color w:val="000000" w:themeColor="text1"/>
              </w:rPr>
              <w:t>1996）表4中三级标准及曹妃甸工业区装备制造区污水处理站进水水质要求，pH：6-9（无量纲）、COD：</w:t>
            </w:r>
            <w:r>
              <w:rPr>
                <w:color w:val="000000" w:themeColor="text1"/>
                <w:kern w:val="24"/>
              </w:rPr>
              <w:t>3</w:t>
            </w:r>
            <w:r>
              <w:rPr>
                <w:rFonts w:hint="eastAsia"/>
                <w:color w:val="000000" w:themeColor="text1"/>
                <w:kern w:val="24"/>
              </w:rPr>
              <w:t>5</w:t>
            </w:r>
            <w:r>
              <w:rPr>
                <w:color w:val="000000" w:themeColor="text1"/>
                <w:kern w:val="24"/>
              </w:rPr>
              <w:t>0mg/L、</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：150</w:t>
            </w:r>
            <w:r>
              <w:rPr>
                <w:color w:val="000000" w:themeColor="text1"/>
                <w:kern w:val="24"/>
              </w:rPr>
              <w:t>mg/L、</w:t>
            </w:r>
            <w:r>
              <w:rPr>
                <w:rFonts w:hint="eastAsia"/>
                <w:color w:val="000000" w:themeColor="text1"/>
                <w:kern w:val="24"/>
              </w:rPr>
              <w:t>SS：390</w:t>
            </w:r>
            <w:r>
              <w:rPr>
                <w:color w:val="000000" w:themeColor="text1"/>
                <w:kern w:val="24"/>
              </w:rPr>
              <w:t>mg/L、</w:t>
            </w:r>
            <w:r>
              <w:rPr>
                <w:rFonts w:hint="eastAsia"/>
                <w:color w:val="000000" w:themeColor="text1"/>
                <w:kern w:val="24"/>
              </w:rPr>
              <w:t>氨氮：35</w:t>
            </w:r>
            <w:r>
              <w:rPr>
                <w:color w:val="000000" w:themeColor="text1"/>
                <w:kern w:val="24"/>
              </w:rPr>
              <w:t>mg/L、</w:t>
            </w:r>
            <w:r>
              <w:rPr>
                <w:rFonts w:hint="eastAsia"/>
                <w:color w:val="000000" w:themeColor="text1"/>
                <w:kern w:val="24"/>
              </w:rPr>
              <w:t>总氮：40</w:t>
            </w:r>
            <w:r>
              <w:rPr>
                <w:color w:val="000000" w:themeColor="text1"/>
                <w:kern w:val="24"/>
              </w:rPr>
              <w:t>mg/L</w:t>
            </w:r>
            <w:r>
              <w:rPr>
                <w:rFonts w:hint="eastAsia"/>
                <w:color w:val="000000" w:themeColor="text1"/>
                <w:kern w:val="24"/>
              </w:rPr>
              <w:t>，总磷：6mg/L</w:t>
            </w:r>
            <w:r>
              <w:rPr>
                <w:rFonts w:hint="eastAsia"/>
                <w:color w:val="000000" w:themeColor="text1"/>
                <w:kern w:val="0"/>
              </w:rPr>
              <w:t>。</w:t>
            </w:r>
          </w:p>
          <w:p w14:paraId="2D7D1382">
            <w:pPr>
              <w:spacing w:line="360" w:lineRule="auto"/>
              <w:ind w:firstLine="480"/>
              <w:rPr>
                <w:color w:val="000000" w:themeColor="text1"/>
                <w:kern w:val="0"/>
              </w:rPr>
            </w:pPr>
            <w:r>
              <w:rPr>
                <w:rFonts w:hint="eastAsia"/>
                <w:color w:val="000000" w:themeColor="text1"/>
              </w:rPr>
              <w:t>（2）</w:t>
            </w:r>
            <w:r>
              <w:rPr>
                <w:rFonts w:hint="eastAsia"/>
                <w:color w:val="000000" w:themeColor="text1"/>
                <w:kern w:val="0"/>
              </w:rPr>
              <w:t>热风炉冷却过程排污水</w:t>
            </w:r>
          </w:p>
          <w:p w14:paraId="629D5957">
            <w:pPr>
              <w:spacing w:line="360" w:lineRule="auto"/>
              <w:ind w:firstLine="480"/>
              <w:jc w:val="left"/>
              <w:rPr>
                <w:color w:val="000000" w:themeColor="text1"/>
                <w:kern w:val="0"/>
              </w:rPr>
            </w:pPr>
            <w:r>
              <w:rPr>
                <w:rFonts w:hint="eastAsia"/>
                <w:color w:val="000000" w:themeColor="text1"/>
                <w:kern w:val="0"/>
              </w:rPr>
              <w:t>本项目采用热风炉为烘干机提供热源，热风炉配套设置冷却塔及冷却水箱提供冷却水间接</w:t>
            </w:r>
            <w:r>
              <w:rPr>
                <w:rFonts w:hint="eastAsia"/>
                <w:snapToGrid w:val="0"/>
                <w:color w:val="000000" w:themeColor="text1"/>
                <w:kern w:val="0"/>
              </w:rPr>
              <w:t>冷却热风炉炉膛、燃烧器等高温部件，</w:t>
            </w:r>
            <w:r>
              <w:rPr>
                <w:rFonts w:hint="eastAsia"/>
                <w:color w:val="000000" w:themeColor="text1"/>
                <w:kern w:val="0"/>
              </w:rPr>
              <w:t>为间接冷却，</w:t>
            </w:r>
            <w:r>
              <w:rPr>
                <w:color w:val="000000" w:themeColor="text1"/>
                <w:kern w:val="0"/>
              </w:rPr>
              <w:t>冷却水循环使用，</w:t>
            </w:r>
            <w:r>
              <w:rPr>
                <w:rFonts w:hint="eastAsia"/>
                <w:color w:val="000000" w:themeColor="text1"/>
                <w:kern w:val="0"/>
              </w:rPr>
              <w:t>定期排污水量为0.192</w:t>
            </w:r>
            <w:r>
              <w:rPr>
                <w:color w:val="000000" w:themeColor="text1"/>
                <w:kern w:val="0"/>
              </w:rPr>
              <w:t>m</w:t>
            </w:r>
            <w:r>
              <w:rPr>
                <w:color w:val="000000" w:themeColor="text1"/>
                <w:kern w:val="0"/>
                <w:vertAlign w:val="superscript"/>
              </w:rPr>
              <w:t>3</w:t>
            </w:r>
            <w:r>
              <w:rPr>
                <w:color w:val="000000" w:themeColor="text1"/>
                <w:kern w:val="0"/>
              </w:rPr>
              <w:t>/d（</w:t>
            </w:r>
            <w:r>
              <w:rPr>
                <w:rFonts w:hint="eastAsia"/>
                <w:color w:val="000000" w:themeColor="text1"/>
                <w:kern w:val="0"/>
              </w:rPr>
              <w:t>57.6</w:t>
            </w:r>
            <w:r>
              <w:rPr>
                <w:color w:val="000000" w:themeColor="text1"/>
                <w:kern w:val="0"/>
              </w:rPr>
              <w:t>m</w:t>
            </w:r>
            <w:r>
              <w:rPr>
                <w:color w:val="000000" w:themeColor="text1"/>
                <w:kern w:val="0"/>
                <w:vertAlign w:val="superscript"/>
              </w:rPr>
              <w:t>3</w:t>
            </w:r>
            <w:r>
              <w:rPr>
                <w:color w:val="000000" w:themeColor="text1"/>
                <w:kern w:val="0"/>
              </w:rPr>
              <w:t>/a）</w:t>
            </w:r>
            <w:r>
              <w:rPr>
                <w:rFonts w:hint="eastAsia"/>
                <w:color w:val="000000" w:themeColor="text1"/>
                <w:kern w:val="0"/>
              </w:rPr>
              <w:t>，</w:t>
            </w:r>
            <w:r>
              <w:rPr>
                <w:rFonts w:hint="eastAsia"/>
                <w:color w:val="000000" w:themeColor="text1"/>
              </w:rPr>
              <w:t>废水主要污染因子为COD、SS，根据建设单位设计资料及经验数据，冷却过程排污水中主要污染物浓度分别为：COD：50mg/L、SS：150mg/L，</w:t>
            </w:r>
            <w:r>
              <w:rPr>
                <w:rFonts w:hint="eastAsia"/>
                <w:color w:val="000000" w:themeColor="text1"/>
                <w:kern w:val="0"/>
              </w:rPr>
              <w:t>满足</w:t>
            </w:r>
            <w:r>
              <w:rPr>
                <w:rFonts w:hint="eastAsia"/>
                <w:color w:val="000000" w:themeColor="text1"/>
              </w:rPr>
              <w:t>《城市污水再生利用 城市杂用水水质》（GB/T 18920-2020）中冲厕用水水质标准要求：COD：/、SS：/。</w:t>
            </w:r>
          </w:p>
          <w:p w14:paraId="03AEB08C">
            <w:pPr>
              <w:adjustRightInd w:val="0"/>
              <w:snapToGrid w:val="0"/>
              <w:ind w:firstLine="482"/>
              <w:rPr>
                <w:b/>
                <w:bCs/>
                <w:color w:val="000000" w:themeColor="text1"/>
              </w:rPr>
            </w:pPr>
            <w:r>
              <w:rPr>
                <w:rFonts w:hint="eastAsia"/>
                <w:b/>
                <w:bCs/>
                <w:color w:val="000000" w:themeColor="text1"/>
              </w:rPr>
              <w:t>2.2依托集中污水处理厂可行性分析</w:t>
            </w:r>
          </w:p>
          <w:p w14:paraId="258E96CB">
            <w:pPr>
              <w:ind w:firstLine="480"/>
              <w:rPr>
                <w:color w:val="000000" w:themeColor="text1"/>
              </w:rPr>
            </w:pPr>
            <w:r>
              <w:rPr>
                <w:color w:val="000000" w:themeColor="text1"/>
              </w:rPr>
              <w:t>曹妃甸</w:t>
            </w:r>
            <w:r>
              <w:rPr>
                <w:rFonts w:hint="eastAsia"/>
                <w:color w:val="000000" w:themeColor="text1"/>
              </w:rPr>
              <w:t>工业</w:t>
            </w:r>
            <w:r>
              <w:rPr>
                <w:color w:val="000000" w:themeColor="text1"/>
              </w:rPr>
              <w:t>区装备制造区污水处理站位于曹妃甸</w:t>
            </w:r>
            <w:r>
              <w:rPr>
                <w:rFonts w:hint="eastAsia"/>
                <w:color w:val="000000" w:themeColor="text1"/>
              </w:rPr>
              <w:t>装备园区A6路以东，装备道以北</w:t>
            </w:r>
            <w:r>
              <w:rPr>
                <w:color w:val="000000" w:themeColor="text1"/>
              </w:rPr>
              <w:t>，占地面积</w:t>
            </w:r>
            <w:r>
              <w:rPr>
                <w:rFonts w:hint="eastAsia"/>
                <w:color w:val="000000" w:themeColor="text1"/>
              </w:rPr>
              <w:t>20</w:t>
            </w:r>
            <w:r>
              <w:rPr>
                <w:color w:val="000000" w:themeColor="text1"/>
              </w:rPr>
              <w:t>00平方米，污水处理规模为</w:t>
            </w:r>
            <w:r>
              <w:rPr>
                <w:rFonts w:hint="eastAsia"/>
                <w:color w:val="000000" w:themeColor="text1"/>
              </w:rPr>
              <w:t>1</w:t>
            </w:r>
            <w:r>
              <w:rPr>
                <w:color w:val="000000" w:themeColor="text1"/>
              </w:rPr>
              <w:t>500m</w:t>
            </w:r>
            <w:r>
              <w:rPr>
                <w:color w:val="000000" w:themeColor="text1"/>
                <w:vertAlign w:val="superscript"/>
              </w:rPr>
              <w:t>3</w:t>
            </w:r>
            <w:r>
              <w:rPr>
                <w:color w:val="000000" w:themeColor="text1"/>
              </w:rPr>
              <w:t>/d，</w:t>
            </w:r>
            <w:r>
              <w:rPr>
                <w:rFonts w:hint="eastAsia"/>
                <w:color w:val="000000" w:themeColor="text1"/>
              </w:rPr>
              <w:t>目前的处理量约500</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服务范围为</w:t>
            </w:r>
            <w:r>
              <w:rPr>
                <w:rFonts w:hint="eastAsia"/>
                <w:color w:val="000000" w:themeColor="text1"/>
              </w:rPr>
              <w:t>曹妃甸工业区装备区（含综合保税区）</w:t>
            </w:r>
            <w:r>
              <w:rPr>
                <w:color w:val="000000" w:themeColor="text1"/>
              </w:rPr>
              <w:t>。污水处理站总体工艺流程包括：一级</w:t>
            </w:r>
            <w:r>
              <w:rPr>
                <w:rFonts w:hint="eastAsia"/>
                <w:color w:val="000000" w:themeColor="text1"/>
              </w:rPr>
              <w:t>预</w:t>
            </w:r>
            <w:r>
              <w:rPr>
                <w:color w:val="000000" w:themeColor="text1"/>
              </w:rPr>
              <w:t>处理段</w:t>
            </w:r>
            <w:r>
              <w:rPr>
                <w:rFonts w:hint="eastAsia"/>
                <w:color w:val="000000" w:themeColor="text1"/>
              </w:rPr>
              <w:t>（格栅+细格栅+调节池）</w:t>
            </w:r>
            <w:r>
              <w:rPr>
                <w:color w:val="000000" w:themeColor="text1"/>
              </w:rPr>
              <w:t>、二级生物处理段（</w:t>
            </w:r>
            <w:r>
              <w:rPr>
                <w:rFonts w:hint="eastAsia"/>
                <w:color w:val="000000" w:themeColor="text1"/>
              </w:rPr>
              <w:t>生物流化床技术（M</w:t>
            </w:r>
            <w:r>
              <w:rPr>
                <w:color w:val="000000" w:themeColor="text1"/>
              </w:rPr>
              <w:t>BBR</w:t>
            </w:r>
            <w:r>
              <w:rPr>
                <w:rFonts w:hint="eastAsia"/>
                <w:color w:val="000000" w:themeColor="text1"/>
              </w:rPr>
              <w:t>），包含厌氧+缺氧+好氧</w:t>
            </w:r>
            <w:r>
              <w:rPr>
                <w:color w:val="000000" w:themeColor="text1"/>
              </w:rPr>
              <w:t>）、三级深度处理段（</w:t>
            </w:r>
            <w:r>
              <w:rPr>
                <w:rFonts w:hint="eastAsia"/>
                <w:color w:val="000000" w:themeColor="text1"/>
              </w:rPr>
              <w:t>斜管沉淀池+砂滤池</w:t>
            </w:r>
            <w:r>
              <w:rPr>
                <w:color w:val="000000" w:themeColor="text1"/>
              </w:rPr>
              <w:t>）、</w:t>
            </w:r>
            <w:r>
              <w:rPr>
                <w:rFonts w:hint="eastAsia"/>
                <w:color w:val="000000" w:themeColor="text1"/>
              </w:rPr>
              <w:t>消毒处理（次氯酸钠消毒工艺）、</w:t>
            </w:r>
            <w:r>
              <w:rPr>
                <w:color w:val="000000" w:themeColor="text1"/>
              </w:rPr>
              <w:t>污泥处理段，出水达到《城镇污水处理厂污染物排放标准》（GB18918-2002）中一级A标准</w:t>
            </w:r>
            <w:r>
              <w:rPr>
                <w:rFonts w:hint="eastAsia"/>
                <w:color w:val="000000" w:themeColor="text1"/>
              </w:rPr>
              <w:t>要求，同时达到《城镇污水再生利用城市杂用水水质》（G</w:t>
            </w:r>
            <w:r>
              <w:rPr>
                <w:color w:val="000000" w:themeColor="text1"/>
              </w:rPr>
              <w:t>B/T18920-2002</w:t>
            </w:r>
            <w:r>
              <w:rPr>
                <w:rFonts w:hint="eastAsia"/>
                <w:color w:val="000000" w:themeColor="text1"/>
              </w:rPr>
              <w:t>）表1标准</w:t>
            </w:r>
            <w:r>
              <w:rPr>
                <w:color w:val="000000" w:themeColor="text1"/>
              </w:rPr>
              <w:t>。</w:t>
            </w:r>
            <w:r>
              <w:rPr>
                <w:rFonts w:hint="eastAsia"/>
                <w:color w:val="000000" w:themeColor="text1"/>
              </w:rPr>
              <w:t>污水处理站的出水排入A</w:t>
            </w:r>
            <w:r>
              <w:rPr>
                <w:color w:val="000000" w:themeColor="text1"/>
              </w:rPr>
              <w:t>6</w:t>
            </w:r>
            <w:r>
              <w:rPr>
                <w:rFonts w:hint="eastAsia"/>
                <w:color w:val="000000" w:themeColor="text1"/>
              </w:rPr>
              <w:t>河，再由</w:t>
            </w:r>
            <w:r>
              <w:rPr>
                <w:color w:val="000000" w:themeColor="text1"/>
              </w:rPr>
              <w:t>A6</w:t>
            </w:r>
            <w:r>
              <w:rPr>
                <w:rFonts w:hint="eastAsia"/>
                <w:color w:val="000000" w:themeColor="text1"/>
              </w:rPr>
              <w:t>河汇入北环河，A</w:t>
            </w:r>
            <w:r>
              <w:rPr>
                <w:color w:val="000000" w:themeColor="text1"/>
              </w:rPr>
              <w:t>6</w:t>
            </w:r>
            <w:r>
              <w:rPr>
                <w:rFonts w:hint="eastAsia"/>
                <w:color w:val="000000" w:themeColor="text1"/>
              </w:rPr>
              <w:t>河、北环河均为景观河。待周边的中水回用设施完善后，污水处理站出水可回用于城市绿化、道路清扫、冲厕等</w:t>
            </w:r>
            <w:r>
              <w:rPr>
                <w:rFonts w:hint="eastAsia" w:ascii="宋体" w:hAnsi="宋体" w:cs="宋体"/>
                <w:color w:val="000000" w:themeColor="text1"/>
                <w:kern w:val="0"/>
              </w:rPr>
              <w:t xml:space="preserve">。 </w:t>
            </w:r>
          </w:p>
          <w:p w14:paraId="2DA7C1D3">
            <w:pPr>
              <w:ind w:firstLine="480"/>
              <w:rPr>
                <w:color w:val="000000" w:themeColor="text1"/>
              </w:rPr>
            </w:pPr>
            <w:r>
              <w:rPr>
                <w:rFonts w:hint="eastAsia"/>
                <w:color w:val="000000" w:themeColor="text1"/>
              </w:rPr>
              <w:t>本项目位于唐山曹妃甸木业股份有限公司厂区内，在</w:t>
            </w:r>
            <w:r>
              <w:rPr>
                <w:color w:val="000000" w:themeColor="text1"/>
              </w:rPr>
              <w:t>曹妃甸</w:t>
            </w:r>
            <w:r>
              <w:rPr>
                <w:rFonts w:hint="eastAsia"/>
                <w:color w:val="000000" w:themeColor="text1"/>
              </w:rPr>
              <w:t>工业</w:t>
            </w:r>
            <w:r>
              <w:rPr>
                <w:color w:val="000000" w:themeColor="text1"/>
              </w:rPr>
              <w:t>区装备制造区污水处理站收水范围内，</w:t>
            </w:r>
            <w:r>
              <w:rPr>
                <w:rFonts w:hint="eastAsia"/>
                <w:color w:val="000000" w:themeColor="text1"/>
              </w:rPr>
              <w:t>现状</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富裕处理能力约为1000m</w:t>
            </w:r>
            <w:r>
              <w:rPr>
                <w:rFonts w:hint="eastAsia"/>
                <w:color w:val="000000" w:themeColor="text1"/>
                <w:vertAlign w:val="superscript"/>
              </w:rPr>
              <w:t>3</w:t>
            </w:r>
            <w:r>
              <w:rPr>
                <w:rFonts w:hint="eastAsia"/>
                <w:color w:val="000000" w:themeColor="text1"/>
              </w:rPr>
              <w:t>/d，本项目排放废水主要为生活污水，排放量为0.192</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尚有余量接纳本项目生活污水，不会超出</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的接纳能力，</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处理能力依托可行。</w:t>
            </w:r>
          </w:p>
          <w:p w14:paraId="785256A8">
            <w:pPr>
              <w:ind w:firstLine="480"/>
              <w:rPr>
                <w:color w:val="000000" w:themeColor="text1"/>
                <w:szCs w:val="20"/>
              </w:rPr>
            </w:pPr>
            <w:r>
              <w:rPr>
                <w:rFonts w:hint="eastAsia"/>
                <w:color w:val="000000" w:themeColor="text1"/>
              </w:rPr>
              <w:t>本项目排放一般生活污水水质简单，项目排水满足</w:t>
            </w:r>
            <w:r>
              <w:rPr>
                <w:color w:val="000000" w:themeColor="text1"/>
              </w:rPr>
              <w:t>曹妃甸</w:t>
            </w:r>
            <w:r>
              <w:rPr>
                <w:rFonts w:hint="eastAsia"/>
                <w:color w:val="000000" w:themeColor="text1"/>
              </w:rPr>
              <w:t>工业</w:t>
            </w:r>
            <w:r>
              <w:rPr>
                <w:color w:val="000000" w:themeColor="text1"/>
              </w:rPr>
              <w:t>区装备制造区污水处理站</w:t>
            </w:r>
            <w:r>
              <w:rPr>
                <w:rFonts w:hint="eastAsia"/>
                <w:color w:val="000000" w:themeColor="text1"/>
              </w:rPr>
              <w:t>进水水质要求：pH：6-9（无量纲）、COD：</w:t>
            </w:r>
            <w:r>
              <w:rPr>
                <w:color w:val="000000" w:themeColor="text1"/>
                <w:kern w:val="24"/>
              </w:rPr>
              <w:t>3</w:t>
            </w:r>
            <w:r>
              <w:rPr>
                <w:rFonts w:hint="eastAsia"/>
                <w:color w:val="000000" w:themeColor="text1"/>
                <w:kern w:val="24"/>
              </w:rPr>
              <w:t>5</w:t>
            </w:r>
            <w:r>
              <w:rPr>
                <w:color w:val="000000" w:themeColor="text1"/>
                <w:kern w:val="24"/>
              </w:rPr>
              <w:t>0mg/L、</w:t>
            </w:r>
            <w:r>
              <w:rPr>
                <w:rFonts w:hint="eastAsia"/>
                <w:color w:val="000000" w:themeColor="text1"/>
                <w:kern w:val="24"/>
              </w:rPr>
              <w:t>BOD</w:t>
            </w:r>
            <w:r>
              <w:rPr>
                <w:rFonts w:hint="eastAsia"/>
                <w:color w:val="000000" w:themeColor="text1"/>
                <w:kern w:val="24"/>
                <w:vertAlign w:val="subscript"/>
              </w:rPr>
              <w:t>5</w:t>
            </w:r>
            <w:r>
              <w:rPr>
                <w:rFonts w:hint="eastAsia"/>
                <w:color w:val="000000" w:themeColor="text1"/>
                <w:kern w:val="24"/>
              </w:rPr>
              <w:t>：150</w:t>
            </w:r>
            <w:r>
              <w:rPr>
                <w:color w:val="000000" w:themeColor="text1"/>
                <w:kern w:val="24"/>
              </w:rPr>
              <w:t>mg/L、</w:t>
            </w:r>
            <w:r>
              <w:rPr>
                <w:rFonts w:hint="eastAsia"/>
                <w:color w:val="000000" w:themeColor="text1"/>
                <w:kern w:val="24"/>
              </w:rPr>
              <w:t>SS：39</w:t>
            </w:r>
            <w:r>
              <w:rPr>
                <w:color w:val="000000" w:themeColor="text1"/>
                <w:kern w:val="24"/>
              </w:rPr>
              <w:t>0mg/L、</w:t>
            </w:r>
            <w:r>
              <w:rPr>
                <w:rFonts w:hint="eastAsia"/>
                <w:color w:val="000000" w:themeColor="text1"/>
                <w:kern w:val="24"/>
              </w:rPr>
              <w:t>氨氮：35</w:t>
            </w:r>
            <w:r>
              <w:rPr>
                <w:color w:val="000000" w:themeColor="text1"/>
                <w:kern w:val="24"/>
              </w:rPr>
              <w:t>mg/L、</w:t>
            </w:r>
            <w:r>
              <w:rPr>
                <w:rFonts w:hint="eastAsia"/>
                <w:color w:val="000000" w:themeColor="text1"/>
                <w:kern w:val="24"/>
              </w:rPr>
              <w:t>总氮：40</w:t>
            </w:r>
            <w:r>
              <w:rPr>
                <w:color w:val="000000" w:themeColor="text1"/>
                <w:kern w:val="24"/>
              </w:rPr>
              <w:t>mg/L</w:t>
            </w:r>
            <w:r>
              <w:rPr>
                <w:rFonts w:hint="eastAsia"/>
                <w:color w:val="000000" w:themeColor="text1"/>
                <w:kern w:val="24"/>
              </w:rPr>
              <w:t>，总磷：6mg/L</w:t>
            </w:r>
            <w:r>
              <w:rPr>
                <w:rFonts w:hint="eastAsia"/>
                <w:color w:val="000000" w:themeColor="text1"/>
              </w:rPr>
              <w:t>，不会对该污水处理站的正常运营产生冲击影响，且厂区在纳水范围内，故本项目生活污水排入园区污水管网可行。</w:t>
            </w:r>
          </w:p>
          <w:p w14:paraId="1F9493AC">
            <w:pPr>
              <w:ind w:firstLine="482"/>
              <w:rPr>
                <w:b/>
                <w:bCs/>
                <w:color w:val="000000" w:themeColor="text1"/>
              </w:rPr>
            </w:pPr>
            <w:r>
              <w:rPr>
                <w:rFonts w:hint="eastAsia"/>
                <w:b/>
                <w:bCs/>
                <w:color w:val="000000" w:themeColor="text1"/>
              </w:rPr>
              <w:t>2.3废水污染物治理设施信息表</w:t>
            </w:r>
          </w:p>
          <w:p w14:paraId="3BA4612C">
            <w:pPr>
              <w:ind w:firstLine="480"/>
              <w:rPr>
                <w:color w:val="000000" w:themeColor="text1"/>
              </w:rPr>
            </w:pPr>
            <w:r>
              <w:rPr>
                <w:color w:val="000000" w:themeColor="text1"/>
              </w:rPr>
              <w:t>废水类别、污染物及污染物治理设施信息表</w:t>
            </w:r>
            <w:r>
              <w:rPr>
                <w:rFonts w:hint="eastAsia"/>
                <w:color w:val="000000" w:themeColor="text1"/>
              </w:rPr>
              <w:t>。</w:t>
            </w:r>
          </w:p>
          <w:p w14:paraId="6DF937E2">
            <w:pPr>
              <w:spacing w:line="360" w:lineRule="auto"/>
              <w:ind w:firstLine="0" w:firstLineChars="0"/>
              <w:jc w:val="center"/>
              <w:rPr>
                <w:color w:val="000000" w:themeColor="text1"/>
              </w:rPr>
            </w:pPr>
            <w:r>
              <w:rPr>
                <w:b/>
                <w:color w:val="000000" w:themeColor="text1"/>
                <w:sz w:val="21"/>
                <w:szCs w:val="21"/>
              </w:rPr>
              <w:t>表</w:t>
            </w:r>
            <w:r>
              <w:rPr>
                <w:rFonts w:hint="eastAsia"/>
                <w:b/>
                <w:color w:val="000000" w:themeColor="text1"/>
                <w:sz w:val="21"/>
                <w:szCs w:val="21"/>
              </w:rPr>
              <w:t xml:space="preserve">42  </w:t>
            </w:r>
            <w:r>
              <w:rPr>
                <w:b/>
                <w:color w:val="000000" w:themeColor="text1"/>
                <w:sz w:val="21"/>
                <w:szCs w:val="21"/>
              </w:rPr>
              <w:t>废水类别、污染物及污染物治理设施信息表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429"/>
              <w:gridCol w:w="518"/>
              <w:gridCol w:w="846"/>
              <w:gridCol w:w="561"/>
              <w:gridCol w:w="967"/>
              <w:gridCol w:w="777"/>
              <w:gridCol w:w="806"/>
              <w:gridCol w:w="779"/>
              <w:gridCol w:w="676"/>
              <w:gridCol w:w="919"/>
              <w:gridCol w:w="771"/>
            </w:tblGrid>
            <w:tr w14:paraId="4C24D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266" w:type="pct"/>
                  <w:vMerge w:val="restart"/>
                  <w:vAlign w:val="center"/>
                </w:tcPr>
                <w:p w14:paraId="7F249C9C">
                  <w:pPr>
                    <w:spacing w:line="0" w:lineRule="atLeast"/>
                    <w:ind w:firstLine="0" w:firstLineChars="0"/>
                    <w:jc w:val="center"/>
                    <w:rPr>
                      <w:b/>
                      <w:bCs/>
                      <w:color w:val="000000" w:themeColor="text1"/>
                      <w:sz w:val="21"/>
                      <w:szCs w:val="21"/>
                    </w:rPr>
                  </w:pPr>
                  <w:r>
                    <w:rPr>
                      <w:b/>
                      <w:bCs/>
                      <w:color w:val="000000" w:themeColor="text1"/>
                      <w:sz w:val="21"/>
                      <w:szCs w:val="21"/>
                    </w:rPr>
                    <w:t>序</w:t>
                  </w:r>
                </w:p>
                <w:p w14:paraId="7C1A0F84">
                  <w:pPr>
                    <w:spacing w:line="0" w:lineRule="atLeast"/>
                    <w:ind w:firstLine="0" w:firstLineChars="0"/>
                    <w:jc w:val="center"/>
                    <w:rPr>
                      <w:b/>
                      <w:bCs/>
                      <w:color w:val="000000" w:themeColor="text1"/>
                      <w:sz w:val="21"/>
                      <w:szCs w:val="21"/>
                    </w:rPr>
                  </w:pPr>
                  <w:r>
                    <w:rPr>
                      <w:b/>
                      <w:bCs/>
                      <w:color w:val="000000" w:themeColor="text1"/>
                      <w:sz w:val="21"/>
                      <w:szCs w:val="21"/>
                    </w:rPr>
                    <w:t>号</w:t>
                  </w:r>
                </w:p>
              </w:tc>
              <w:tc>
                <w:tcPr>
                  <w:tcW w:w="321" w:type="pct"/>
                  <w:vMerge w:val="restart"/>
                  <w:vAlign w:val="center"/>
                </w:tcPr>
                <w:p w14:paraId="1398688F">
                  <w:pPr>
                    <w:spacing w:line="0" w:lineRule="atLeast"/>
                    <w:ind w:firstLine="0" w:firstLineChars="0"/>
                    <w:jc w:val="center"/>
                    <w:rPr>
                      <w:b/>
                      <w:bCs/>
                      <w:color w:val="000000" w:themeColor="text1"/>
                      <w:sz w:val="21"/>
                      <w:szCs w:val="21"/>
                    </w:rPr>
                  </w:pPr>
                  <w:r>
                    <w:rPr>
                      <w:b/>
                      <w:bCs/>
                      <w:color w:val="000000" w:themeColor="text1"/>
                      <w:sz w:val="21"/>
                      <w:szCs w:val="21"/>
                    </w:rPr>
                    <w:t>废水类别</w:t>
                  </w:r>
                </w:p>
              </w:tc>
              <w:tc>
                <w:tcPr>
                  <w:tcW w:w="525" w:type="pct"/>
                  <w:vMerge w:val="restart"/>
                  <w:vAlign w:val="center"/>
                </w:tcPr>
                <w:p w14:paraId="166DFC50">
                  <w:pPr>
                    <w:spacing w:line="0" w:lineRule="atLeast"/>
                    <w:ind w:firstLine="0" w:firstLineChars="0"/>
                    <w:jc w:val="center"/>
                    <w:rPr>
                      <w:b/>
                      <w:bCs/>
                      <w:color w:val="000000" w:themeColor="text1"/>
                      <w:sz w:val="21"/>
                      <w:szCs w:val="21"/>
                    </w:rPr>
                  </w:pPr>
                  <w:r>
                    <w:rPr>
                      <w:b/>
                      <w:bCs/>
                      <w:color w:val="000000" w:themeColor="text1"/>
                      <w:sz w:val="21"/>
                      <w:szCs w:val="21"/>
                    </w:rPr>
                    <w:t>污染物</w:t>
                  </w:r>
                </w:p>
                <w:p w14:paraId="528E62A6">
                  <w:pPr>
                    <w:spacing w:line="0" w:lineRule="atLeast"/>
                    <w:ind w:firstLine="0" w:firstLineChars="0"/>
                    <w:jc w:val="center"/>
                    <w:rPr>
                      <w:b/>
                      <w:bCs/>
                      <w:color w:val="000000" w:themeColor="text1"/>
                      <w:sz w:val="21"/>
                      <w:szCs w:val="21"/>
                    </w:rPr>
                  </w:pPr>
                  <w:r>
                    <w:rPr>
                      <w:b/>
                      <w:bCs/>
                      <w:color w:val="000000" w:themeColor="text1"/>
                      <w:sz w:val="21"/>
                      <w:szCs w:val="21"/>
                    </w:rPr>
                    <w:t>种类</w:t>
                  </w:r>
                </w:p>
              </w:tc>
              <w:tc>
                <w:tcPr>
                  <w:tcW w:w="348" w:type="pct"/>
                  <w:vMerge w:val="restart"/>
                  <w:vAlign w:val="center"/>
                </w:tcPr>
                <w:p w14:paraId="1B22D96A">
                  <w:pPr>
                    <w:spacing w:line="0" w:lineRule="atLeast"/>
                    <w:ind w:firstLine="0" w:firstLineChars="0"/>
                    <w:jc w:val="center"/>
                    <w:rPr>
                      <w:b/>
                      <w:bCs/>
                      <w:color w:val="000000" w:themeColor="text1"/>
                      <w:sz w:val="21"/>
                      <w:szCs w:val="21"/>
                    </w:rPr>
                  </w:pPr>
                  <w:r>
                    <w:rPr>
                      <w:b/>
                      <w:bCs/>
                      <w:color w:val="000000" w:themeColor="text1"/>
                      <w:sz w:val="21"/>
                      <w:szCs w:val="21"/>
                    </w:rPr>
                    <w:t>排放</w:t>
                  </w:r>
                </w:p>
                <w:p w14:paraId="28A20276">
                  <w:pPr>
                    <w:spacing w:line="0" w:lineRule="atLeast"/>
                    <w:ind w:firstLine="0" w:firstLineChars="0"/>
                    <w:jc w:val="center"/>
                    <w:rPr>
                      <w:b/>
                      <w:bCs/>
                      <w:color w:val="000000" w:themeColor="text1"/>
                      <w:sz w:val="21"/>
                      <w:szCs w:val="21"/>
                    </w:rPr>
                  </w:pPr>
                  <w:r>
                    <w:rPr>
                      <w:b/>
                      <w:bCs/>
                      <w:color w:val="000000" w:themeColor="text1"/>
                      <w:sz w:val="21"/>
                      <w:szCs w:val="21"/>
                    </w:rPr>
                    <w:t>去向</w:t>
                  </w:r>
                </w:p>
              </w:tc>
              <w:tc>
                <w:tcPr>
                  <w:tcW w:w="600" w:type="pct"/>
                  <w:vMerge w:val="restart"/>
                  <w:vAlign w:val="center"/>
                </w:tcPr>
                <w:p w14:paraId="58DD162F">
                  <w:pPr>
                    <w:spacing w:line="0" w:lineRule="atLeast"/>
                    <w:ind w:firstLine="0" w:firstLineChars="0"/>
                    <w:jc w:val="center"/>
                    <w:rPr>
                      <w:b/>
                      <w:bCs/>
                      <w:color w:val="000000" w:themeColor="text1"/>
                      <w:sz w:val="21"/>
                      <w:szCs w:val="21"/>
                    </w:rPr>
                  </w:pPr>
                  <w:r>
                    <w:rPr>
                      <w:b/>
                      <w:bCs/>
                      <w:color w:val="000000" w:themeColor="text1"/>
                      <w:sz w:val="21"/>
                      <w:szCs w:val="21"/>
                    </w:rPr>
                    <w:t>排放规律</w:t>
                  </w:r>
                </w:p>
              </w:tc>
              <w:tc>
                <w:tcPr>
                  <w:tcW w:w="1466" w:type="pct"/>
                  <w:gridSpan w:val="3"/>
                  <w:vAlign w:val="center"/>
                </w:tcPr>
                <w:p w14:paraId="00EB4E2F">
                  <w:pPr>
                    <w:spacing w:line="0" w:lineRule="atLeast"/>
                    <w:ind w:firstLine="0" w:firstLineChars="0"/>
                    <w:jc w:val="center"/>
                    <w:rPr>
                      <w:b/>
                      <w:bCs/>
                      <w:color w:val="000000" w:themeColor="text1"/>
                      <w:sz w:val="21"/>
                      <w:szCs w:val="21"/>
                    </w:rPr>
                  </w:pPr>
                  <w:r>
                    <w:rPr>
                      <w:b/>
                      <w:bCs/>
                      <w:color w:val="000000" w:themeColor="text1"/>
                      <w:sz w:val="21"/>
                      <w:szCs w:val="21"/>
                    </w:rPr>
                    <w:t>污染治理设施</w:t>
                  </w:r>
                </w:p>
              </w:tc>
              <w:tc>
                <w:tcPr>
                  <w:tcW w:w="420" w:type="pct"/>
                  <w:vMerge w:val="restart"/>
                  <w:vAlign w:val="center"/>
                </w:tcPr>
                <w:p w14:paraId="5D52C1FE">
                  <w:pPr>
                    <w:spacing w:line="0" w:lineRule="atLeast"/>
                    <w:ind w:firstLine="0" w:firstLineChars="0"/>
                    <w:jc w:val="center"/>
                    <w:rPr>
                      <w:b/>
                      <w:bCs/>
                      <w:color w:val="000000" w:themeColor="text1"/>
                      <w:sz w:val="21"/>
                      <w:szCs w:val="21"/>
                    </w:rPr>
                  </w:pPr>
                  <w:r>
                    <w:rPr>
                      <w:b/>
                      <w:bCs/>
                      <w:color w:val="000000" w:themeColor="text1"/>
                      <w:sz w:val="21"/>
                      <w:szCs w:val="21"/>
                    </w:rPr>
                    <w:t>排放口编号</w:t>
                  </w:r>
                </w:p>
              </w:tc>
              <w:tc>
                <w:tcPr>
                  <w:tcW w:w="571" w:type="pct"/>
                  <w:vMerge w:val="restart"/>
                  <w:vAlign w:val="center"/>
                </w:tcPr>
                <w:p w14:paraId="4992F840">
                  <w:pPr>
                    <w:spacing w:line="0" w:lineRule="atLeast"/>
                    <w:ind w:firstLine="0" w:firstLineChars="0"/>
                    <w:jc w:val="center"/>
                    <w:rPr>
                      <w:b/>
                      <w:bCs/>
                      <w:color w:val="000000" w:themeColor="text1"/>
                      <w:sz w:val="21"/>
                      <w:szCs w:val="21"/>
                    </w:rPr>
                  </w:pPr>
                  <w:r>
                    <w:rPr>
                      <w:b/>
                      <w:bCs/>
                      <w:color w:val="000000" w:themeColor="text1"/>
                      <w:sz w:val="21"/>
                      <w:szCs w:val="21"/>
                    </w:rPr>
                    <w:t>排放口设置是否符合要求</w:t>
                  </w:r>
                </w:p>
              </w:tc>
              <w:tc>
                <w:tcPr>
                  <w:tcW w:w="479" w:type="pct"/>
                  <w:vMerge w:val="restart"/>
                  <w:vAlign w:val="center"/>
                </w:tcPr>
                <w:p w14:paraId="77F178C4">
                  <w:pPr>
                    <w:spacing w:line="0" w:lineRule="atLeast"/>
                    <w:ind w:firstLine="0" w:firstLineChars="0"/>
                    <w:jc w:val="center"/>
                    <w:rPr>
                      <w:b/>
                      <w:bCs/>
                      <w:color w:val="000000" w:themeColor="text1"/>
                      <w:sz w:val="21"/>
                      <w:szCs w:val="21"/>
                    </w:rPr>
                  </w:pPr>
                  <w:r>
                    <w:rPr>
                      <w:b/>
                      <w:bCs/>
                      <w:color w:val="000000" w:themeColor="text1"/>
                      <w:sz w:val="21"/>
                      <w:szCs w:val="21"/>
                    </w:rPr>
                    <w:t>排放口</w:t>
                  </w:r>
                </w:p>
                <w:p w14:paraId="44E5246E">
                  <w:pPr>
                    <w:spacing w:line="0" w:lineRule="atLeast"/>
                    <w:ind w:firstLine="0" w:firstLineChars="0"/>
                    <w:jc w:val="center"/>
                    <w:rPr>
                      <w:b/>
                      <w:bCs/>
                      <w:color w:val="000000" w:themeColor="text1"/>
                      <w:sz w:val="21"/>
                      <w:szCs w:val="21"/>
                    </w:rPr>
                  </w:pPr>
                  <w:r>
                    <w:rPr>
                      <w:b/>
                      <w:bCs/>
                      <w:color w:val="000000" w:themeColor="text1"/>
                      <w:sz w:val="21"/>
                      <w:szCs w:val="21"/>
                    </w:rPr>
                    <w:t>类型</w:t>
                  </w:r>
                </w:p>
              </w:tc>
            </w:tr>
            <w:tr w14:paraId="75513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266" w:type="pct"/>
                  <w:vMerge w:val="continue"/>
                  <w:vAlign w:val="center"/>
                </w:tcPr>
                <w:p w14:paraId="77B3F358">
                  <w:pPr>
                    <w:spacing w:line="0" w:lineRule="atLeast"/>
                    <w:ind w:firstLine="0" w:firstLineChars="0"/>
                    <w:jc w:val="center"/>
                    <w:rPr>
                      <w:b/>
                      <w:bCs/>
                      <w:color w:val="000000" w:themeColor="text1"/>
                      <w:sz w:val="21"/>
                      <w:szCs w:val="21"/>
                    </w:rPr>
                  </w:pPr>
                </w:p>
              </w:tc>
              <w:tc>
                <w:tcPr>
                  <w:tcW w:w="321" w:type="pct"/>
                  <w:vMerge w:val="continue"/>
                  <w:vAlign w:val="center"/>
                </w:tcPr>
                <w:p w14:paraId="12A83AAC">
                  <w:pPr>
                    <w:spacing w:line="0" w:lineRule="atLeast"/>
                    <w:ind w:firstLine="0" w:firstLineChars="0"/>
                    <w:jc w:val="center"/>
                    <w:rPr>
                      <w:b/>
                      <w:bCs/>
                      <w:color w:val="000000" w:themeColor="text1"/>
                      <w:sz w:val="21"/>
                      <w:szCs w:val="21"/>
                    </w:rPr>
                  </w:pPr>
                </w:p>
              </w:tc>
              <w:tc>
                <w:tcPr>
                  <w:tcW w:w="525" w:type="pct"/>
                  <w:vMerge w:val="continue"/>
                  <w:vAlign w:val="center"/>
                </w:tcPr>
                <w:p w14:paraId="0ED6A07F">
                  <w:pPr>
                    <w:spacing w:line="0" w:lineRule="atLeast"/>
                    <w:ind w:firstLine="0" w:firstLineChars="0"/>
                    <w:jc w:val="center"/>
                    <w:rPr>
                      <w:b/>
                      <w:bCs/>
                      <w:color w:val="000000" w:themeColor="text1"/>
                      <w:sz w:val="21"/>
                      <w:szCs w:val="21"/>
                    </w:rPr>
                  </w:pPr>
                </w:p>
              </w:tc>
              <w:tc>
                <w:tcPr>
                  <w:tcW w:w="348" w:type="pct"/>
                  <w:vMerge w:val="continue"/>
                  <w:vAlign w:val="center"/>
                </w:tcPr>
                <w:p w14:paraId="6C197EC2">
                  <w:pPr>
                    <w:spacing w:line="0" w:lineRule="atLeast"/>
                    <w:ind w:firstLine="0" w:firstLineChars="0"/>
                    <w:jc w:val="center"/>
                    <w:rPr>
                      <w:b/>
                      <w:bCs/>
                      <w:color w:val="000000" w:themeColor="text1"/>
                      <w:sz w:val="21"/>
                      <w:szCs w:val="21"/>
                    </w:rPr>
                  </w:pPr>
                </w:p>
              </w:tc>
              <w:tc>
                <w:tcPr>
                  <w:tcW w:w="600" w:type="pct"/>
                  <w:vMerge w:val="continue"/>
                  <w:vAlign w:val="center"/>
                </w:tcPr>
                <w:p w14:paraId="3033E08D">
                  <w:pPr>
                    <w:spacing w:line="0" w:lineRule="atLeast"/>
                    <w:ind w:firstLine="0" w:firstLineChars="0"/>
                    <w:jc w:val="center"/>
                    <w:rPr>
                      <w:b/>
                      <w:bCs/>
                      <w:color w:val="000000" w:themeColor="text1"/>
                      <w:sz w:val="21"/>
                      <w:szCs w:val="21"/>
                    </w:rPr>
                  </w:pPr>
                </w:p>
              </w:tc>
              <w:tc>
                <w:tcPr>
                  <w:tcW w:w="482" w:type="pct"/>
                  <w:vAlign w:val="center"/>
                </w:tcPr>
                <w:p w14:paraId="101E0E3A">
                  <w:pPr>
                    <w:spacing w:line="0" w:lineRule="atLeast"/>
                    <w:ind w:firstLine="0" w:firstLineChars="0"/>
                    <w:jc w:val="center"/>
                    <w:rPr>
                      <w:b/>
                      <w:bCs/>
                      <w:color w:val="000000" w:themeColor="text1"/>
                      <w:sz w:val="21"/>
                      <w:szCs w:val="21"/>
                    </w:rPr>
                  </w:pPr>
                  <w:r>
                    <w:rPr>
                      <w:b/>
                      <w:bCs/>
                      <w:color w:val="000000" w:themeColor="text1"/>
                      <w:sz w:val="21"/>
                      <w:szCs w:val="21"/>
                    </w:rPr>
                    <w:t>污染治理设施编号</w:t>
                  </w:r>
                </w:p>
              </w:tc>
              <w:tc>
                <w:tcPr>
                  <w:tcW w:w="500" w:type="pct"/>
                  <w:vAlign w:val="center"/>
                </w:tcPr>
                <w:p w14:paraId="732975FC">
                  <w:pPr>
                    <w:spacing w:line="0" w:lineRule="atLeast"/>
                    <w:ind w:firstLine="0" w:firstLineChars="0"/>
                    <w:jc w:val="center"/>
                    <w:rPr>
                      <w:b/>
                      <w:bCs/>
                      <w:color w:val="000000" w:themeColor="text1"/>
                      <w:sz w:val="21"/>
                      <w:szCs w:val="21"/>
                    </w:rPr>
                  </w:pPr>
                  <w:r>
                    <w:rPr>
                      <w:b/>
                      <w:bCs/>
                      <w:color w:val="000000" w:themeColor="text1"/>
                      <w:sz w:val="21"/>
                      <w:szCs w:val="21"/>
                    </w:rPr>
                    <w:t>污染治理设施名称</w:t>
                  </w:r>
                </w:p>
              </w:tc>
              <w:tc>
                <w:tcPr>
                  <w:tcW w:w="483" w:type="pct"/>
                  <w:vAlign w:val="center"/>
                </w:tcPr>
                <w:p w14:paraId="4AEED0A3">
                  <w:pPr>
                    <w:spacing w:line="0" w:lineRule="atLeast"/>
                    <w:ind w:firstLine="0" w:firstLineChars="0"/>
                    <w:jc w:val="center"/>
                    <w:rPr>
                      <w:b/>
                      <w:bCs/>
                      <w:color w:val="000000" w:themeColor="text1"/>
                      <w:sz w:val="21"/>
                      <w:szCs w:val="21"/>
                    </w:rPr>
                  </w:pPr>
                  <w:r>
                    <w:rPr>
                      <w:b/>
                      <w:bCs/>
                      <w:color w:val="000000" w:themeColor="text1"/>
                      <w:sz w:val="21"/>
                      <w:szCs w:val="21"/>
                    </w:rPr>
                    <w:t>污染治理设施工艺</w:t>
                  </w:r>
                </w:p>
              </w:tc>
              <w:tc>
                <w:tcPr>
                  <w:tcW w:w="420" w:type="pct"/>
                  <w:vMerge w:val="continue"/>
                  <w:vAlign w:val="center"/>
                </w:tcPr>
                <w:p w14:paraId="0033888A">
                  <w:pPr>
                    <w:spacing w:line="0" w:lineRule="atLeast"/>
                    <w:ind w:firstLine="0" w:firstLineChars="0"/>
                    <w:jc w:val="center"/>
                    <w:rPr>
                      <w:b/>
                      <w:bCs/>
                      <w:color w:val="000000" w:themeColor="text1"/>
                      <w:sz w:val="21"/>
                      <w:szCs w:val="21"/>
                    </w:rPr>
                  </w:pPr>
                </w:p>
              </w:tc>
              <w:tc>
                <w:tcPr>
                  <w:tcW w:w="571" w:type="pct"/>
                  <w:vMerge w:val="continue"/>
                  <w:vAlign w:val="center"/>
                </w:tcPr>
                <w:p w14:paraId="57D64730">
                  <w:pPr>
                    <w:spacing w:line="0" w:lineRule="atLeast"/>
                    <w:ind w:firstLine="0" w:firstLineChars="0"/>
                    <w:jc w:val="center"/>
                    <w:rPr>
                      <w:b/>
                      <w:bCs/>
                      <w:color w:val="000000" w:themeColor="text1"/>
                      <w:sz w:val="21"/>
                      <w:szCs w:val="21"/>
                    </w:rPr>
                  </w:pPr>
                </w:p>
              </w:tc>
              <w:tc>
                <w:tcPr>
                  <w:tcW w:w="479" w:type="pct"/>
                  <w:vMerge w:val="continue"/>
                  <w:vAlign w:val="center"/>
                </w:tcPr>
                <w:p w14:paraId="16792465">
                  <w:pPr>
                    <w:spacing w:line="0" w:lineRule="atLeast"/>
                    <w:ind w:firstLine="0" w:firstLineChars="0"/>
                    <w:jc w:val="center"/>
                    <w:rPr>
                      <w:b/>
                      <w:bCs/>
                      <w:color w:val="000000" w:themeColor="text1"/>
                      <w:sz w:val="21"/>
                      <w:szCs w:val="21"/>
                    </w:rPr>
                  </w:pPr>
                </w:p>
              </w:tc>
            </w:tr>
            <w:tr w14:paraId="30D65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266" w:type="pct"/>
                  <w:vAlign w:val="center"/>
                </w:tcPr>
                <w:p w14:paraId="168AF540">
                  <w:pPr>
                    <w:numPr>
                      <w:ilvl w:val="0"/>
                      <w:numId w:val="6"/>
                    </w:numPr>
                    <w:spacing w:line="0" w:lineRule="atLeast"/>
                    <w:ind w:firstLineChars="0"/>
                    <w:jc w:val="center"/>
                    <w:rPr>
                      <w:color w:val="000000" w:themeColor="text1"/>
                      <w:sz w:val="21"/>
                      <w:szCs w:val="21"/>
                    </w:rPr>
                  </w:pPr>
                </w:p>
              </w:tc>
              <w:tc>
                <w:tcPr>
                  <w:tcW w:w="321" w:type="pct"/>
                  <w:vAlign w:val="center"/>
                </w:tcPr>
                <w:p w14:paraId="62D24161">
                  <w:pPr>
                    <w:spacing w:line="0" w:lineRule="atLeast"/>
                    <w:ind w:firstLine="0" w:firstLineChars="0"/>
                    <w:jc w:val="center"/>
                    <w:rPr>
                      <w:color w:val="000000" w:themeColor="text1"/>
                      <w:sz w:val="21"/>
                      <w:szCs w:val="21"/>
                    </w:rPr>
                  </w:pPr>
                  <w:r>
                    <w:rPr>
                      <w:color w:val="000000" w:themeColor="text1"/>
                      <w:sz w:val="21"/>
                      <w:szCs w:val="21"/>
                    </w:rPr>
                    <w:t>生活污水</w:t>
                  </w:r>
                </w:p>
              </w:tc>
              <w:tc>
                <w:tcPr>
                  <w:tcW w:w="525" w:type="pct"/>
                  <w:vAlign w:val="center"/>
                </w:tcPr>
                <w:p w14:paraId="33D92614">
                  <w:pPr>
                    <w:spacing w:line="0" w:lineRule="atLeast"/>
                    <w:ind w:firstLine="0" w:firstLineChars="0"/>
                    <w:jc w:val="center"/>
                    <w:rPr>
                      <w:color w:val="000000" w:themeColor="text1"/>
                      <w:sz w:val="21"/>
                      <w:szCs w:val="21"/>
                    </w:rPr>
                  </w:pPr>
                  <w:r>
                    <w:rPr>
                      <w:rFonts w:hint="eastAsia"/>
                      <w:color w:val="000000" w:themeColor="text1"/>
                      <w:sz w:val="21"/>
                      <w:szCs w:val="21"/>
                    </w:rPr>
                    <w:t>pH、</w:t>
                  </w:r>
                  <w:r>
                    <w:rPr>
                      <w:color w:val="000000" w:themeColor="text1"/>
                      <w:sz w:val="21"/>
                      <w:szCs w:val="21"/>
                    </w:rPr>
                    <w:t>COD、BOD</w:t>
                  </w:r>
                  <w:r>
                    <w:rPr>
                      <w:color w:val="000000" w:themeColor="text1"/>
                      <w:sz w:val="21"/>
                      <w:szCs w:val="21"/>
                      <w:vertAlign w:val="subscript"/>
                    </w:rPr>
                    <w:t>5</w:t>
                  </w:r>
                  <w:r>
                    <w:rPr>
                      <w:color w:val="000000" w:themeColor="text1"/>
                      <w:sz w:val="21"/>
                      <w:szCs w:val="21"/>
                    </w:rPr>
                    <w:t>、氨氮、SS</w:t>
                  </w:r>
                  <w:r>
                    <w:rPr>
                      <w:rFonts w:hint="eastAsia"/>
                      <w:color w:val="000000" w:themeColor="text1"/>
                      <w:sz w:val="21"/>
                      <w:szCs w:val="21"/>
                    </w:rPr>
                    <w:t>、总氮、总磷</w:t>
                  </w:r>
                </w:p>
              </w:tc>
              <w:tc>
                <w:tcPr>
                  <w:tcW w:w="348" w:type="pct"/>
                  <w:vAlign w:val="center"/>
                </w:tcPr>
                <w:p w14:paraId="5B83B8F4">
                  <w:pPr>
                    <w:spacing w:line="0" w:lineRule="atLeast"/>
                    <w:ind w:firstLine="0" w:firstLineChars="0"/>
                    <w:jc w:val="center"/>
                    <w:rPr>
                      <w:color w:val="000000" w:themeColor="text1"/>
                      <w:sz w:val="21"/>
                      <w:szCs w:val="21"/>
                    </w:rPr>
                  </w:pPr>
                  <w:r>
                    <w:rPr>
                      <w:color w:val="000000" w:themeColor="text1"/>
                      <w:sz w:val="21"/>
                      <w:szCs w:val="21"/>
                    </w:rPr>
                    <w:t>城市污水处理厂</w:t>
                  </w:r>
                </w:p>
              </w:tc>
              <w:tc>
                <w:tcPr>
                  <w:tcW w:w="600" w:type="pct"/>
                  <w:vAlign w:val="center"/>
                </w:tcPr>
                <w:p w14:paraId="6A0E9B7B">
                  <w:pPr>
                    <w:spacing w:line="0" w:lineRule="atLeast"/>
                    <w:ind w:firstLine="0" w:firstLineChars="0"/>
                    <w:jc w:val="center"/>
                    <w:rPr>
                      <w:color w:val="000000" w:themeColor="text1"/>
                      <w:sz w:val="21"/>
                      <w:szCs w:val="21"/>
                    </w:rPr>
                  </w:pPr>
                  <w:r>
                    <w:rPr>
                      <w:color w:val="000000" w:themeColor="text1"/>
                      <w:sz w:val="21"/>
                      <w:szCs w:val="21"/>
                    </w:rPr>
                    <w:t>间断排放，排放期间流量不稳定且无规律，但不属于冲击型排放</w:t>
                  </w:r>
                </w:p>
              </w:tc>
              <w:tc>
                <w:tcPr>
                  <w:tcW w:w="482" w:type="pct"/>
                  <w:vAlign w:val="center"/>
                </w:tcPr>
                <w:p w14:paraId="433376F7">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500" w:type="pct"/>
                  <w:vAlign w:val="center"/>
                </w:tcPr>
                <w:p w14:paraId="549C3EED">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483" w:type="pct"/>
                  <w:vAlign w:val="center"/>
                </w:tcPr>
                <w:p w14:paraId="34295FD4">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420" w:type="pct"/>
                  <w:vAlign w:val="center"/>
                </w:tcPr>
                <w:p w14:paraId="2087E36A">
                  <w:pPr>
                    <w:spacing w:line="0" w:lineRule="atLeast"/>
                    <w:ind w:firstLine="0" w:firstLineChars="0"/>
                    <w:jc w:val="center"/>
                    <w:rPr>
                      <w:color w:val="000000" w:themeColor="text1"/>
                      <w:sz w:val="21"/>
                      <w:szCs w:val="21"/>
                    </w:rPr>
                  </w:pPr>
                  <w:r>
                    <w:rPr>
                      <w:rFonts w:hint="eastAsia"/>
                      <w:color w:val="000000" w:themeColor="text1"/>
                      <w:sz w:val="21"/>
                      <w:szCs w:val="21"/>
                    </w:rPr>
                    <w:t>DW001</w:t>
                  </w:r>
                </w:p>
              </w:tc>
              <w:tc>
                <w:tcPr>
                  <w:tcW w:w="571" w:type="pct"/>
                  <w:vAlign w:val="center"/>
                </w:tcPr>
                <w:p w14:paraId="0C2E01A0">
                  <w:pPr>
                    <w:spacing w:line="0" w:lineRule="atLeast"/>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是</w:t>
                  </w:r>
                </w:p>
                <w:p w14:paraId="0DB62656">
                  <w:pPr>
                    <w:spacing w:line="0" w:lineRule="atLeast"/>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否</w:t>
                  </w:r>
                </w:p>
              </w:tc>
              <w:tc>
                <w:tcPr>
                  <w:tcW w:w="479" w:type="pct"/>
                  <w:vAlign w:val="center"/>
                </w:tcPr>
                <w:p w14:paraId="562841A2">
                  <w:pPr>
                    <w:spacing w:line="0" w:lineRule="atLeast"/>
                    <w:ind w:firstLine="0" w:firstLineChars="0"/>
                    <w:jc w:val="center"/>
                    <w:rPr>
                      <w:color w:val="000000" w:themeColor="text1"/>
                      <w:sz w:val="21"/>
                      <w:szCs w:val="21"/>
                    </w:rPr>
                  </w:pPr>
                  <w:r>
                    <w:rPr>
                      <w:rFonts w:hint="eastAsia"/>
                      <w:color w:val="000000" w:themeColor="text1"/>
                      <w:sz w:val="21"/>
                      <w:szCs w:val="21"/>
                    </w:rPr>
                    <w:t>一般排放口</w:t>
                  </w:r>
                </w:p>
              </w:tc>
            </w:tr>
          </w:tbl>
          <w:p w14:paraId="67B9503E">
            <w:pPr>
              <w:ind w:firstLine="480"/>
              <w:rPr>
                <w:color w:val="000000" w:themeColor="text1"/>
              </w:rPr>
            </w:pPr>
            <w:r>
              <w:rPr>
                <w:rFonts w:hint="eastAsia"/>
                <w:color w:val="000000" w:themeColor="text1"/>
              </w:rPr>
              <w:t>废水污染物排放情况见下表。</w:t>
            </w:r>
          </w:p>
          <w:p w14:paraId="747C79BC">
            <w:pPr>
              <w:autoSpaceDE w:val="0"/>
              <w:autoSpaceDN w:val="0"/>
              <w:adjustRightInd w:val="0"/>
              <w:snapToGrid w:val="0"/>
              <w:ind w:firstLine="0" w:firstLineChars="0"/>
              <w:jc w:val="center"/>
              <w:rPr>
                <w:b/>
                <w:color w:val="000000" w:themeColor="text1"/>
              </w:rPr>
            </w:pPr>
            <w:r>
              <w:rPr>
                <w:rFonts w:hint="eastAsia"/>
                <w:b/>
                <w:color w:val="000000" w:themeColor="text1"/>
                <w:sz w:val="21"/>
                <w:szCs w:val="21"/>
              </w:rPr>
              <w:t>表43  污染物排放情况一览表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695"/>
              <w:gridCol w:w="1187"/>
              <w:gridCol w:w="1134"/>
              <w:gridCol w:w="1009"/>
              <w:gridCol w:w="1220"/>
              <w:gridCol w:w="1386"/>
              <w:gridCol w:w="1418"/>
            </w:tblGrid>
            <w:tr w14:paraId="6284B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8" w:hRule="atLeast"/>
                <w:jc w:val="center"/>
              </w:trPr>
              <w:tc>
                <w:tcPr>
                  <w:tcW w:w="431" w:type="pct"/>
                  <w:vAlign w:val="center"/>
                </w:tcPr>
                <w:p w14:paraId="42D7A276">
                  <w:pPr>
                    <w:spacing w:line="0" w:lineRule="atLeast"/>
                    <w:ind w:firstLine="0" w:firstLineChars="0"/>
                    <w:jc w:val="center"/>
                    <w:rPr>
                      <w:b/>
                      <w:bCs/>
                      <w:color w:val="000000" w:themeColor="text1"/>
                      <w:sz w:val="21"/>
                      <w:szCs w:val="21"/>
                    </w:rPr>
                  </w:pPr>
                  <w:r>
                    <w:rPr>
                      <w:b/>
                      <w:bCs/>
                      <w:color w:val="000000" w:themeColor="text1"/>
                      <w:sz w:val="21"/>
                      <w:szCs w:val="21"/>
                    </w:rPr>
                    <w:t>序号</w:t>
                  </w:r>
                </w:p>
              </w:tc>
              <w:tc>
                <w:tcPr>
                  <w:tcW w:w="737" w:type="pct"/>
                  <w:vAlign w:val="center"/>
                </w:tcPr>
                <w:p w14:paraId="637DB5D2">
                  <w:pPr>
                    <w:spacing w:line="0" w:lineRule="atLeast"/>
                    <w:ind w:firstLine="0" w:firstLineChars="0"/>
                    <w:jc w:val="center"/>
                    <w:rPr>
                      <w:b/>
                      <w:bCs/>
                      <w:color w:val="000000" w:themeColor="text1"/>
                      <w:sz w:val="21"/>
                      <w:szCs w:val="21"/>
                    </w:rPr>
                  </w:pPr>
                  <w:r>
                    <w:rPr>
                      <w:rFonts w:hint="eastAsia"/>
                      <w:b/>
                      <w:bCs/>
                      <w:color w:val="000000" w:themeColor="text1"/>
                      <w:sz w:val="21"/>
                      <w:szCs w:val="21"/>
                    </w:rPr>
                    <w:t>污染物</w:t>
                  </w:r>
                </w:p>
              </w:tc>
              <w:tc>
                <w:tcPr>
                  <w:tcW w:w="704" w:type="pct"/>
                  <w:vAlign w:val="center"/>
                </w:tcPr>
                <w:p w14:paraId="7B4F7DE3">
                  <w:pPr>
                    <w:spacing w:line="0" w:lineRule="atLeast"/>
                    <w:ind w:firstLine="0" w:firstLineChars="0"/>
                    <w:jc w:val="center"/>
                    <w:rPr>
                      <w:b/>
                      <w:bCs/>
                      <w:color w:val="000000" w:themeColor="text1"/>
                      <w:sz w:val="21"/>
                      <w:szCs w:val="21"/>
                    </w:rPr>
                  </w:pPr>
                  <w:r>
                    <w:rPr>
                      <w:rFonts w:hint="eastAsia"/>
                      <w:b/>
                      <w:bCs/>
                      <w:color w:val="000000" w:themeColor="text1"/>
                      <w:sz w:val="21"/>
                      <w:szCs w:val="21"/>
                    </w:rPr>
                    <w:t>排放浓度</w:t>
                  </w:r>
                </w:p>
              </w:tc>
              <w:tc>
                <w:tcPr>
                  <w:tcW w:w="627" w:type="pct"/>
                  <w:vAlign w:val="center"/>
                </w:tcPr>
                <w:p w14:paraId="2EB3BF16">
                  <w:pPr>
                    <w:spacing w:line="0" w:lineRule="atLeast"/>
                    <w:ind w:firstLine="0" w:firstLineChars="0"/>
                    <w:jc w:val="center"/>
                    <w:rPr>
                      <w:b/>
                      <w:bCs/>
                      <w:color w:val="000000" w:themeColor="text1"/>
                      <w:sz w:val="21"/>
                      <w:szCs w:val="21"/>
                    </w:rPr>
                  </w:pPr>
                  <w:r>
                    <w:rPr>
                      <w:rFonts w:hint="eastAsia"/>
                      <w:b/>
                      <w:bCs/>
                      <w:color w:val="000000" w:themeColor="text1"/>
                      <w:sz w:val="21"/>
                      <w:szCs w:val="21"/>
                    </w:rPr>
                    <w:t>排放限值</w:t>
                  </w:r>
                </w:p>
              </w:tc>
              <w:tc>
                <w:tcPr>
                  <w:tcW w:w="758" w:type="pct"/>
                  <w:vAlign w:val="center"/>
                </w:tcPr>
                <w:p w14:paraId="37DE5D93">
                  <w:pPr>
                    <w:spacing w:line="0" w:lineRule="atLeast"/>
                    <w:ind w:firstLine="0" w:firstLineChars="0"/>
                    <w:jc w:val="center"/>
                    <w:rPr>
                      <w:b/>
                      <w:bCs/>
                      <w:color w:val="000000" w:themeColor="text1"/>
                      <w:sz w:val="21"/>
                      <w:szCs w:val="21"/>
                    </w:rPr>
                  </w:pPr>
                  <w:r>
                    <w:rPr>
                      <w:rFonts w:hint="eastAsia"/>
                      <w:b/>
                      <w:bCs/>
                      <w:color w:val="000000" w:themeColor="text1"/>
                      <w:sz w:val="21"/>
                      <w:szCs w:val="21"/>
                    </w:rPr>
                    <w:t>废水排放量</w:t>
                  </w:r>
                </w:p>
              </w:tc>
              <w:tc>
                <w:tcPr>
                  <w:tcW w:w="860" w:type="pct"/>
                  <w:vAlign w:val="center"/>
                </w:tcPr>
                <w:p w14:paraId="357BC8DD">
                  <w:pPr>
                    <w:spacing w:line="0" w:lineRule="atLeast"/>
                    <w:ind w:firstLine="0" w:firstLineChars="0"/>
                    <w:jc w:val="center"/>
                    <w:rPr>
                      <w:b/>
                      <w:bCs/>
                      <w:color w:val="000000" w:themeColor="text1"/>
                      <w:sz w:val="21"/>
                      <w:szCs w:val="21"/>
                    </w:rPr>
                  </w:pPr>
                  <w:r>
                    <w:rPr>
                      <w:rFonts w:hint="eastAsia"/>
                      <w:b/>
                      <w:bCs/>
                      <w:color w:val="000000" w:themeColor="text1"/>
                      <w:sz w:val="21"/>
                      <w:szCs w:val="21"/>
                    </w:rPr>
                    <w:t>污染物排放量</w:t>
                  </w:r>
                </w:p>
              </w:tc>
              <w:tc>
                <w:tcPr>
                  <w:tcW w:w="880" w:type="pct"/>
                  <w:vAlign w:val="center"/>
                </w:tcPr>
                <w:p w14:paraId="75AFEFEA">
                  <w:pPr>
                    <w:spacing w:line="0" w:lineRule="atLeast"/>
                    <w:ind w:firstLine="0" w:firstLineChars="0"/>
                    <w:jc w:val="center"/>
                    <w:rPr>
                      <w:b/>
                      <w:bCs/>
                      <w:color w:val="000000" w:themeColor="text1"/>
                      <w:sz w:val="21"/>
                      <w:szCs w:val="21"/>
                    </w:rPr>
                  </w:pPr>
                  <w:r>
                    <w:rPr>
                      <w:rFonts w:hint="eastAsia"/>
                      <w:b/>
                      <w:bCs/>
                      <w:color w:val="000000" w:themeColor="text1"/>
                      <w:sz w:val="21"/>
                      <w:szCs w:val="21"/>
                    </w:rPr>
                    <w:t>排放去向</w:t>
                  </w:r>
                </w:p>
              </w:tc>
            </w:tr>
            <w:tr w14:paraId="79CC9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5" w:hRule="atLeast"/>
                <w:jc w:val="center"/>
              </w:trPr>
              <w:tc>
                <w:tcPr>
                  <w:tcW w:w="431" w:type="pct"/>
                  <w:vAlign w:val="center"/>
                </w:tcPr>
                <w:p w14:paraId="6C386229">
                  <w:pPr>
                    <w:numPr>
                      <w:ilvl w:val="0"/>
                      <w:numId w:val="7"/>
                    </w:numPr>
                    <w:spacing w:line="0" w:lineRule="atLeast"/>
                    <w:ind w:firstLine="0" w:firstLineChars="0"/>
                    <w:jc w:val="center"/>
                    <w:rPr>
                      <w:color w:val="000000" w:themeColor="text1"/>
                      <w:sz w:val="21"/>
                      <w:szCs w:val="21"/>
                    </w:rPr>
                  </w:pPr>
                </w:p>
              </w:tc>
              <w:tc>
                <w:tcPr>
                  <w:tcW w:w="737" w:type="pct"/>
                  <w:vAlign w:val="center"/>
                </w:tcPr>
                <w:p w14:paraId="04E13B72">
                  <w:pPr>
                    <w:spacing w:line="0" w:lineRule="atLeast"/>
                    <w:ind w:firstLine="0" w:firstLineChars="0"/>
                    <w:jc w:val="center"/>
                    <w:rPr>
                      <w:color w:val="000000" w:themeColor="text1"/>
                      <w:sz w:val="21"/>
                      <w:szCs w:val="21"/>
                    </w:rPr>
                  </w:pPr>
                  <w:r>
                    <w:rPr>
                      <w:rFonts w:hint="eastAsia"/>
                      <w:color w:val="000000" w:themeColor="text1"/>
                      <w:sz w:val="21"/>
                      <w:szCs w:val="21"/>
                    </w:rPr>
                    <w:t>pH</w:t>
                  </w:r>
                </w:p>
              </w:tc>
              <w:tc>
                <w:tcPr>
                  <w:tcW w:w="704" w:type="pct"/>
                  <w:vAlign w:val="center"/>
                </w:tcPr>
                <w:p w14:paraId="79413BCC">
                  <w:pPr>
                    <w:spacing w:line="0" w:lineRule="atLeast"/>
                    <w:ind w:firstLine="0" w:firstLineChars="0"/>
                    <w:jc w:val="center"/>
                    <w:rPr>
                      <w:color w:val="000000" w:themeColor="text1"/>
                      <w:sz w:val="21"/>
                      <w:szCs w:val="21"/>
                    </w:rPr>
                  </w:pPr>
                  <w:r>
                    <w:rPr>
                      <w:rFonts w:hint="eastAsia"/>
                      <w:color w:val="000000" w:themeColor="text1"/>
                      <w:sz w:val="21"/>
                      <w:szCs w:val="21"/>
                    </w:rPr>
                    <w:t>6~9（无量纲）</w:t>
                  </w:r>
                </w:p>
              </w:tc>
              <w:tc>
                <w:tcPr>
                  <w:tcW w:w="627" w:type="pct"/>
                  <w:vAlign w:val="center"/>
                </w:tcPr>
                <w:p w14:paraId="56A0CD43">
                  <w:pPr>
                    <w:spacing w:line="0" w:lineRule="atLeast"/>
                    <w:ind w:firstLine="0" w:firstLineChars="0"/>
                    <w:jc w:val="center"/>
                    <w:rPr>
                      <w:color w:val="000000" w:themeColor="text1"/>
                      <w:sz w:val="21"/>
                      <w:szCs w:val="21"/>
                    </w:rPr>
                  </w:pPr>
                  <w:r>
                    <w:rPr>
                      <w:rFonts w:hint="eastAsia"/>
                      <w:color w:val="000000" w:themeColor="text1"/>
                      <w:sz w:val="21"/>
                      <w:szCs w:val="21"/>
                    </w:rPr>
                    <w:t>6~9（无量纲）</w:t>
                  </w:r>
                </w:p>
              </w:tc>
              <w:tc>
                <w:tcPr>
                  <w:tcW w:w="758" w:type="pct"/>
                  <w:vMerge w:val="restart"/>
                  <w:vAlign w:val="center"/>
                </w:tcPr>
                <w:p w14:paraId="6BE8C757">
                  <w:pPr>
                    <w:spacing w:line="0" w:lineRule="atLeast"/>
                    <w:ind w:firstLine="0" w:firstLineChars="0"/>
                    <w:jc w:val="center"/>
                    <w:rPr>
                      <w:color w:val="000000" w:themeColor="text1"/>
                      <w:sz w:val="21"/>
                      <w:szCs w:val="21"/>
                    </w:rPr>
                  </w:pPr>
                  <w:r>
                    <w:rPr>
                      <w:rFonts w:hint="eastAsia"/>
                      <w:color w:val="000000" w:themeColor="text1"/>
                      <w:sz w:val="21"/>
                      <w:szCs w:val="21"/>
                    </w:rPr>
                    <w:t>57.6m</w:t>
                  </w:r>
                  <w:r>
                    <w:rPr>
                      <w:rFonts w:hint="eastAsia"/>
                      <w:color w:val="000000" w:themeColor="text1"/>
                      <w:sz w:val="21"/>
                      <w:szCs w:val="21"/>
                      <w:vertAlign w:val="superscript"/>
                    </w:rPr>
                    <w:t>3</w:t>
                  </w:r>
                  <w:r>
                    <w:rPr>
                      <w:rFonts w:hint="eastAsia"/>
                      <w:color w:val="000000" w:themeColor="text1"/>
                      <w:sz w:val="21"/>
                      <w:szCs w:val="21"/>
                    </w:rPr>
                    <w:t>/a</w:t>
                  </w:r>
                </w:p>
              </w:tc>
              <w:tc>
                <w:tcPr>
                  <w:tcW w:w="860" w:type="pct"/>
                  <w:vAlign w:val="center"/>
                </w:tcPr>
                <w:p w14:paraId="26B448E6">
                  <w:pPr>
                    <w:spacing w:line="0" w:lineRule="atLeast"/>
                    <w:ind w:firstLine="0" w:firstLineChars="0"/>
                    <w:jc w:val="center"/>
                    <w:rPr>
                      <w:color w:val="000000" w:themeColor="text1"/>
                      <w:sz w:val="21"/>
                      <w:szCs w:val="21"/>
                    </w:rPr>
                  </w:pPr>
                  <w:r>
                    <w:rPr>
                      <w:rFonts w:hint="eastAsia" w:ascii="宋体" w:hAnsi="宋体" w:cs="宋体"/>
                      <w:color w:val="000000" w:themeColor="text1"/>
                      <w:sz w:val="21"/>
                      <w:szCs w:val="21"/>
                    </w:rPr>
                    <w:t>－</w:t>
                  </w:r>
                </w:p>
              </w:tc>
              <w:tc>
                <w:tcPr>
                  <w:tcW w:w="880" w:type="pct"/>
                  <w:vMerge w:val="restart"/>
                  <w:vAlign w:val="center"/>
                </w:tcPr>
                <w:p w14:paraId="04BCDD84">
                  <w:pPr>
                    <w:spacing w:line="0" w:lineRule="atLeast"/>
                    <w:ind w:firstLine="0" w:firstLineChars="0"/>
                    <w:jc w:val="center"/>
                    <w:rPr>
                      <w:color w:val="000000" w:themeColor="text1"/>
                      <w:sz w:val="21"/>
                      <w:szCs w:val="21"/>
                    </w:rPr>
                  </w:pPr>
                  <w:r>
                    <w:rPr>
                      <w:rFonts w:hint="eastAsia"/>
                      <w:color w:val="000000" w:themeColor="text1"/>
                      <w:sz w:val="21"/>
                      <w:szCs w:val="21"/>
                    </w:rPr>
                    <w:t>排入市政污水管网，最终进入曹妃甸工业区装备制造区污水处理站处理</w:t>
                  </w:r>
                </w:p>
              </w:tc>
            </w:tr>
            <w:tr w14:paraId="48B86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5" w:hRule="atLeast"/>
                <w:jc w:val="center"/>
              </w:trPr>
              <w:tc>
                <w:tcPr>
                  <w:tcW w:w="431" w:type="pct"/>
                  <w:vAlign w:val="center"/>
                </w:tcPr>
                <w:p w14:paraId="76C421B8">
                  <w:pPr>
                    <w:numPr>
                      <w:ilvl w:val="0"/>
                      <w:numId w:val="7"/>
                    </w:numPr>
                    <w:spacing w:line="0" w:lineRule="atLeast"/>
                    <w:ind w:firstLine="0" w:firstLineChars="0"/>
                    <w:jc w:val="center"/>
                    <w:rPr>
                      <w:color w:val="000000" w:themeColor="text1"/>
                      <w:sz w:val="21"/>
                      <w:szCs w:val="21"/>
                    </w:rPr>
                  </w:pPr>
                </w:p>
              </w:tc>
              <w:tc>
                <w:tcPr>
                  <w:tcW w:w="737" w:type="pct"/>
                  <w:vAlign w:val="center"/>
                </w:tcPr>
                <w:p w14:paraId="1CB7A444">
                  <w:pPr>
                    <w:pStyle w:val="35"/>
                    <w:rPr>
                      <w:color w:val="000000" w:themeColor="text1"/>
                      <w:kern w:val="2"/>
                    </w:rPr>
                  </w:pPr>
                  <w:r>
                    <w:rPr>
                      <w:rFonts w:eastAsiaTheme="minorEastAsia"/>
                      <w:snapToGrid w:val="0"/>
                      <w:color w:val="000000" w:themeColor="text1"/>
                      <w:kern w:val="21"/>
                    </w:rPr>
                    <w:t>COD</w:t>
                  </w:r>
                </w:p>
              </w:tc>
              <w:tc>
                <w:tcPr>
                  <w:tcW w:w="704" w:type="pct"/>
                  <w:vAlign w:val="center"/>
                </w:tcPr>
                <w:p w14:paraId="3A7B9223">
                  <w:pPr>
                    <w:spacing w:line="0" w:lineRule="atLeast"/>
                    <w:ind w:firstLine="0" w:firstLineChars="0"/>
                    <w:jc w:val="center"/>
                    <w:rPr>
                      <w:color w:val="000000" w:themeColor="text1"/>
                      <w:sz w:val="21"/>
                      <w:szCs w:val="21"/>
                    </w:rPr>
                  </w:pPr>
                  <w:r>
                    <w:rPr>
                      <w:rFonts w:hint="eastAsia"/>
                      <w:color w:val="000000" w:themeColor="text1"/>
                      <w:sz w:val="21"/>
                      <w:szCs w:val="21"/>
                    </w:rPr>
                    <w:t>300</w:t>
                  </w:r>
                  <w:r>
                    <w:rPr>
                      <w:color w:val="000000" w:themeColor="text1"/>
                      <w:sz w:val="21"/>
                      <w:szCs w:val="21"/>
                    </w:rPr>
                    <w:t>mg/L</w:t>
                  </w:r>
                </w:p>
              </w:tc>
              <w:tc>
                <w:tcPr>
                  <w:tcW w:w="627" w:type="pct"/>
                  <w:vAlign w:val="center"/>
                </w:tcPr>
                <w:p w14:paraId="03011F7F">
                  <w:pPr>
                    <w:spacing w:line="0" w:lineRule="atLeast"/>
                    <w:ind w:firstLine="0" w:firstLineChars="0"/>
                    <w:jc w:val="center"/>
                    <w:rPr>
                      <w:color w:val="000000" w:themeColor="text1"/>
                      <w:sz w:val="21"/>
                      <w:szCs w:val="21"/>
                    </w:rPr>
                  </w:pPr>
                  <w:r>
                    <w:rPr>
                      <w:rFonts w:hint="eastAsia"/>
                      <w:color w:val="000000" w:themeColor="text1"/>
                      <w:sz w:val="21"/>
                      <w:szCs w:val="21"/>
                    </w:rPr>
                    <w:t>350</w:t>
                  </w:r>
                  <w:r>
                    <w:rPr>
                      <w:color w:val="000000" w:themeColor="text1"/>
                      <w:sz w:val="21"/>
                      <w:szCs w:val="21"/>
                    </w:rPr>
                    <w:t>mg/L</w:t>
                  </w:r>
                </w:p>
              </w:tc>
              <w:tc>
                <w:tcPr>
                  <w:tcW w:w="758" w:type="pct"/>
                  <w:vMerge w:val="continue"/>
                  <w:vAlign w:val="center"/>
                </w:tcPr>
                <w:p w14:paraId="5A8A4AC7">
                  <w:pPr>
                    <w:spacing w:line="0" w:lineRule="atLeast"/>
                    <w:ind w:firstLine="0" w:firstLineChars="0"/>
                    <w:jc w:val="center"/>
                    <w:rPr>
                      <w:color w:val="000000" w:themeColor="text1"/>
                      <w:sz w:val="21"/>
                      <w:szCs w:val="21"/>
                    </w:rPr>
                  </w:pPr>
                </w:p>
              </w:tc>
              <w:tc>
                <w:tcPr>
                  <w:tcW w:w="860" w:type="pct"/>
                  <w:vAlign w:val="center"/>
                </w:tcPr>
                <w:p w14:paraId="361F9079">
                  <w:pPr>
                    <w:spacing w:line="0" w:lineRule="atLeast"/>
                    <w:ind w:firstLine="0" w:firstLineChars="0"/>
                    <w:jc w:val="center"/>
                    <w:rPr>
                      <w:color w:val="000000" w:themeColor="text1"/>
                      <w:sz w:val="21"/>
                      <w:szCs w:val="21"/>
                    </w:rPr>
                  </w:pPr>
                  <w:r>
                    <w:rPr>
                      <w:rFonts w:hint="eastAsia"/>
                      <w:color w:val="000000" w:themeColor="text1"/>
                      <w:sz w:val="21"/>
                      <w:szCs w:val="21"/>
                    </w:rPr>
                    <w:t>0.017t/a</w:t>
                  </w:r>
                </w:p>
              </w:tc>
              <w:tc>
                <w:tcPr>
                  <w:tcW w:w="880" w:type="pct"/>
                  <w:vMerge w:val="continue"/>
                  <w:vAlign w:val="center"/>
                </w:tcPr>
                <w:p w14:paraId="30832DD2">
                  <w:pPr>
                    <w:spacing w:line="0" w:lineRule="atLeast"/>
                    <w:ind w:firstLine="0" w:firstLineChars="0"/>
                    <w:jc w:val="center"/>
                    <w:rPr>
                      <w:color w:val="000000" w:themeColor="text1"/>
                      <w:sz w:val="21"/>
                      <w:szCs w:val="21"/>
                    </w:rPr>
                  </w:pPr>
                </w:p>
              </w:tc>
            </w:tr>
            <w:tr w14:paraId="014D0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1" w:hRule="atLeast"/>
                <w:jc w:val="center"/>
              </w:trPr>
              <w:tc>
                <w:tcPr>
                  <w:tcW w:w="431" w:type="pct"/>
                  <w:vAlign w:val="center"/>
                </w:tcPr>
                <w:p w14:paraId="55CEA013">
                  <w:pPr>
                    <w:numPr>
                      <w:ilvl w:val="0"/>
                      <w:numId w:val="7"/>
                    </w:numPr>
                    <w:spacing w:line="0" w:lineRule="atLeast"/>
                    <w:ind w:firstLine="0" w:firstLineChars="0"/>
                    <w:jc w:val="center"/>
                    <w:rPr>
                      <w:color w:val="000000" w:themeColor="text1"/>
                      <w:sz w:val="21"/>
                      <w:szCs w:val="21"/>
                    </w:rPr>
                  </w:pPr>
                </w:p>
              </w:tc>
              <w:tc>
                <w:tcPr>
                  <w:tcW w:w="737" w:type="pct"/>
                  <w:vAlign w:val="center"/>
                </w:tcPr>
                <w:p w14:paraId="088674C6">
                  <w:pPr>
                    <w:pStyle w:val="35"/>
                    <w:rPr>
                      <w:color w:val="000000" w:themeColor="text1"/>
                      <w:kern w:val="2"/>
                    </w:rPr>
                  </w:pPr>
                  <w:r>
                    <w:rPr>
                      <w:color w:val="000000" w:themeColor="text1"/>
                    </w:rPr>
                    <w:t>BOD</w:t>
                  </w:r>
                  <w:r>
                    <w:rPr>
                      <w:color w:val="000000" w:themeColor="text1"/>
                      <w:vertAlign w:val="subscript"/>
                    </w:rPr>
                    <w:t>5</w:t>
                  </w:r>
                </w:p>
              </w:tc>
              <w:tc>
                <w:tcPr>
                  <w:tcW w:w="704" w:type="pct"/>
                  <w:vAlign w:val="center"/>
                </w:tcPr>
                <w:p w14:paraId="0ED3403C">
                  <w:pPr>
                    <w:spacing w:line="0" w:lineRule="atLeast"/>
                    <w:ind w:firstLine="0" w:firstLineChars="0"/>
                    <w:jc w:val="center"/>
                    <w:rPr>
                      <w:color w:val="000000" w:themeColor="text1"/>
                      <w:sz w:val="21"/>
                      <w:szCs w:val="21"/>
                    </w:rPr>
                  </w:pPr>
                  <w:r>
                    <w:rPr>
                      <w:rFonts w:hint="eastAsia"/>
                      <w:color w:val="000000" w:themeColor="text1"/>
                      <w:sz w:val="21"/>
                      <w:szCs w:val="21"/>
                    </w:rPr>
                    <w:t>150</w:t>
                  </w:r>
                  <w:r>
                    <w:rPr>
                      <w:color w:val="000000" w:themeColor="text1"/>
                      <w:sz w:val="21"/>
                      <w:szCs w:val="21"/>
                    </w:rPr>
                    <w:t>mg/L</w:t>
                  </w:r>
                </w:p>
              </w:tc>
              <w:tc>
                <w:tcPr>
                  <w:tcW w:w="627" w:type="pct"/>
                  <w:vAlign w:val="center"/>
                </w:tcPr>
                <w:p w14:paraId="0247306E">
                  <w:pPr>
                    <w:spacing w:line="0" w:lineRule="atLeast"/>
                    <w:ind w:firstLine="0" w:firstLineChars="0"/>
                    <w:jc w:val="center"/>
                    <w:rPr>
                      <w:color w:val="000000" w:themeColor="text1"/>
                      <w:sz w:val="21"/>
                      <w:szCs w:val="21"/>
                    </w:rPr>
                  </w:pPr>
                  <w:r>
                    <w:rPr>
                      <w:rFonts w:hint="eastAsia"/>
                      <w:color w:val="000000" w:themeColor="text1"/>
                      <w:sz w:val="21"/>
                      <w:szCs w:val="21"/>
                    </w:rPr>
                    <w:t>150</w:t>
                  </w:r>
                  <w:r>
                    <w:rPr>
                      <w:color w:val="000000" w:themeColor="text1"/>
                      <w:sz w:val="21"/>
                      <w:szCs w:val="21"/>
                    </w:rPr>
                    <w:t>mg/L</w:t>
                  </w:r>
                </w:p>
              </w:tc>
              <w:tc>
                <w:tcPr>
                  <w:tcW w:w="758" w:type="pct"/>
                  <w:vMerge w:val="continue"/>
                  <w:vAlign w:val="center"/>
                </w:tcPr>
                <w:p w14:paraId="3CBD1C99">
                  <w:pPr>
                    <w:spacing w:line="0" w:lineRule="atLeast"/>
                    <w:ind w:firstLine="0" w:firstLineChars="0"/>
                    <w:jc w:val="center"/>
                    <w:rPr>
                      <w:color w:val="000000" w:themeColor="text1"/>
                      <w:sz w:val="21"/>
                      <w:szCs w:val="21"/>
                    </w:rPr>
                  </w:pPr>
                </w:p>
              </w:tc>
              <w:tc>
                <w:tcPr>
                  <w:tcW w:w="860" w:type="pct"/>
                  <w:vAlign w:val="center"/>
                </w:tcPr>
                <w:p w14:paraId="3ABEA111">
                  <w:pPr>
                    <w:spacing w:line="0" w:lineRule="atLeast"/>
                    <w:ind w:firstLine="0" w:firstLineChars="0"/>
                    <w:jc w:val="center"/>
                    <w:rPr>
                      <w:color w:val="000000" w:themeColor="text1"/>
                      <w:sz w:val="21"/>
                      <w:szCs w:val="21"/>
                    </w:rPr>
                  </w:pPr>
                  <w:r>
                    <w:rPr>
                      <w:rFonts w:hint="eastAsia"/>
                      <w:color w:val="000000" w:themeColor="text1"/>
                      <w:sz w:val="21"/>
                      <w:szCs w:val="21"/>
                    </w:rPr>
                    <w:t>0.0086t/a</w:t>
                  </w:r>
                </w:p>
              </w:tc>
              <w:tc>
                <w:tcPr>
                  <w:tcW w:w="880" w:type="pct"/>
                  <w:vMerge w:val="continue"/>
                  <w:vAlign w:val="center"/>
                </w:tcPr>
                <w:p w14:paraId="62FC04FF">
                  <w:pPr>
                    <w:spacing w:line="0" w:lineRule="atLeast"/>
                    <w:ind w:firstLine="0" w:firstLineChars="0"/>
                    <w:jc w:val="center"/>
                    <w:rPr>
                      <w:color w:val="000000" w:themeColor="text1"/>
                      <w:sz w:val="21"/>
                      <w:szCs w:val="21"/>
                    </w:rPr>
                  </w:pPr>
                </w:p>
              </w:tc>
            </w:tr>
            <w:tr w14:paraId="4F670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6" w:hRule="atLeast"/>
                <w:jc w:val="center"/>
              </w:trPr>
              <w:tc>
                <w:tcPr>
                  <w:tcW w:w="431" w:type="pct"/>
                  <w:vAlign w:val="center"/>
                </w:tcPr>
                <w:p w14:paraId="6CCABF4B">
                  <w:pPr>
                    <w:numPr>
                      <w:ilvl w:val="0"/>
                      <w:numId w:val="7"/>
                    </w:numPr>
                    <w:spacing w:line="0" w:lineRule="atLeast"/>
                    <w:ind w:firstLine="0" w:firstLineChars="0"/>
                    <w:jc w:val="center"/>
                    <w:rPr>
                      <w:color w:val="000000" w:themeColor="text1"/>
                      <w:sz w:val="21"/>
                      <w:szCs w:val="21"/>
                    </w:rPr>
                  </w:pPr>
                </w:p>
              </w:tc>
              <w:tc>
                <w:tcPr>
                  <w:tcW w:w="737" w:type="pct"/>
                  <w:vAlign w:val="center"/>
                </w:tcPr>
                <w:p w14:paraId="44D68898">
                  <w:pPr>
                    <w:pStyle w:val="35"/>
                    <w:rPr>
                      <w:color w:val="000000" w:themeColor="text1"/>
                      <w:kern w:val="2"/>
                    </w:rPr>
                  </w:pPr>
                  <w:r>
                    <w:rPr>
                      <w:rFonts w:hint="eastAsia" w:eastAsiaTheme="minorEastAsia"/>
                      <w:snapToGrid w:val="0"/>
                      <w:color w:val="000000" w:themeColor="text1"/>
                      <w:kern w:val="21"/>
                    </w:rPr>
                    <w:t>SS</w:t>
                  </w:r>
                </w:p>
              </w:tc>
              <w:tc>
                <w:tcPr>
                  <w:tcW w:w="704" w:type="pct"/>
                  <w:vAlign w:val="center"/>
                </w:tcPr>
                <w:p w14:paraId="096234B2">
                  <w:pPr>
                    <w:spacing w:line="0" w:lineRule="atLeast"/>
                    <w:ind w:firstLine="0" w:firstLineChars="0"/>
                    <w:jc w:val="center"/>
                    <w:rPr>
                      <w:color w:val="000000" w:themeColor="text1"/>
                      <w:sz w:val="21"/>
                      <w:szCs w:val="21"/>
                    </w:rPr>
                  </w:pPr>
                  <w:r>
                    <w:rPr>
                      <w:rFonts w:hint="eastAsia"/>
                      <w:color w:val="000000" w:themeColor="text1"/>
                      <w:sz w:val="21"/>
                      <w:szCs w:val="21"/>
                    </w:rPr>
                    <w:t>100</w:t>
                  </w:r>
                  <w:r>
                    <w:rPr>
                      <w:color w:val="000000" w:themeColor="text1"/>
                      <w:sz w:val="21"/>
                      <w:szCs w:val="21"/>
                    </w:rPr>
                    <w:t>mg/L</w:t>
                  </w:r>
                </w:p>
              </w:tc>
              <w:tc>
                <w:tcPr>
                  <w:tcW w:w="627" w:type="pct"/>
                  <w:vAlign w:val="center"/>
                </w:tcPr>
                <w:p w14:paraId="090551B6">
                  <w:pPr>
                    <w:spacing w:line="0" w:lineRule="atLeast"/>
                    <w:ind w:firstLine="0" w:firstLineChars="0"/>
                    <w:jc w:val="center"/>
                    <w:rPr>
                      <w:color w:val="000000" w:themeColor="text1"/>
                      <w:sz w:val="21"/>
                      <w:szCs w:val="21"/>
                    </w:rPr>
                  </w:pPr>
                  <w:r>
                    <w:rPr>
                      <w:rFonts w:hint="eastAsia"/>
                      <w:color w:val="000000" w:themeColor="text1"/>
                      <w:sz w:val="21"/>
                      <w:szCs w:val="21"/>
                    </w:rPr>
                    <w:t>390</w:t>
                  </w:r>
                  <w:r>
                    <w:rPr>
                      <w:color w:val="000000" w:themeColor="text1"/>
                      <w:sz w:val="21"/>
                      <w:szCs w:val="21"/>
                    </w:rPr>
                    <w:t>mg/L</w:t>
                  </w:r>
                </w:p>
              </w:tc>
              <w:tc>
                <w:tcPr>
                  <w:tcW w:w="758" w:type="pct"/>
                  <w:vMerge w:val="continue"/>
                  <w:vAlign w:val="center"/>
                </w:tcPr>
                <w:p w14:paraId="630E54EF">
                  <w:pPr>
                    <w:spacing w:line="0" w:lineRule="atLeast"/>
                    <w:ind w:firstLine="0" w:firstLineChars="0"/>
                    <w:jc w:val="center"/>
                    <w:rPr>
                      <w:color w:val="000000" w:themeColor="text1"/>
                      <w:sz w:val="21"/>
                      <w:szCs w:val="21"/>
                    </w:rPr>
                  </w:pPr>
                </w:p>
              </w:tc>
              <w:tc>
                <w:tcPr>
                  <w:tcW w:w="860" w:type="pct"/>
                  <w:vAlign w:val="center"/>
                </w:tcPr>
                <w:p w14:paraId="5C14B248">
                  <w:pPr>
                    <w:spacing w:line="0" w:lineRule="atLeast"/>
                    <w:ind w:firstLine="0" w:firstLineChars="0"/>
                    <w:jc w:val="center"/>
                    <w:rPr>
                      <w:color w:val="000000" w:themeColor="text1"/>
                      <w:sz w:val="21"/>
                      <w:szCs w:val="21"/>
                    </w:rPr>
                  </w:pPr>
                  <w:r>
                    <w:rPr>
                      <w:rFonts w:hint="eastAsia"/>
                      <w:color w:val="000000" w:themeColor="text1"/>
                      <w:sz w:val="21"/>
                      <w:szCs w:val="21"/>
                    </w:rPr>
                    <w:t>0.0058t/a</w:t>
                  </w:r>
                </w:p>
              </w:tc>
              <w:tc>
                <w:tcPr>
                  <w:tcW w:w="880" w:type="pct"/>
                  <w:vMerge w:val="continue"/>
                  <w:vAlign w:val="center"/>
                </w:tcPr>
                <w:p w14:paraId="29C7ECBD">
                  <w:pPr>
                    <w:spacing w:line="0" w:lineRule="atLeast"/>
                    <w:ind w:firstLine="0" w:firstLineChars="0"/>
                    <w:jc w:val="center"/>
                    <w:rPr>
                      <w:color w:val="000000" w:themeColor="text1"/>
                      <w:sz w:val="21"/>
                      <w:szCs w:val="21"/>
                    </w:rPr>
                  </w:pPr>
                </w:p>
              </w:tc>
            </w:tr>
            <w:tr w14:paraId="7CAD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3" w:hRule="atLeast"/>
                <w:jc w:val="center"/>
              </w:trPr>
              <w:tc>
                <w:tcPr>
                  <w:tcW w:w="431" w:type="pct"/>
                  <w:vAlign w:val="center"/>
                </w:tcPr>
                <w:p w14:paraId="28F13869">
                  <w:pPr>
                    <w:numPr>
                      <w:ilvl w:val="0"/>
                      <w:numId w:val="7"/>
                    </w:numPr>
                    <w:spacing w:line="0" w:lineRule="atLeast"/>
                    <w:ind w:firstLine="0" w:firstLineChars="0"/>
                    <w:jc w:val="center"/>
                    <w:rPr>
                      <w:color w:val="000000" w:themeColor="text1"/>
                      <w:sz w:val="21"/>
                      <w:szCs w:val="21"/>
                    </w:rPr>
                  </w:pPr>
                </w:p>
              </w:tc>
              <w:tc>
                <w:tcPr>
                  <w:tcW w:w="737" w:type="pct"/>
                  <w:vAlign w:val="center"/>
                </w:tcPr>
                <w:p w14:paraId="0659FF18">
                  <w:pPr>
                    <w:pStyle w:val="35"/>
                    <w:rPr>
                      <w:color w:val="000000" w:themeColor="text1"/>
                      <w:kern w:val="2"/>
                    </w:rPr>
                  </w:pPr>
                  <w:r>
                    <w:rPr>
                      <w:rFonts w:eastAsiaTheme="minorEastAsia"/>
                      <w:snapToGrid w:val="0"/>
                      <w:color w:val="000000" w:themeColor="text1"/>
                      <w:kern w:val="21"/>
                    </w:rPr>
                    <w:t>氨氮</w:t>
                  </w:r>
                </w:p>
              </w:tc>
              <w:tc>
                <w:tcPr>
                  <w:tcW w:w="704" w:type="pct"/>
                  <w:vAlign w:val="center"/>
                </w:tcPr>
                <w:p w14:paraId="2D067FE7">
                  <w:pPr>
                    <w:spacing w:line="0" w:lineRule="atLeast"/>
                    <w:ind w:firstLine="0" w:firstLineChars="0"/>
                    <w:jc w:val="center"/>
                    <w:rPr>
                      <w:color w:val="000000" w:themeColor="text1"/>
                      <w:sz w:val="21"/>
                      <w:szCs w:val="21"/>
                    </w:rPr>
                  </w:pPr>
                  <w:r>
                    <w:rPr>
                      <w:rFonts w:hint="eastAsia"/>
                      <w:color w:val="000000" w:themeColor="text1"/>
                      <w:sz w:val="21"/>
                      <w:szCs w:val="21"/>
                    </w:rPr>
                    <w:t>20</w:t>
                  </w:r>
                  <w:r>
                    <w:rPr>
                      <w:color w:val="000000" w:themeColor="text1"/>
                      <w:sz w:val="21"/>
                      <w:szCs w:val="21"/>
                    </w:rPr>
                    <w:t>mg/L</w:t>
                  </w:r>
                </w:p>
              </w:tc>
              <w:tc>
                <w:tcPr>
                  <w:tcW w:w="627" w:type="pct"/>
                  <w:vAlign w:val="center"/>
                </w:tcPr>
                <w:p w14:paraId="1F522C77">
                  <w:pPr>
                    <w:spacing w:line="0" w:lineRule="atLeast"/>
                    <w:ind w:firstLine="0" w:firstLineChars="0"/>
                    <w:jc w:val="center"/>
                    <w:rPr>
                      <w:color w:val="000000" w:themeColor="text1"/>
                      <w:sz w:val="21"/>
                      <w:szCs w:val="21"/>
                    </w:rPr>
                  </w:pPr>
                  <w:r>
                    <w:rPr>
                      <w:rFonts w:hint="eastAsia"/>
                      <w:color w:val="000000" w:themeColor="text1"/>
                      <w:sz w:val="21"/>
                      <w:szCs w:val="21"/>
                    </w:rPr>
                    <w:t>35</w:t>
                  </w:r>
                  <w:r>
                    <w:rPr>
                      <w:color w:val="000000" w:themeColor="text1"/>
                      <w:sz w:val="21"/>
                      <w:szCs w:val="21"/>
                    </w:rPr>
                    <w:t>mg/L</w:t>
                  </w:r>
                </w:p>
              </w:tc>
              <w:tc>
                <w:tcPr>
                  <w:tcW w:w="758" w:type="pct"/>
                  <w:vMerge w:val="continue"/>
                  <w:vAlign w:val="center"/>
                </w:tcPr>
                <w:p w14:paraId="12CD9496">
                  <w:pPr>
                    <w:spacing w:line="0" w:lineRule="atLeast"/>
                    <w:ind w:firstLine="0" w:firstLineChars="0"/>
                    <w:jc w:val="center"/>
                    <w:rPr>
                      <w:color w:val="000000" w:themeColor="text1"/>
                      <w:sz w:val="21"/>
                      <w:szCs w:val="21"/>
                    </w:rPr>
                  </w:pPr>
                </w:p>
              </w:tc>
              <w:tc>
                <w:tcPr>
                  <w:tcW w:w="860" w:type="pct"/>
                  <w:vAlign w:val="center"/>
                </w:tcPr>
                <w:p w14:paraId="22308FD9">
                  <w:pPr>
                    <w:spacing w:line="0" w:lineRule="atLeast"/>
                    <w:ind w:firstLine="0" w:firstLineChars="0"/>
                    <w:jc w:val="center"/>
                    <w:rPr>
                      <w:color w:val="000000" w:themeColor="text1"/>
                      <w:sz w:val="21"/>
                      <w:szCs w:val="21"/>
                    </w:rPr>
                  </w:pPr>
                  <w:r>
                    <w:rPr>
                      <w:rFonts w:hint="eastAsia"/>
                      <w:color w:val="000000" w:themeColor="text1"/>
                      <w:sz w:val="21"/>
                      <w:szCs w:val="21"/>
                    </w:rPr>
                    <w:t>0.0012t/a</w:t>
                  </w:r>
                </w:p>
              </w:tc>
              <w:tc>
                <w:tcPr>
                  <w:tcW w:w="880" w:type="pct"/>
                  <w:vMerge w:val="continue"/>
                  <w:vAlign w:val="center"/>
                </w:tcPr>
                <w:p w14:paraId="6E8C13E2">
                  <w:pPr>
                    <w:spacing w:line="0" w:lineRule="atLeast"/>
                    <w:ind w:firstLine="0" w:firstLineChars="0"/>
                    <w:jc w:val="center"/>
                    <w:rPr>
                      <w:color w:val="000000" w:themeColor="text1"/>
                      <w:sz w:val="21"/>
                      <w:szCs w:val="21"/>
                    </w:rPr>
                  </w:pPr>
                </w:p>
              </w:tc>
            </w:tr>
            <w:tr w14:paraId="0EB1E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3" w:hRule="atLeast"/>
                <w:jc w:val="center"/>
              </w:trPr>
              <w:tc>
                <w:tcPr>
                  <w:tcW w:w="431" w:type="pct"/>
                  <w:vAlign w:val="center"/>
                </w:tcPr>
                <w:p w14:paraId="2D8982AD">
                  <w:pPr>
                    <w:numPr>
                      <w:ilvl w:val="0"/>
                      <w:numId w:val="7"/>
                    </w:numPr>
                    <w:spacing w:line="0" w:lineRule="atLeast"/>
                    <w:ind w:firstLine="0" w:firstLineChars="0"/>
                    <w:jc w:val="center"/>
                    <w:rPr>
                      <w:color w:val="000000" w:themeColor="text1"/>
                      <w:sz w:val="21"/>
                      <w:szCs w:val="21"/>
                    </w:rPr>
                  </w:pPr>
                </w:p>
              </w:tc>
              <w:tc>
                <w:tcPr>
                  <w:tcW w:w="737" w:type="pct"/>
                  <w:vAlign w:val="center"/>
                </w:tcPr>
                <w:p w14:paraId="5FE58CF3">
                  <w:pPr>
                    <w:pStyle w:val="35"/>
                    <w:rPr>
                      <w:color w:val="000000" w:themeColor="text1"/>
                      <w:kern w:val="2"/>
                    </w:rPr>
                  </w:pPr>
                  <w:r>
                    <w:rPr>
                      <w:rFonts w:hint="eastAsia" w:eastAsiaTheme="minorEastAsia"/>
                      <w:snapToGrid w:val="0"/>
                      <w:color w:val="000000" w:themeColor="text1"/>
                      <w:kern w:val="21"/>
                    </w:rPr>
                    <w:t>总氮</w:t>
                  </w:r>
                </w:p>
              </w:tc>
              <w:tc>
                <w:tcPr>
                  <w:tcW w:w="704" w:type="pct"/>
                  <w:vAlign w:val="center"/>
                </w:tcPr>
                <w:p w14:paraId="38CFA2F9">
                  <w:pPr>
                    <w:spacing w:line="0" w:lineRule="atLeast"/>
                    <w:ind w:firstLine="0" w:firstLineChars="0"/>
                    <w:jc w:val="center"/>
                    <w:rPr>
                      <w:color w:val="000000" w:themeColor="text1"/>
                      <w:sz w:val="21"/>
                      <w:szCs w:val="21"/>
                    </w:rPr>
                  </w:pPr>
                  <w:r>
                    <w:rPr>
                      <w:rFonts w:hint="eastAsia"/>
                      <w:color w:val="000000" w:themeColor="text1"/>
                      <w:sz w:val="21"/>
                      <w:szCs w:val="21"/>
                    </w:rPr>
                    <w:t>30</w:t>
                  </w:r>
                  <w:r>
                    <w:rPr>
                      <w:color w:val="000000" w:themeColor="text1"/>
                      <w:sz w:val="21"/>
                      <w:szCs w:val="21"/>
                    </w:rPr>
                    <w:t>mg/L</w:t>
                  </w:r>
                </w:p>
              </w:tc>
              <w:tc>
                <w:tcPr>
                  <w:tcW w:w="627" w:type="pct"/>
                  <w:vAlign w:val="center"/>
                </w:tcPr>
                <w:p w14:paraId="03CE3990">
                  <w:pPr>
                    <w:spacing w:line="0" w:lineRule="atLeast"/>
                    <w:ind w:firstLine="0" w:firstLineChars="0"/>
                    <w:jc w:val="center"/>
                    <w:rPr>
                      <w:color w:val="000000" w:themeColor="text1"/>
                      <w:sz w:val="21"/>
                      <w:szCs w:val="21"/>
                    </w:rPr>
                  </w:pPr>
                  <w:r>
                    <w:rPr>
                      <w:rFonts w:hint="eastAsia"/>
                      <w:color w:val="000000" w:themeColor="text1"/>
                      <w:sz w:val="21"/>
                      <w:szCs w:val="21"/>
                    </w:rPr>
                    <w:t>40</w:t>
                  </w:r>
                  <w:r>
                    <w:rPr>
                      <w:color w:val="000000" w:themeColor="text1"/>
                      <w:sz w:val="21"/>
                      <w:szCs w:val="21"/>
                    </w:rPr>
                    <w:t>mg/L</w:t>
                  </w:r>
                </w:p>
              </w:tc>
              <w:tc>
                <w:tcPr>
                  <w:tcW w:w="758" w:type="pct"/>
                  <w:vMerge w:val="continue"/>
                  <w:vAlign w:val="center"/>
                </w:tcPr>
                <w:p w14:paraId="6EA079E5">
                  <w:pPr>
                    <w:spacing w:line="0" w:lineRule="atLeast"/>
                    <w:ind w:firstLine="0" w:firstLineChars="0"/>
                    <w:jc w:val="center"/>
                    <w:rPr>
                      <w:color w:val="000000" w:themeColor="text1"/>
                      <w:sz w:val="21"/>
                      <w:szCs w:val="21"/>
                    </w:rPr>
                  </w:pPr>
                </w:p>
              </w:tc>
              <w:tc>
                <w:tcPr>
                  <w:tcW w:w="860" w:type="pct"/>
                  <w:vAlign w:val="center"/>
                </w:tcPr>
                <w:p w14:paraId="3534E1ED">
                  <w:pPr>
                    <w:spacing w:line="0" w:lineRule="atLeast"/>
                    <w:ind w:firstLine="0" w:firstLineChars="0"/>
                    <w:jc w:val="center"/>
                    <w:rPr>
                      <w:color w:val="000000" w:themeColor="text1"/>
                      <w:sz w:val="21"/>
                      <w:szCs w:val="21"/>
                    </w:rPr>
                  </w:pPr>
                  <w:r>
                    <w:rPr>
                      <w:rFonts w:hint="eastAsia"/>
                      <w:color w:val="000000" w:themeColor="text1"/>
                      <w:sz w:val="21"/>
                      <w:szCs w:val="21"/>
                    </w:rPr>
                    <w:t>0.0017t/a</w:t>
                  </w:r>
                </w:p>
              </w:tc>
              <w:tc>
                <w:tcPr>
                  <w:tcW w:w="880" w:type="pct"/>
                  <w:vMerge w:val="continue"/>
                  <w:vAlign w:val="center"/>
                </w:tcPr>
                <w:p w14:paraId="6D5ED608">
                  <w:pPr>
                    <w:spacing w:line="0" w:lineRule="atLeast"/>
                    <w:ind w:firstLine="0" w:firstLineChars="0"/>
                    <w:jc w:val="center"/>
                    <w:rPr>
                      <w:color w:val="000000" w:themeColor="text1"/>
                      <w:sz w:val="21"/>
                      <w:szCs w:val="21"/>
                    </w:rPr>
                  </w:pPr>
                </w:p>
              </w:tc>
            </w:tr>
            <w:tr w14:paraId="625A7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8" w:hRule="atLeast"/>
                <w:jc w:val="center"/>
              </w:trPr>
              <w:tc>
                <w:tcPr>
                  <w:tcW w:w="431" w:type="pct"/>
                  <w:vAlign w:val="center"/>
                </w:tcPr>
                <w:p w14:paraId="2BF777F9">
                  <w:pPr>
                    <w:numPr>
                      <w:ilvl w:val="0"/>
                      <w:numId w:val="7"/>
                    </w:numPr>
                    <w:spacing w:line="0" w:lineRule="atLeast"/>
                    <w:ind w:firstLine="0" w:firstLineChars="0"/>
                    <w:jc w:val="center"/>
                    <w:rPr>
                      <w:color w:val="000000" w:themeColor="text1"/>
                      <w:sz w:val="21"/>
                      <w:szCs w:val="21"/>
                    </w:rPr>
                  </w:pPr>
                </w:p>
              </w:tc>
              <w:tc>
                <w:tcPr>
                  <w:tcW w:w="737" w:type="pct"/>
                  <w:vAlign w:val="center"/>
                </w:tcPr>
                <w:p w14:paraId="109843BA">
                  <w:pPr>
                    <w:pStyle w:val="35"/>
                    <w:rPr>
                      <w:rFonts w:eastAsiaTheme="minorEastAsia"/>
                      <w:snapToGrid w:val="0"/>
                      <w:color w:val="000000" w:themeColor="text1"/>
                      <w:kern w:val="21"/>
                    </w:rPr>
                  </w:pPr>
                  <w:r>
                    <w:rPr>
                      <w:rFonts w:hint="eastAsia" w:eastAsiaTheme="minorEastAsia"/>
                      <w:snapToGrid w:val="0"/>
                      <w:color w:val="000000" w:themeColor="text1"/>
                      <w:kern w:val="21"/>
                    </w:rPr>
                    <w:t>总磷</w:t>
                  </w:r>
                </w:p>
              </w:tc>
              <w:tc>
                <w:tcPr>
                  <w:tcW w:w="704" w:type="pct"/>
                  <w:vAlign w:val="center"/>
                </w:tcPr>
                <w:p w14:paraId="7354957E">
                  <w:pPr>
                    <w:spacing w:line="0" w:lineRule="atLeast"/>
                    <w:ind w:firstLine="0" w:firstLineChars="0"/>
                    <w:jc w:val="center"/>
                    <w:rPr>
                      <w:color w:val="000000" w:themeColor="text1"/>
                      <w:sz w:val="21"/>
                      <w:szCs w:val="21"/>
                    </w:rPr>
                  </w:pPr>
                  <w:r>
                    <w:rPr>
                      <w:rFonts w:hint="eastAsia"/>
                      <w:color w:val="000000" w:themeColor="text1"/>
                      <w:sz w:val="21"/>
                      <w:szCs w:val="21"/>
                    </w:rPr>
                    <w:t>3</w:t>
                  </w:r>
                  <w:r>
                    <w:rPr>
                      <w:color w:val="000000" w:themeColor="text1"/>
                      <w:sz w:val="21"/>
                      <w:szCs w:val="21"/>
                    </w:rPr>
                    <w:t>mg/L</w:t>
                  </w:r>
                </w:p>
              </w:tc>
              <w:tc>
                <w:tcPr>
                  <w:tcW w:w="627" w:type="pct"/>
                  <w:vAlign w:val="center"/>
                </w:tcPr>
                <w:p w14:paraId="22051B16">
                  <w:pPr>
                    <w:spacing w:line="0" w:lineRule="atLeast"/>
                    <w:ind w:firstLine="0" w:firstLineChars="0"/>
                    <w:jc w:val="center"/>
                    <w:rPr>
                      <w:color w:val="000000" w:themeColor="text1"/>
                      <w:sz w:val="21"/>
                      <w:szCs w:val="21"/>
                    </w:rPr>
                  </w:pPr>
                  <w:r>
                    <w:rPr>
                      <w:rFonts w:hint="eastAsia"/>
                      <w:color w:val="000000" w:themeColor="text1"/>
                      <w:sz w:val="21"/>
                      <w:szCs w:val="21"/>
                    </w:rPr>
                    <w:t>6</w:t>
                  </w:r>
                  <w:r>
                    <w:rPr>
                      <w:color w:val="000000" w:themeColor="text1"/>
                      <w:sz w:val="21"/>
                      <w:szCs w:val="21"/>
                    </w:rPr>
                    <w:t>mg/L</w:t>
                  </w:r>
                </w:p>
              </w:tc>
              <w:tc>
                <w:tcPr>
                  <w:tcW w:w="758" w:type="pct"/>
                  <w:vMerge w:val="continue"/>
                  <w:vAlign w:val="center"/>
                </w:tcPr>
                <w:p w14:paraId="0164901E">
                  <w:pPr>
                    <w:spacing w:line="0" w:lineRule="atLeast"/>
                    <w:ind w:firstLine="0" w:firstLineChars="0"/>
                    <w:jc w:val="center"/>
                    <w:rPr>
                      <w:color w:val="000000" w:themeColor="text1"/>
                      <w:sz w:val="21"/>
                      <w:szCs w:val="21"/>
                    </w:rPr>
                  </w:pPr>
                </w:p>
              </w:tc>
              <w:tc>
                <w:tcPr>
                  <w:tcW w:w="860" w:type="pct"/>
                  <w:vAlign w:val="center"/>
                </w:tcPr>
                <w:p w14:paraId="59C04A3A">
                  <w:pPr>
                    <w:spacing w:line="0" w:lineRule="atLeast"/>
                    <w:ind w:firstLine="0" w:firstLineChars="0"/>
                    <w:jc w:val="center"/>
                    <w:rPr>
                      <w:color w:val="000000" w:themeColor="text1"/>
                      <w:sz w:val="21"/>
                      <w:szCs w:val="21"/>
                    </w:rPr>
                  </w:pPr>
                  <w:r>
                    <w:rPr>
                      <w:rFonts w:hint="eastAsia"/>
                      <w:color w:val="000000" w:themeColor="text1"/>
                      <w:sz w:val="21"/>
                      <w:szCs w:val="21"/>
                    </w:rPr>
                    <w:t>0.00017t/a</w:t>
                  </w:r>
                </w:p>
              </w:tc>
              <w:tc>
                <w:tcPr>
                  <w:tcW w:w="880" w:type="pct"/>
                  <w:vMerge w:val="continue"/>
                  <w:vAlign w:val="center"/>
                </w:tcPr>
                <w:p w14:paraId="031E4185">
                  <w:pPr>
                    <w:spacing w:line="0" w:lineRule="atLeast"/>
                    <w:ind w:firstLine="0" w:firstLineChars="0"/>
                    <w:jc w:val="center"/>
                    <w:rPr>
                      <w:color w:val="000000" w:themeColor="text1"/>
                      <w:sz w:val="21"/>
                      <w:szCs w:val="21"/>
                    </w:rPr>
                  </w:pPr>
                </w:p>
              </w:tc>
            </w:tr>
          </w:tbl>
          <w:p w14:paraId="526EF787">
            <w:pPr>
              <w:ind w:firstLine="480"/>
              <w:rPr>
                <w:color w:val="000000" w:themeColor="text1"/>
              </w:rPr>
            </w:pPr>
            <w:r>
              <w:rPr>
                <w:color w:val="000000" w:themeColor="text1"/>
              </w:rPr>
              <w:t>废水间接排放口基本情况</w:t>
            </w:r>
            <w:r>
              <w:rPr>
                <w:rFonts w:hint="eastAsia"/>
                <w:color w:val="000000" w:themeColor="text1"/>
              </w:rPr>
              <w:t>见下</w:t>
            </w:r>
            <w:r>
              <w:rPr>
                <w:color w:val="000000" w:themeColor="text1"/>
              </w:rPr>
              <w:t>表</w:t>
            </w:r>
            <w:r>
              <w:rPr>
                <w:rFonts w:hint="eastAsia"/>
                <w:color w:val="000000" w:themeColor="text1"/>
              </w:rPr>
              <w:t>。</w:t>
            </w:r>
          </w:p>
          <w:p w14:paraId="291DDDD1">
            <w:pPr>
              <w:autoSpaceDE w:val="0"/>
              <w:autoSpaceDN w:val="0"/>
              <w:adjustRightInd w:val="0"/>
              <w:snapToGrid w:val="0"/>
              <w:ind w:firstLine="0" w:firstLineChars="0"/>
              <w:jc w:val="center"/>
              <w:rPr>
                <w:b/>
                <w:color w:val="000000" w:themeColor="text1"/>
              </w:rPr>
            </w:pPr>
            <w:r>
              <w:rPr>
                <w:b/>
                <w:color w:val="000000" w:themeColor="text1"/>
                <w:sz w:val="21"/>
                <w:szCs w:val="21"/>
              </w:rPr>
              <w:t>表</w:t>
            </w:r>
            <w:r>
              <w:rPr>
                <w:rFonts w:hint="eastAsia"/>
                <w:b/>
                <w:color w:val="000000" w:themeColor="text1"/>
                <w:sz w:val="21"/>
                <w:szCs w:val="21"/>
              </w:rPr>
              <w:t xml:space="preserve">44  </w:t>
            </w:r>
            <w:r>
              <w:rPr>
                <w:b/>
                <w:color w:val="000000" w:themeColor="text1"/>
                <w:sz w:val="21"/>
                <w:szCs w:val="21"/>
              </w:rPr>
              <w:t>废水间接排放口基本情况表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317"/>
              <w:gridCol w:w="680"/>
              <w:gridCol w:w="696"/>
              <w:gridCol w:w="677"/>
              <w:gridCol w:w="719"/>
              <w:gridCol w:w="480"/>
              <w:gridCol w:w="489"/>
              <w:gridCol w:w="444"/>
              <w:gridCol w:w="496"/>
              <w:gridCol w:w="739"/>
              <w:gridCol w:w="2312"/>
            </w:tblGrid>
            <w:tr w14:paraId="14EEF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6" w:type="pct"/>
                  <w:vMerge w:val="restart"/>
                  <w:vAlign w:val="center"/>
                </w:tcPr>
                <w:p w14:paraId="3356B18F">
                  <w:pPr>
                    <w:spacing w:line="0" w:lineRule="atLeast"/>
                    <w:ind w:firstLine="0" w:firstLineChars="0"/>
                    <w:jc w:val="center"/>
                    <w:rPr>
                      <w:b/>
                      <w:bCs/>
                      <w:color w:val="000000" w:themeColor="text1"/>
                      <w:sz w:val="21"/>
                      <w:szCs w:val="21"/>
                    </w:rPr>
                  </w:pPr>
                  <w:r>
                    <w:rPr>
                      <w:b/>
                      <w:bCs/>
                      <w:color w:val="000000" w:themeColor="text1"/>
                      <w:sz w:val="21"/>
                      <w:szCs w:val="21"/>
                    </w:rPr>
                    <w:t>序</w:t>
                  </w:r>
                </w:p>
                <w:p w14:paraId="50564240">
                  <w:pPr>
                    <w:spacing w:line="0" w:lineRule="atLeast"/>
                    <w:ind w:firstLine="0" w:firstLineChars="0"/>
                    <w:jc w:val="center"/>
                    <w:rPr>
                      <w:b/>
                      <w:bCs/>
                      <w:color w:val="000000" w:themeColor="text1"/>
                      <w:sz w:val="21"/>
                      <w:szCs w:val="21"/>
                    </w:rPr>
                  </w:pPr>
                  <w:r>
                    <w:rPr>
                      <w:b/>
                      <w:bCs/>
                      <w:color w:val="000000" w:themeColor="text1"/>
                      <w:sz w:val="21"/>
                      <w:szCs w:val="21"/>
                    </w:rPr>
                    <w:t>号</w:t>
                  </w:r>
                </w:p>
              </w:tc>
              <w:tc>
                <w:tcPr>
                  <w:tcW w:w="422" w:type="pct"/>
                  <w:vMerge w:val="restart"/>
                  <w:vAlign w:val="center"/>
                </w:tcPr>
                <w:p w14:paraId="488CA310">
                  <w:pPr>
                    <w:spacing w:line="0" w:lineRule="atLeast"/>
                    <w:ind w:firstLine="0" w:firstLineChars="0"/>
                    <w:jc w:val="center"/>
                    <w:rPr>
                      <w:b/>
                      <w:bCs/>
                      <w:color w:val="000000" w:themeColor="text1"/>
                      <w:sz w:val="21"/>
                      <w:szCs w:val="21"/>
                    </w:rPr>
                  </w:pPr>
                  <w:r>
                    <w:rPr>
                      <w:b/>
                      <w:bCs/>
                      <w:color w:val="000000" w:themeColor="text1"/>
                      <w:sz w:val="21"/>
                      <w:szCs w:val="21"/>
                    </w:rPr>
                    <w:t>排放口编号</w:t>
                  </w:r>
                </w:p>
              </w:tc>
              <w:tc>
                <w:tcPr>
                  <w:tcW w:w="852" w:type="pct"/>
                  <w:gridSpan w:val="2"/>
                  <w:vAlign w:val="center"/>
                </w:tcPr>
                <w:p w14:paraId="4400506B">
                  <w:pPr>
                    <w:spacing w:line="0" w:lineRule="atLeast"/>
                    <w:ind w:firstLine="0" w:firstLineChars="0"/>
                    <w:jc w:val="center"/>
                    <w:rPr>
                      <w:b/>
                      <w:bCs/>
                      <w:color w:val="000000" w:themeColor="text1"/>
                      <w:sz w:val="21"/>
                      <w:szCs w:val="21"/>
                    </w:rPr>
                  </w:pPr>
                  <w:r>
                    <w:rPr>
                      <w:b/>
                      <w:bCs/>
                      <w:color w:val="000000" w:themeColor="text1"/>
                      <w:sz w:val="21"/>
                      <w:szCs w:val="21"/>
                    </w:rPr>
                    <w:t>排放口地理坐标</w:t>
                  </w:r>
                </w:p>
              </w:tc>
              <w:tc>
                <w:tcPr>
                  <w:tcW w:w="446" w:type="pct"/>
                  <w:vMerge w:val="restart"/>
                  <w:vAlign w:val="center"/>
                </w:tcPr>
                <w:p w14:paraId="523B19A6">
                  <w:pPr>
                    <w:spacing w:line="0" w:lineRule="atLeast"/>
                    <w:ind w:firstLine="0" w:firstLineChars="0"/>
                    <w:jc w:val="center"/>
                    <w:rPr>
                      <w:b/>
                      <w:bCs/>
                      <w:color w:val="000000" w:themeColor="text1"/>
                      <w:sz w:val="21"/>
                      <w:szCs w:val="21"/>
                    </w:rPr>
                  </w:pPr>
                  <w:r>
                    <w:rPr>
                      <w:b/>
                      <w:bCs/>
                      <w:color w:val="000000" w:themeColor="text1"/>
                      <w:sz w:val="21"/>
                      <w:szCs w:val="21"/>
                    </w:rPr>
                    <w:t>废水排放量/</w:t>
                  </w:r>
                  <w:r>
                    <w:rPr>
                      <w:rFonts w:hint="eastAsia"/>
                      <w:b/>
                      <w:bCs/>
                      <w:color w:val="000000" w:themeColor="text1"/>
                      <w:sz w:val="21"/>
                      <w:szCs w:val="21"/>
                    </w:rPr>
                    <w:t>（万</w:t>
                  </w:r>
                  <w:r>
                    <w:rPr>
                      <w:b/>
                      <w:bCs/>
                      <w:color w:val="000000" w:themeColor="text1"/>
                      <w:sz w:val="21"/>
                      <w:szCs w:val="21"/>
                    </w:rPr>
                    <w:t>t/a</w:t>
                  </w:r>
                  <w:r>
                    <w:rPr>
                      <w:rFonts w:hint="eastAsia"/>
                      <w:b/>
                      <w:bCs/>
                      <w:color w:val="000000" w:themeColor="text1"/>
                      <w:sz w:val="21"/>
                      <w:szCs w:val="21"/>
                    </w:rPr>
                    <w:t>）</w:t>
                  </w:r>
                </w:p>
              </w:tc>
              <w:tc>
                <w:tcPr>
                  <w:tcW w:w="298" w:type="pct"/>
                  <w:vMerge w:val="restart"/>
                  <w:vAlign w:val="center"/>
                </w:tcPr>
                <w:p w14:paraId="64A233A8">
                  <w:pPr>
                    <w:spacing w:line="0" w:lineRule="atLeast"/>
                    <w:ind w:firstLine="0" w:firstLineChars="0"/>
                    <w:jc w:val="center"/>
                    <w:rPr>
                      <w:b/>
                      <w:bCs/>
                      <w:color w:val="000000" w:themeColor="text1"/>
                      <w:sz w:val="21"/>
                      <w:szCs w:val="21"/>
                    </w:rPr>
                  </w:pPr>
                  <w:r>
                    <w:rPr>
                      <w:b/>
                      <w:bCs/>
                      <w:color w:val="000000" w:themeColor="text1"/>
                      <w:sz w:val="21"/>
                      <w:szCs w:val="21"/>
                    </w:rPr>
                    <w:t>排放</w:t>
                  </w:r>
                </w:p>
                <w:p w14:paraId="2F7B103B">
                  <w:pPr>
                    <w:spacing w:line="0" w:lineRule="atLeast"/>
                    <w:ind w:firstLine="0" w:firstLineChars="0"/>
                    <w:jc w:val="center"/>
                    <w:rPr>
                      <w:b/>
                      <w:bCs/>
                      <w:color w:val="000000" w:themeColor="text1"/>
                      <w:sz w:val="21"/>
                      <w:szCs w:val="21"/>
                    </w:rPr>
                  </w:pPr>
                  <w:r>
                    <w:rPr>
                      <w:b/>
                      <w:bCs/>
                      <w:color w:val="000000" w:themeColor="text1"/>
                      <w:sz w:val="21"/>
                      <w:szCs w:val="21"/>
                    </w:rPr>
                    <w:t>去向</w:t>
                  </w:r>
                </w:p>
              </w:tc>
              <w:tc>
                <w:tcPr>
                  <w:tcW w:w="304" w:type="pct"/>
                  <w:vMerge w:val="restart"/>
                  <w:vAlign w:val="center"/>
                </w:tcPr>
                <w:p w14:paraId="34641068">
                  <w:pPr>
                    <w:spacing w:line="0" w:lineRule="atLeast"/>
                    <w:ind w:firstLine="0" w:firstLineChars="0"/>
                    <w:jc w:val="center"/>
                    <w:rPr>
                      <w:b/>
                      <w:bCs/>
                      <w:color w:val="000000" w:themeColor="text1"/>
                      <w:sz w:val="21"/>
                      <w:szCs w:val="21"/>
                    </w:rPr>
                  </w:pPr>
                  <w:r>
                    <w:rPr>
                      <w:b/>
                      <w:bCs/>
                      <w:color w:val="000000" w:themeColor="text1"/>
                      <w:sz w:val="21"/>
                      <w:szCs w:val="21"/>
                    </w:rPr>
                    <w:t>排放</w:t>
                  </w:r>
                </w:p>
                <w:p w14:paraId="47B4EA1D">
                  <w:pPr>
                    <w:spacing w:line="0" w:lineRule="atLeast"/>
                    <w:ind w:firstLine="0" w:firstLineChars="0"/>
                    <w:jc w:val="center"/>
                    <w:rPr>
                      <w:b/>
                      <w:bCs/>
                      <w:color w:val="000000" w:themeColor="text1"/>
                      <w:sz w:val="21"/>
                      <w:szCs w:val="21"/>
                    </w:rPr>
                  </w:pPr>
                  <w:r>
                    <w:rPr>
                      <w:b/>
                      <w:bCs/>
                      <w:color w:val="000000" w:themeColor="text1"/>
                      <w:sz w:val="21"/>
                      <w:szCs w:val="21"/>
                    </w:rPr>
                    <w:t>规律</w:t>
                  </w:r>
                </w:p>
              </w:tc>
              <w:tc>
                <w:tcPr>
                  <w:tcW w:w="276" w:type="pct"/>
                  <w:vMerge w:val="restart"/>
                  <w:vAlign w:val="center"/>
                </w:tcPr>
                <w:p w14:paraId="41755BB4">
                  <w:pPr>
                    <w:spacing w:line="0" w:lineRule="atLeast"/>
                    <w:ind w:firstLine="0" w:firstLineChars="0"/>
                    <w:jc w:val="center"/>
                    <w:rPr>
                      <w:b/>
                      <w:bCs/>
                      <w:color w:val="000000" w:themeColor="text1"/>
                      <w:sz w:val="21"/>
                      <w:szCs w:val="21"/>
                    </w:rPr>
                  </w:pPr>
                  <w:r>
                    <w:rPr>
                      <w:b/>
                      <w:bCs/>
                      <w:color w:val="000000" w:themeColor="text1"/>
                      <w:sz w:val="21"/>
                      <w:szCs w:val="21"/>
                    </w:rPr>
                    <w:t>间歇排放时段</w:t>
                  </w:r>
                </w:p>
              </w:tc>
              <w:tc>
                <w:tcPr>
                  <w:tcW w:w="2202" w:type="pct"/>
                  <w:gridSpan w:val="3"/>
                  <w:vAlign w:val="center"/>
                </w:tcPr>
                <w:p w14:paraId="04CE3B1B">
                  <w:pPr>
                    <w:spacing w:line="0" w:lineRule="atLeast"/>
                    <w:ind w:firstLine="0" w:firstLineChars="0"/>
                    <w:jc w:val="center"/>
                    <w:rPr>
                      <w:b/>
                      <w:bCs/>
                      <w:color w:val="000000" w:themeColor="text1"/>
                      <w:sz w:val="21"/>
                      <w:szCs w:val="21"/>
                    </w:rPr>
                  </w:pPr>
                  <w:r>
                    <w:rPr>
                      <w:b/>
                      <w:bCs/>
                      <w:color w:val="000000" w:themeColor="text1"/>
                      <w:sz w:val="21"/>
                      <w:szCs w:val="21"/>
                    </w:rPr>
                    <w:t>受纳污水处理厂信息</w:t>
                  </w:r>
                </w:p>
              </w:tc>
            </w:tr>
            <w:tr w14:paraId="635B5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4C6310A7">
                  <w:pPr>
                    <w:spacing w:line="0" w:lineRule="atLeast"/>
                    <w:ind w:firstLine="0" w:firstLineChars="0"/>
                    <w:jc w:val="center"/>
                    <w:rPr>
                      <w:b/>
                      <w:bCs/>
                      <w:color w:val="000000" w:themeColor="text1"/>
                      <w:sz w:val="21"/>
                      <w:szCs w:val="21"/>
                    </w:rPr>
                  </w:pPr>
                </w:p>
              </w:tc>
              <w:tc>
                <w:tcPr>
                  <w:tcW w:w="422" w:type="pct"/>
                  <w:vMerge w:val="continue"/>
                  <w:vAlign w:val="center"/>
                </w:tcPr>
                <w:p w14:paraId="089968AC">
                  <w:pPr>
                    <w:spacing w:line="0" w:lineRule="atLeast"/>
                    <w:ind w:firstLine="0" w:firstLineChars="0"/>
                    <w:jc w:val="center"/>
                    <w:rPr>
                      <w:b/>
                      <w:bCs/>
                      <w:color w:val="000000" w:themeColor="text1"/>
                      <w:sz w:val="21"/>
                      <w:szCs w:val="21"/>
                    </w:rPr>
                  </w:pPr>
                </w:p>
              </w:tc>
              <w:tc>
                <w:tcPr>
                  <w:tcW w:w="432" w:type="pct"/>
                  <w:vAlign w:val="center"/>
                </w:tcPr>
                <w:p w14:paraId="6F5223FA">
                  <w:pPr>
                    <w:spacing w:line="0" w:lineRule="atLeast"/>
                    <w:ind w:firstLine="0" w:firstLineChars="0"/>
                    <w:jc w:val="center"/>
                    <w:rPr>
                      <w:b/>
                      <w:bCs/>
                      <w:color w:val="000000" w:themeColor="text1"/>
                      <w:sz w:val="21"/>
                      <w:szCs w:val="21"/>
                    </w:rPr>
                  </w:pPr>
                  <w:r>
                    <w:rPr>
                      <w:b/>
                      <w:bCs/>
                      <w:color w:val="000000" w:themeColor="text1"/>
                      <w:sz w:val="21"/>
                      <w:szCs w:val="21"/>
                    </w:rPr>
                    <w:t>经度</w:t>
                  </w:r>
                </w:p>
              </w:tc>
              <w:tc>
                <w:tcPr>
                  <w:tcW w:w="419" w:type="pct"/>
                  <w:vAlign w:val="center"/>
                </w:tcPr>
                <w:p w14:paraId="599E01E9">
                  <w:pPr>
                    <w:spacing w:line="0" w:lineRule="atLeast"/>
                    <w:ind w:firstLine="0" w:firstLineChars="0"/>
                    <w:jc w:val="center"/>
                    <w:rPr>
                      <w:b/>
                      <w:bCs/>
                      <w:color w:val="000000" w:themeColor="text1"/>
                      <w:sz w:val="21"/>
                      <w:szCs w:val="21"/>
                    </w:rPr>
                  </w:pPr>
                  <w:r>
                    <w:rPr>
                      <w:b/>
                      <w:bCs/>
                      <w:color w:val="000000" w:themeColor="text1"/>
                      <w:sz w:val="21"/>
                      <w:szCs w:val="21"/>
                    </w:rPr>
                    <w:t>纬度</w:t>
                  </w:r>
                </w:p>
              </w:tc>
              <w:tc>
                <w:tcPr>
                  <w:tcW w:w="446" w:type="pct"/>
                  <w:vMerge w:val="continue"/>
                  <w:vAlign w:val="center"/>
                </w:tcPr>
                <w:p w14:paraId="4485E884">
                  <w:pPr>
                    <w:spacing w:line="0" w:lineRule="atLeast"/>
                    <w:ind w:firstLine="0" w:firstLineChars="0"/>
                    <w:jc w:val="center"/>
                    <w:rPr>
                      <w:b/>
                      <w:bCs/>
                      <w:color w:val="000000" w:themeColor="text1"/>
                      <w:sz w:val="21"/>
                      <w:szCs w:val="21"/>
                    </w:rPr>
                  </w:pPr>
                </w:p>
              </w:tc>
              <w:tc>
                <w:tcPr>
                  <w:tcW w:w="298" w:type="pct"/>
                  <w:vMerge w:val="continue"/>
                  <w:vAlign w:val="center"/>
                </w:tcPr>
                <w:p w14:paraId="7307E111">
                  <w:pPr>
                    <w:spacing w:line="0" w:lineRule="atLeast"/>
                    <w:ind w:firstLine="0" w:firstLineChars="0"/>
                    <w:jc w:val="center"/>
                    <w:rPr>
                      <w:b/>
                      <w:bCs/>
                      <w:color w:val="000000" w:themeColor="text1"/>
                      <w:sz w:val="21"/>
                      <w:szCs w:val="21"/>
                    </w:rPr>
                  </w:pPr>
                </w:p>
              </w:tc>
              <w:tc>
                <w:tcPr>
                  <w:tcW w:w="304" w:type="pct"/>
                  <w:vMerge w:val="continue"/>
                  <w:vAlign w:val="center"/>
                </w:tcPr>
                <w:p w14:paraId="50C1823A">
                  <w:pPr>
                    <w:spacing w:line="0" w:lineRule="atLeast"/>
                    <w:ind w:firstLine="0" w:firstLineChars="0"/>
                    <w:jc w:val="center"/>
                    <w:rPr>
                      <w:b/>
                      <w:bCs/>
                      <w:color w:val="000000" w:themeColor="text1"/>
                      <w:sz w:val="21"/>
                      <w:szCs w:val="21"/>
                    </w:rPr>
                  </w:pPr>
                </w:p>
              </w:tc>
              <w:tc>
                <w:tcPr>
                  <w:tcW w:w="276" w:type="pct"/>
                  <w:vMerge w:val="continue"/>
                  <w:vAlign w:val="center"/>
                </w:tcPr>
                <w:p w14:paraId="317D56A2">
                  <w:pPr>
                    <w:spacing w:line="0" w:lineRule="atLeast"/>
                    <w:ind w:firstLine="0" w:firstLineChars="0"/>
                    <w:jc w:val="center"/>
                    <w:rPr>
                      <w:b/>
                      <w:bCs/>
                      <w:color w:val="000000" w:themeColor="text1"/>
                      <w:sz w:val="21"/>
                      <w:szCs w:val="21"/>
                    </w:rPr>
                  </w:pPr>
                </w:p>
              </w:tc>
              <w:tc>
                <w:tcPr>
                  <w:tcW w:w="308" w:type="pct"/>
                  <w:vAlign w:val="center"/>
                </w:tcPr>
                <w:p w14:paraId="4BD6E14E">
                  <w:pPr>
                    <w:spacing w:line="0" w:lineRule="atLeast"/>
                    <w:ind w:firstLine="0" w:firstLineChars="0"/>
                    <w:jc w:val="center"/>
                    <w:rPr>
                      <w:b/>
                      <w:bCs/>
                      <w:color w:val="000000" w:themeColor="text1"/>
                      <w:sz w:val="21"/>
                      <w:szCs w:val="21"/>
                    </w:rPr>
                  </w:pPr>
                  <w:r>
                    <w:rPr>
                      <w:b/>
                      <w:bCs/>
                      <w:color w:val="000000" w:themeColor="text1"/>
                      <w:sz w:val="21"/>
                      <w:szCs w:val="21"/>
                    </w:rPr>
                    <w:t>名称</w:t>
                  </w:r>
                </w:p>
              </w:tc>
              <w:tc>
                <w:tcPr>
                  <w:tcW w:w="459" w:type="pct"/>
                  <w:vAlign w:val="center"/>
                </w:tcPr>
                <w:p w14:paraId="780E2AC1">
                  <w:pPr>
                    <w:spacing w:line="0" w:lineRule="atLeast"/>
                    <w:ind w:firstLine="0" w:firstLineChars="0"/>
                    <w:jc w:val="center"/>
                    <w:rPr>
                      <w:b/>
                      <w:bCs/>
                      <w:color w:val="000000" w:themeColor="text1"/>
                      <w:sz w:val="21"/>
                      <w:szCs w:val="21"/>
                    </w:rPr>
                  </w:pPr>
                  <w:r>
                    <w:rPr>
                      <w:b/>
                      <w:bCs/>
                      <w:color w:val="000000" w:themeColor="text1"/>
                      <w:sz w:val="21"/>
                      <w:szCs w:val="21"/>
                    </w:rPr>
                    <w:t>污染物种类</w:t>
                  </w:r>
                </w:p>
              </w:tc>
              <w:tc>
                <w:tcPr>
                  <w:tcW w:w="1435" w:type="pct"/>
                  <w:vAlign w:val="center"/>
                </w:tcPr>
                <w:p w14:paraId="6EA88B24">
                  <w:pPr>
                    <w:spacing w:line="0" w:lineRule="atLeast"/>
                    <w:ind w:firstLine="0" w:firstLineChars="0"/>
                    <w:jc w:val="center"/>
                    <w:rPr>
                      <w:b/>
                      <w:bCs/>
                      <w:color w:val="000000" w:themeColor="text1"/>
                      <w:sz w:val="21"/>
                      <w:szCs w:val="21"/>
                    </w:rPr>
                  </w:pPr>
                  <w:r>
                    <w:rPr>
                      <w:b/>
                      <w:bCs/>
                      <w:color w:val="000000" w:themeColor="text1"/>
                      <w:sz w:val="21"/>
                      <w:szCs w:val="21"/>
                    </w:rPr>
                    <w:t>《城镇污水处理厂污染物排放标准》（GB18918-2002）中一级A标准</w:t>
                  </w:r>
                  <w:r>
                    <w:rPr>
                      <w:rFonts w:hint="eastAsia"/>
                      <w:b/>
                      <w:bCs/>
                      <w:color w:val="000000" w:themeColor="text1"/>
                      <w:sz w:val="21"/>
                      <w:szCs w:val="21"/>
                    </w:rPr>
                    <w:t>及</w:t>
                  </w:r>
                  <w:r>
                    <w:rPr>
                      <w:b/>
                      <w:bCs/>
                      <w:color w:val="000000" w:themeColor="text1"/>
                      <w:sz w:val="21"/>
                      <w:szCs w:val="21"/>
                    </w:rPr>
                    <w:t>《城镇污水再生利用城市杂用水水质》（GB/T18920-2002）表1标准</w:t>
                  </w:r>
                  <w:r>
                    <w:rPr>
                      <w:rFonts w:hint="eastAsia"/>
                      <w:b/>
                      <w:bCs/>
                      <w:color w:val="000000" w:themeColor="text1"/>
                      <w:sz w:val="21"/>
                      <w:szCs w:val="21"/>
                    </w:rPr>
                    <w:t>（</w:t>
                  </w:r>
                  <w:r>
                    <w:rPr>
                      <w:b/>
                      <w:bCs/>
                      <w:color w:val="000000" w:themeColor="text1"/>
                      <w:sz w:val="21"/>
                      <w:szCs w:val="21"/>
                    </w:rPr>
                    <w:t>mg/L</w:t>
                  </w:r>
                  <w:r>
                    <w:rPr>
                      <w:rFonts w:hint="eastAsia"/>
                      <w:b/>
                      <w:bCs/>
                      <w:color w:val="000000" w:themeColor="text1"/>
                      <w:sz w:val="21"/>
                      <w:szCs w:val="21"/>
                    </w:rPr>
                    <w:t>）</w:t>
                  </w:r>
                </w:p>
              </w:tc>
            </w:tr>
            <w:tr w14:paraId="42A8D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restart"/>
                  <w:vAlign w:val="center"/>
                </w:tcPr>
                <w:p w14:paraId="6B5BC5E4">
                  <w:pPr>
                    <w:spacing w:line="0" w:lineRule="atLeast"/>
                    <w:ind w:firstLine="0" w:firstLineChars="0"/>
                    <w:jc w:val="center"/>
                    <w:rPr>
                      <w:color w:val="000000" w:themeColor="text1"/>
                      <w:sz w:val="21"/>
                      <w:szCs w:val="21"/>
                    </w:rPr>
                  </w:pPr>
                  <w:r>
                    <w:rPr>
                      <w:color w:val="000000" w:themeColor="text1"/>
                      <w:sz w:val="21"/>
                      <w:szCs w:val="21"/>
                    </w:rPr>
                    <w:t>1</w:t>
                  </w:r>
                </w:p>
              </w:tc>
              <w:tc>
                <w:tcPr>
                  <w:tcW w:w="422" w:type="pct"/>
                  <w:vMerge w:val="restart"/>
                  <w:vAlign w:val="center"/>
                </w:tcPr>
                <w:p w14:paraId="00A2A833">
                  <w:pPr>
                    <w:spacing w:line="0" w:lineRule="atLeast"/>
                    <w:ind w:firstLine="0" w:firstLineChars="0"/>
                    <w:jc w:val="center"/>
                    <w:rPr>
                      <w:color w:val="000000" w:themeColor="text1"/>
                      <w:sz w:val="21"/>
                      <w:szCs w:val="21"/>
                    </w:rPr>
                  </w:pPr>
                  <w:r>
                    <w:rPr>
                      <w:color w:val="000000" w:themeColor="text1"/>
                      <w:sz w:val="21"/>
                      <w:szCs w:val="21"/>
                    </w:rPr>
                    <w:t>DW001</w:t>
                  </w:r>
                </w:p>
              </w:tc>
              <w:tc>
                <w:tcPr>
                  <w:tcW w:w="432" w:type="pct"/>
                  <w:vMerge w:val="restart"/>
                  <w:shd w:val="clear" w:color="auto" w:fill="auto"/>
                  <w:vAlign w:val="center"/>
                </w:tcPr>
                <w:p w14:paraId="254F4CB1">
                  <w:pPr>
                    <w:spacing w:line="0" w:lineRule="atLeast"/>
                    <w:ind w:firstLine="0" w:firstLineChars="0"/>
                    <w:jc w:val="center"/>
                    <w:rPr>
                      <w:color w:val="000000" w:themeColor="text1"/>
                      <w:sz w:val="21"/>
                      <w:szCs w:val="21"/>
                    </w:rPr>
                  </w:pPr>
                  <w:r>
                    <w:rPr>
                      <w:color w:val="000000" w:themeColor="text1"/>
                      <w:sz w:val="21"/>
                      <w:szCs w:val="21"/>
                    </w:rPr>
                    <w:t>11</w:t>
                  </w:r>
                  <w:r>
                    <w:rPr>
                      <w:rFonts w:hint="eastAsia"/>
                      <w:color w:val="000000" w:themeColor="text1"/>
                      <w:sz w:val="21"/>
                      <w:szCs w:val="21"/>
                    </w:rPr>
                    <w:t>8.498339</w:t>
                  </w:r>
                  <w:r>
                    <w:rPr>
                      <w:color w:val="000000" w:themeColor="text1"/>
                      <w:sz w:val="21"/>
                      <w:szCs w:val="21"/>
                    </w:rPr>
                    <w:t>°</w:t>
                  </w:r>
                </w:p>
              </w:tc>
              <w:tc>
                <w:tcPr>
                  <w:tcW w:w="419" w:type="pct"/>
                  <w:vMerge w:val="restart"/>
                  <w:shd w:val="clear" w:color="auto" w:fill="auto"/>
                  <w:vAlign w:val="center"/>
                </w:tcPr>
                <w:p w14:paraId="7B64E6C3">
                  <w:pPr>
                    <w:spacing w:line="0" w:lineRule="atLeast"/>
                    <w:ind w:firstLine="0" w:firstLineChars="0"/>
                    <w:jc w:val="center"/>
                    <w:rPr>
                      <w:color w:val="000000" w:themeColor="text1"/>
                      <w:sz w:val="21"/>
                      <w:szCs w:val="21"/>
                    </w:rPr>
                  </w:pPr>
                  <w:r>
                    <w:rPr>
                      <w:color w:val="000000" w:themeColor="text1"/>
                      <w:sz w:val="21"/>
                      <w:szCs w:val="21"/>
                    </w:rPr>
                    <w:t>39.</w:t>
                  </w:r>
                  <w:r>
                    <w:rPr>
                      <w:rFonts w:hint="eastAsia"/>
                      <w:color w:val="000000" w:themeColor="text1"/>
                      <w:sz w:val="21"/>
                      <w:szCs w:val="21"/>
                    </w:rPr>
                    <w:t>116807</w:t>
                  </w:r>
                  <w:r>
                    <w:rPr>
                      <w:color w:val="000000" w:themeColor="text1"/>
                      <w:sz w:val="21"/>
                      <w:szCs w:val="21"/>
                    </w:rPr>
                    <w:t>°</w:t>
                  </w:r>
                </w:p>
              </w:tc>
              <w:tc>
                <w:tcPr>
                  <w:tcW w:w="446" w:type="pct"/>
                  <w:vMerge w:val="restart"/>
                  <w:vAlign w:val="center"/>
                </w:tcPr>
                <w:p w14:paraId="2B59D6D2">
                  <w:pPr>
                    <w:spacing w:line="0" w:lineRule="atLeast"/>
                    <w:ind w:firstLine="0" w:firstLineChars="0"/>
                    <w:jc w:val="center"/>
                    <w:rPr>
                      <w:color w:val="000000" w:themeColor="text1"/>
                      <w:sz w:val="21"/>
                      <w:szCs w:val="21"/>
                    </w:rPr>
                  </w:pPr>
                  <w:r>
                    <w:rPr>
                      <w:rFonts w:hint="eastAsia"/>
                      <w:color w:val="000000" w:themeColor="text1"/>
                      <w:sz w:val="21"/>
                      <w:szCs w:val="21"/>
                    </w:rPr>
                    <w:t>0.00576</w:t>
                  </w:r>
                </w:p>
              </w:tc>
              <w:tc>
                <w:tcPr>
                  <w:tcW w:w="298" w:type="pct"/>
                  <w:vMerge w:val="restart"/>
                  <w:vAlign w:val="center"/>
                </w:tcPr>
                <w:p w14:paraId="5CBD4BED">
                  <w:pPr>
                    <w:spacing w:line="0" w:lineRule="atLeast"/>
                    <w:ind w:firstLine="0" w:firstLineChars="0"/>
                    <w:jc w:val="center"/>
                    <w:rPr>
                      <w:color w:val="000000" w:themeColor="text1"/>
                      <w:sz w:val="21"/>
                      <w:szCs w:val="21"/>
                    </w:rPr>
                  </w:pPr>
                  <w:r>
                    <w:rPr>
                      <w:color w:val="000000" w:themeColor="text1"/>
                      <w:sz w:val="21"/>
                      <w:szCs w:val="21"/>
                    </w:rPr>
                    <w:t>城市污水处理厂</w:t>
                  </w:r>
                </w:p>
              </w:tc>
              <w:tc>
                <w:tcPr>
                  <w:tcW w:w="304" w:type="pct"/>
                  <w:vMerge w:val="restart"/>
                  <w:vAlign w:val="center"/>
                </w:tcPr>
                <w:p w14:paraId="5198E914">
                  <w:pPr>
                    <w:spacing w:line="0" w:lineRule="atLeast"/>
                    <w:ind w:firstLine="0" w:firstLineChars="0"/>
                    <w:jc w:val="center"/>
                    <w:rPr>
                      <w:color w:val="000000" w:themeColor="text1"/>
                      <w:sz w:val="21"/>
                      <w:szCs w:val="21"/>
                    </w:rPr>
                  </w:pPr>
                  <w:r>
                    <w:rPr>
                      <w:color w:val="000000" w:themeColor="text1"/>
                      <w:sz w:val="21"/>
                      <w:szCs w:val="21"/>
                    </w:rPr>
                    <w:t>无规律</w:t>
                  </w:r>
                </w:p>
              </w:tc>
              <w:tc>
                <w:tcPr>
                  <w:tcW w:w="276" w:type="pct"/>
                  <w:vMerge w:val="restart"/>
                  <w:vAlign w:val="center"/>
                </w:tcPr>
                <w:p w14:paraId="5399C3C8">
                  <w:pPr>
                    <w:spacing w:line="0" w:lineRule="atLeast"/>
                    <w:ind w:firstLine="0" w:firstLineChars="0"/>
                    <w:jc w:val="center"/>
                    <w:rPr>
                      <w:color w:val="000000" w:themeColor="text1"/>
                      <w:sz w:val="21"/>
                      <w:szCs w:val="21"/>
                    </w:rPr>
                  </w:pPr>
                  <w:r>
                    <w:rPr>
                      <w:color w:val="000000" w:themeColor="text1"/>
                      <w:sz w:val="21"/>
                      <w:szCs w:val="21"/>
                    </w:rPr>
                    <w:t>无规律</w:t>
                  </w:r>
                </w:p>
              </w:tc>
              <w:tc>
                <w:tcPr>
                  <w:tcW w:w="308" w:type="pct"/>
                  <w:vMerge w:val="restart"/>
                  <w:vAlign w:val="center"/>
                </w:tcPr>
                <w:p w14:paraId="32CE4956">
                  <w:pPr>
                    <w:spacing w:line="0" w:lineRule="atLeast"/>
                    <w:ind w:firstLine="0" w:firstLineChars="0"/>
                    <w:jc w:val="center"/>
                    <w:rPr>
                      <w:color w:val="000000" w:themeColor="text1"/>
                      <w:sz w:val="21"/>
                      <w:szCs w:val="21"/>
                    </w:rPr>
                  </w:pPr>
                  <w:r>
                    <w:rPr>
                      <w:rFonts w:hint="eastAsia"/>
                      <w:color w:val="000000" w:themeColor="text1"/>
                      <w:sz w:val="21"/>
                      <w:szCs w:val="21"/>
                    </w:rPr>
                    <w:t>曹妃甸工业区装备制造区污水处理站</w:t>
                  </w:r>
                </w:p>
              </w:tc>
              <w:tc>
                <w:tcPr>
                  <w:tcW w:w="459" w:type="pct"/>
                  <w:vAlign w:val="center"/>
                </w:tcPr>
                <w:p w14:paraId="75105292">
                  <w:pPr>
                    <w:spacing w:line="0" w:lineRule="atLeast"/>
                    <w:ind w:firstLine="0" w:firstLineChars="0"/>
                    <w:jc w:val="center"/>
                    <w:rPr>
                      <w:color w:val="000000" w:themeColor="text1"/>
                      <w:sz w:val="21"/>
                      <w:szCs w:val="21"/>
                    </w:rPr>
                  </w:pPr>
                  <w:r>
                    <w:rPr>
                      <w:rFonts w:hint="eastAsia"/>
                      <w:color w:val="000000" w:themeColor="text1"/>
                      <w:sz w:val="21"/>
                      <w:szCs w:val="21"/>
                    </w:rPr>
                    <w:t>pH</w:t>
                  </w:r>
                </w:p>
              </w:tc>
              <w:tc>
                <w:tcPr>
                  <w:tcW w:w="1435" w:type="pct"/>
                  <w:vAlign w:val="center"/>
                </w:tcPr>
                <w:p w14:paraId="0B0512E3">
                  <w:pPr>
                    <w:spacing w:line="0" w:lineRule="atLeast"/>
                    <w:ind w:firstLine="0" w:firstLineChars="0"/>
                    <w:jc w:val="center"/>
                    <w:rPr>
                      <w:color w:val="000000" w:themeColor="text1"/>
                      <w:sz w:val="21"/>
                      <w:szCs w:val="21"/>
                    </w:rPr>
                  </w:pPr>
                  <w:r>
                    <w:rPr>
                      <w:rFonts w:hint="eastAsia"/>
                      <w:color w:val="000000" w:themeColor="text1"/>
                      <w:sz w:val="21"/>
                      <w:szCs w:val="21"/>
                    </w:rPr>
                    <w:t>6~9（无量纲）</w:t>
                  </w:r>
                </w:p>
              </w:tc>
            </w:tr>
            <w:tr w14:paraId="484CD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7DD8CCC8">
                  <w:pPr>
                    <w:spacing w:line="0" w:lineRule="atLeast"/>
                    <w:ind w:firstLine="420"/>
                    <w:jc w:val="center"/>
                    <w:rPr>
                      <w:color w:val="000000" w:themeColor="text1"/>
                      <w:sz w:val="21"/>
                      <w:szCs w:val="21"/>
                    </w:rPr>
                  </w:pPr>
                </w:p>
              </w:tc>
              <w:tc>
                <w:tcPr>
                  <w:tcW w:w="422" w:type="pct"/>
                  <w:vMerge w:val="continue"/>
                  <w:vAlign w:val="center"/>
                </w:tcPr>
                <w:p w14:paraId="207FA4F0">
                  <w:pPr>
                    <w:spacing w:line="0" w:lineRule="atLeast"/>
                    <w:ind w:firstLine="0" w:firstLineChars="0"/>
                    <w:jc w:val="center"/>
                    <w:rPr>
                      <w:color w:val="000000" w:themeColor="text1"/>
                      <w:sz w:val="21"/>
                      <w:szCs w:val="21"/>
                    </w:rPr>
                  </w:pPr>
                </w:p>
              </w:tc>
              <w:tc>
                <w:tcPr>
                  <w:tcW w:w="432" w:type="pct"/>
                  <w:vMerge w:val="continue"/>
                  <w:vAlign w:val="center"/>
                </w:tcPr>
                <w:p w14:paraId="69E0A139">
                  <w:pPr>
                    <w:spacing w:line="0" w:lineRule="atLeast"/>
                    <w:ind w:firstLine="0" w:firstLineChars="0"/>
                    <w:jc w:val="center"/>
                    <w:rPr>
                      <w:color w:val="000000" w:themeColor="text1"/>
                      <w:sz w:val="21"/>
                      <w:szCs w:val="21"/>
                    </w:rPr>
                  </w:pPr>
                </w:p>
              </w:tc>
              <w:tc>
                <w:tcPr>
                  <w:tcW w:w="419" w:type="pct"/>
                  <w:vMerge w:val="continue"/>
                  <w:vAlign w:val="center"/>
                </w:tcPr>
                <w:p w14:paraId="45C3E4D4">
                  <w:pPr>
                    <w:spacing w:line="0" w:lineRule="atLeast"/>
                    <w:ind w:firstLine="0" w:firstLineChars="0"/>
                    <w:jc w:val="center"/>
                    <w:rPr>
                      <w:color w:val="000000" w:themeColor="text1"/>
                      <w:sz w:val="21"/>
                      <w:szCs w:val="21"/>
                    </w:rPr>
                  </w:pPr>
                </w:p>
              </w:tc>
              <w:tc>
                <w:tcPr>
                  <w:tcW w:w="446" w:type="pct"/>
                  <w:vMerge w:val="continue"/>
                  <w:vAlign w:val="center"/>
                </w:tcPr>
                <w:p w14:paraId="18D3A59D">
                  <w:pPr>
                    <w:spacing w:line="0" w:lineRule="atLeast"/>
                    <w:ind w:firstLine="0" w:firstLineChars="0"/>
                    <w:jc w:val="center"/>
                    <w:rPr>
                      <w:color w:val="000000" w:themeColor="text1"/>
                      <w:sz w:val="21"/>
                      <w:szCs w:val="21"/>
                    </w:rPr>
                  </w:pPr>
                </w:p>
              </w:tc>
              <w:tc>
                <w:tcPr>
                  <w:tcW w:w="298" w:type="pct"/>
                  <w:vMerge w:val="continue"/>
                  <w:vAlign w:val="center"/>
                </w:tcPr>
                <w:p w14:paraId="2AABBF83">
                  <w:pPr>
                    <w:spacing w:line="0" w:lineRule="atLeast"/>
                    <w:ind w:firstLine="0" w:firstLineChars="0"/>
                    <w:jc w:val="center"/>
                    <w:rPr>
                      <w:color w:val="000000" w:themeColor="text1"/>
                      <w:sz w:val="21"/>
                      <w:szCs w:val="21"/>
                    </w:rPr>
                  </w:pPr>
                </w:p>
              </w:tc>
              <w:tc>
                <w:tcPr>
                  <w:tcW w:w="304" w:type="pct"/>
                  <w:vMerge w:val="continue"/>
                  <w:vAlign w:val="center"/>
                </w:tcPr>
                <w:p w14:paraId="7E4A1178">
                  <w:pPr>
                    <w:spacing w:line="0" w:lineRule="atLeast"/>
                    <w:ind w:firstLine="0" w:firstLineChars="0"/>
                    <w:jc w:val="center"/>
                    <w:rPr>
                      <w:color w:val="000000" w:themeColor="text1"/>
                      <w:sz w:val="21"/>
                      <w:szCs w:val="21"/>
                    </w:rPr>
                  </w:pPr>
                </w:p>
              </w:tc>
              <w:tc>
                <w:tcPr>
                  <w:tcW w:w="276" w:type="pct"/>
                  <w:vMerge w:val="continue"/>
                  <w:vAlign w:val="center"/>
                </w:tcPr>
                <w:p w14:paraId="52E33DF6">
                  <w:pPr>
                    <w:spacing w:line="0" w:lineRule="atLeast"/>
                    <w:ind w:firstLine="0" w:firstLineChars="0"/>
                    <w:jc w:val="center"/>
                    <w:rPr>
                      <w:color w:val="000000" w:themeColor="text1"/>
                      <w:sz w:val="21"/>
                      <w:szCs w:val="21"/>
                    </w:rPr>
                  </w:pPr>
                </w:p>
              </w:tc>
              <w:tc>
                <w:tcPr>
                  <w:tcW w:w="308" w:type="pct"/>
                  <w:vMerge w:val="continue"/>
                  <w:vAlign w:val="center"/>
                </w:tcPr>
                <w:p w14:paraId="299720CC">
                  <w:pPr>
                    <w:spacing w:line="0" w:lineRule="atLeast"/>
                    <w:ind w:firstLine="0" w:firstLineChars="0"/>
                    <w:jc w:val="center"/>
                    <w:rPr>
                      <w:color w:val="000000" w:themeColor="text1"/>
                      <w:sz w:val="21"/>
                      <w:szCs w:val="21"/>
                    </w:rPr>
                  </w:pPr>
                </w:p>
              </w:tc>
              <w:tc>
                <w:tcPr>
                  <w:tcW w:w="459" w:type="pct"/>
                  <w:vAlign w:val="center"/>
                </w:tcPr>
                <w:p w14:paraId="76C0A915">
                  <w:pPr>
                    <w:spacing w:line="0" w:lineRule="atLeast"/>
                    <w:ind w:firstLine="0" w:firstLineChars="0"/>
                    <w:jc w:val="center"/>
                    <w:rPr>
                      <w:color w:val="000000" w:themeColor="text1"/>
                      <w:sz w:val="21"/>
                      <w:szCs w:val="21"/>
                    </w:rPr>
                  </w:pPr>
                  <w:r>
                    <w:rPr>
                      <w:color w:val="000000" w:themeColor="text1"/>
                      <w:sz w:val="21"/>
                      <w:szCs w:val="21"/>
                    </w:rPr>
                    <w:t>COD</w:t>
                  </w:r>
                </w:p>
              </w:tc>
              <w:tc>
                <w:tcPr>
                  <w:tcW w:w="1435" w:type="pct"/>
                  <w:vAlign w:val="center"/>
                </w:tcPr>
                <w:p w14:paraId="0A484519">
                  <w:pPr>
                    <w:spacing w:line="0" w:lineRule="atLeast"/>
                    <w:ind w:firstLine="0" w:firstLineChars="0"/>
                    <w:jc w:val="center"/>
                    <w:rPr>
                      <w:color w:val="000000" w:themeColor="text1"/>
                      <w:sz w:val="21"/>
                      <w:szCs w:val="21"/>
                    </w:rPr>
                  </w:pPr>
                  <w:r>
                    <w:rPr>
                      <w:rFonts w:hint="eastAsia"/>
                      <w:color w:val="000000" w:themeColor="text1"/>
                      <w:sz w:val="21"/>
                      <w:szCs w:val="21"/>
                    </w:rPr>
                    <w:t>50</w:t>
                  </w:r>
                </w:p>
              </w:tc>
            </w:tr>
            <w:tr w14:paraId="0E7BD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06A5610A">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22" w:type="pct"/>
                  <w:vMerge w:val="continue"/>
                  <w:vAlign w:val="center"/>
                </w:tcPr>
                <w:p w14:paraId="6DA183E3">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32" w:type="pct"/>
                  <w:vMerge w:val="continue"/>
                  <w:vAlign w:val="center"/>
                </w:tcPr>
                <w:p w14:paraId="28254832">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19" w:type="pct"/>
                  <w:vMerge w:val="continue"/>
                  <w:vAlign w:val="center"/>
                </w:tcPr>
                <w:p w14:paraId="33B16B2A">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46" w:type="pct"/>
                  <w:vMerge w:val="continue"/>
                  <w:vAlign w:val="center"/>
                </w:tcPr>
                <w:p w14:paraId="75C05CB9">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298" w:type="pct"/>
                  <w:vMerge w:val="continue"/>
                  <w:vAlign w:val="center"/>
                </w:tcPr>
                <w:p w14:paraId="72DC99F0">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304" w:type="pct"/>
                  <w:vMerge w:val="continue"/>
                  <w:vAlign w:val="center"/>
                </w:tcPr>
                <w:p w14:paraId="644EB8BD">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276" w:type="pct"/>
                  <w:vMerge w:val="continue"/>
                  <w:vAlign w:val="center"/>
                </w:tcPr>
                <w:p w14:paraId="5B965460">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308" w:type="pct"/>
                  <w:vMerge w:val="continue"/>
                  <w:vAlign w:val="center"/>
                </w:tcPr>
                <w:p w14:paraId="3FB8332E">
                  <w:pPr>
                    <w:pStyle w:val="52"/>
                    <w:shd w:val="clear" w:color="auto" w:fill="auto"/>
                    <w:spacing w:before="0" w:after="0"/>
                    <w:jc w:val="center"/>
                    <w:rPr>
                      <w:rFonts w:ascii="Times New Roman" w:hAnsi="Times New Roman" w:eastAsia="宋体" w:cs="Times New Roman"/>
                      <w:color w:val="000000" w:themeColor="text1"/>
                      <w:sz w:val="21"/>
                      <w:szCs w:val="21"/>
                      <w:lang w:eastAsia="zh-CN"/>
                    </w:rPr>
                  </w:pPr>
                </w:p>
              </w:tc>
              <w:tc>
                <w:tcPr>
                  <w:tcW w:w="459" w:type="pct"/>
                  <w:vAlign w:val="center"/>
                </w:tcPr>
                <w:p w14:paraId="0A552E12">
                  <w:pPr>
                    <w:spacing w:line="0" w:lineRule="atLeast"/>
                    <w:ind w:firstLine="0" w:firstLineChars="0"/>
                    <w:jc w:val="center"/>
                    <w:rPr>
                      <w:color w:val="000000" w:themeColor="text1"/>
                      <w:sz w:val="21"/>
                      <w:szCs w:val="21"/>
                    </w:rPr>
                  </w:pPr>
                  <w:r>
                    <w:rPr>
                      <w:color w:val="000000" w:themeColor="text1"/>
                      <w:sz w:val="21"/>
                      <w:szCs w:val="21"/>
                    </w:rPr>
                    <w:t>氨氮</w:t>
                  </w:r>
                </w:p>
              </w:tc>
              <w:tc>
                <w:tcPr>
                  <w:tcW w:w="1435" w:type="pct"/>
                  <w:vAlign w:val="center"/>
                </w:tcPr>
                <w:p w14:paraId="1A482188">
                  <w:pPr>
                    <w:spacing w:line="0" w:lineRule="atLeast"/>
                    <w:ind w:firstLine="0" w:firstLineChars="0"/>
                    <w:jc w:val="center"/>
                    <w:rPr>
                      <w:color w:val="000000" w:themeColor="text1"/>
                      <w:sz w:val="21"/>
                      <w:szCs w:val="21"/>
                    </w:rPr>
                  </w:pPr>
                  <w:r>
                    <w:rPr>
                      <w:color w:val="000000" w:themeColor="text1"/>
                      <w:kern w:val="44"/>
                      <w:sz w:val="21"/>
                      <w:szCs w:val="21"/>
                    </w:rPr>
                    <w:t>5（8）</w:t>
                  </w:r>
                </w:p>
              </w:tc>
            </w:tr>
            <w:tr w14:paraId="10C12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58FCFAD0">
                  <w:pPr>
                    <w:spacing w:line="0" w:lineRule="atLeast"/>
                    <w:ind w:firstLine="420"/>
                    <w:jc w:val="center"/>
                    <w:rPr>
                      <w:color w:val="000000" w:themeColor="text1"/>
                      <w:sz w:val="21"/>
                      <w:szCs w:val="21"/>
                    </w:rPr>
                  </w:pPr>
                </w:p>
              </w:tc>
              <w:tc>
                <w:tcPr>
                  <w:tcW w:w="422" w:type="pct"/>
                  <w:vMerge w:val="continue"/>
                  <w:vAlign w:val="center"/>
                </w:tcPr>
                <w:p w14:paraId="5FD2CA5C">
                  <w:pPr>
                    <w:spacing w:line="0" w:lineRule="atLeast"/>
                    <w:ind w:firstLine="0" w:firstLineChars="0"/>
                    <w:jc w:val="center"/>
                    <w:rPr>
                      <w:color w:val="000000" w:themeColor="text1"/>
                      <w:sz w:val="21"/>
                      <w:szCs w:val="21"/>
                    </w:rPr>
                  </w:pPr>
                </w:p>
              </w:tc>
              <w:tc>
                <w:tcPr>
                  <w:tcW w:w="432" w:type="pct"/>
                  <w:vMerge w:val="continue"/>
                  <w:vAlign w:val="center"/>
                </w:tcPr>
                <w:p w14:paraId="04AD6321">
                  <w:pPr>
                    <w:spacing w:line="0" w:lineRule="atLeast"/>
                    <w:ind w:firstLine="0" w:firstLineChars="0"/>
                    <w:jc w:val="center"/>
                    <w:rPr>
                      <w:color w:val="000000" w:themeColor="text1"/>
                      <w:sz w:val="21"/>
                      <w:szCs w:val="21"/>
                    </w:rPr>
                  </w:pPr>
                </w:p>
              </w:tc>
              <w:tc>
                <w:tcPr>
                  <w:tcW w:w="419" w:type="pct"/>
                  <w:vMerge w:val="continue"/>
                  <w:vAlign w:val="center"/>
                </w:tcPr>
                <w:p w14:paraId="06151D16">
                  <w:pPr>
                    <w:spacing w:line="0" w:lineRule="atLeast"/>
                    <w:ind w:firstLine="0" w:firstLineChars="0"/>
                    <w:jc w:val="center"/>
                    <w:rPr>
                      <w:color w:val="000000" w:themeColor="text1"/>
                      <w:sz w:val="21"/>
                      <w:szCs w:val="21"/>
                    </w:rPr>
                  </w:pPr>
                </w:p>
              </w:tc>
              <w:tc>
                <w:tcPr>
                  <w:tcW w:w="446" w:type="pct"/>
                  <w:vMerge w:val="continue"/>
                  <w:vAlign w:val="center"/>
                </w:tcPr>
                <w:p w14:paraId="2AB32A58">
                  <w:pPr>
                    <w:spacing w:line="0" w:lineRule="atLeast"/>
                    <w:ind w:firstLine="0" w:firstLineChars="0"/>
                    <w:jc w:val="center"/>
                    <w:rPr>
                      <w:color w:val="000000" w:themeColor="text1"/>
                      <w:sz w:val="21"/>
                      <w:szCs w:val="21"/>
                    </w:rPr>
                  </w:pPr>
                </w:p>
              </w:tc>
              <w:tc>
                <w:tcPr>
                  <w:tcW w:w="298" w:type="pct"/>
                  <w:vMerge w:val="continue"/>
                  <w:vAlign w:val="center"/>
                </w:tcPr>
                <w:p w14:paraId="0A9E1E93">
                  <w:pPr>
                    <w:spacing w:line="0" w:lineRule="atLeast"/>
                    <w:ind w:firstLine="0" w:firstLineChars="0"/>
                    <w:jc w:val="center"/>
                    <w:rPr>
                      <w:color w:val="000000" w:themeColor="text1"/>
                      <w:sz w:val="21"/>
                      <w:szCs w:val="21"/>
                    </w:rPr>
                  </w:pPr>
                </w:p>
              </w:tc>
              <w:tc>
                <w:tcPr>
                  <w:tcW w:w="304" w:type="pct"/>
                  <w:vMerge w:val="continue"/>
                  <w:vAlign w:val="center"/>
                </w:tcPr>
                <w:p w14:paraId="75593C5B">
                  <w:pPr>
                    <w:spacing w:line="0" w:lineRule="atLeast"/>
                    <w:ind w:firstLine="0" w:firstLineChars="0"/>
                    <w:jc w:val="center"/>
                    <w:rPr>
                      <w:color w:val="000000" w:themeColor="text1"/>
                      <w:sz w:val="21"/>
                      <w:szCs w:val="21"/>
                    </w:rPr>
                  </w:pPr>
                </w:p>
              </w:tc>
              <w:tc>
                <w:tcPr>
                  <w:tcW w:w="276" w:type="pct"/>
                  <w:vMerge w:val="continue"/>
                  <w:vAlign w:val="center"/>
                </w:tcPr>
                <w:p w14:paraId="58BD5C3B">
                  <w:pPr>
                    <w:spacing w:line="0" w:lineRule="atLeast"/>
                    <w:ind w:firstLine="0" w:firstLineChars="0"/>
                    <w:jc w:val="center"/>
                    <w:rPr>
                      <w:color w:val="000000" w:themeColor="text1"/>
                      <w:sz w:val="21"/>
                      <w:szCs w:val="21"/>
                    </w:rPr>
                  </w:pPr>
                </w:p>
              </w:tc>
              <w:tc>
                <w:tcPr>
                  <w:tcW w:w="308" w:type="pct"/>
                  <w:vMerge w:val="continue"/>
                  <w:vAlign w:val="center"/>
                </w:tcPr>
                <w:p w14:paraId="636F1DEB">
                  <w:pPr>
                    <w:spacing w:line="0" w:lineRule="atLeast"/>
                    <w:ind w:firstLine="0" w:firstLineChars="0"/>
                    <w:jc w:val="center"/>
                    <w:rPr>
                      <w:color w:val="000000" w:themeColor="text1"/>
                      <w:sz w:val="21"/>
                      <w:szCs w:val="21"/>
                    </w:rPr>
                  </w:pPr>
                </w:p>
              </w:tc>
              <w:tc>
                <w:tcPr>
                  <w:tcW w:w="459" w:type="pct"/>
                  <w:vAlign w:val="center"/>
                </w:tcPr>
                <w:p w14:paraId="1C031823">
                  <w:pPr>
                    <w:spacing w:line="0" w:lineRule="atLeast"/>
                    <w:ind w:firstLine="0" w:firstLineChars="0"/>
                    <w:jc w:val="center"/>
                    <w:rPr>
                      <w:color w:val="000000" w:themeColor="text1"/>
                      <w:sz w:val="21"/>
                      <w:szCs w:val="21"/>
                    </w:rPr>
                  </w:pPr>
                  <w:r>
                    <w:rPr>
                      <w:color w:val="000000" w:themeColor="text1"/>
                      <w:sz w:val="21"/>
                      <w:szCs w:val="21"/>
                    </w:rPr>
                    <w:t>BOD</w:t>
                  </w:r>
                  <w:r>
                    <w:rPr>
                      <w:color w:val="000000" w:themeColor="text1"/>
                      <w:sz w:val="21"/>
                      <w:szCs w:val="21"/>
                      <w:vertAlign w:val="subscript"/>
                    </w:rPr>
                    <w:t>5</w:t>
                  </w:r>
                </w:p>
              </w:tc>
              <w:tc>
                <w:tcPr>
                  <w:tcW w:w="1435" w:type="pct"/>
                  <w:vAlign w:val="center"/>
                </w:tcPr>
                <w:p w14:paraId="73A38513">
                  <w:pPr>
                    <w:spacing w:line="0" w:lineRule="atLeast"/>
                    <w:ind w:firstLine="0" w:firstLineChars="0"/>
                    <w:jc w:val="center"/>
                    <w:rPr>
                      <w:color w:val="000000" w:themeColor="text1"/>
                      <w:sz w:val="21"/>
                      <w:szCs w:val="21"/>
                    </w:rPr>
                  </w:pPr>
                  <w:r>
                    <w:rPr>
                      <w:rFonts w:hint="eastAsia"/>
                      <w:color w:val="000000" w:themeColor="text1"/>
                      <w:sz w:val="21"/>
                      <w:szCs w:val="21"/>
                    </w:rPr>
                    <w:t>10</w:t>
                  </w:r>
                </w:p>
              </w:tc>
            </w:tr>
            <w:tr w14:paraId="75DC2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04EAB1C4">
                  <w:pPr>
                    <w:spacing w:line="0" w:lineRule="atLeast"/>
                    <w:ind w:firstLine="420"/>
                    <w:jc w:val="center"/>
                    <w:rPr>
                      <w:color w:val="000000" w:themeColor="text1"/>
                      <w:sz w:val="21"/>
                      <w:szCs w:val="21"/>
                    </w:rPr>
                  </w:pPr>
                </w:p>
              </w:tc>
              <w:tc>
                <w:tcPr>
                  <w:tcW w:w="422" w:type="pct"/>
                  <w:vMerge w:val="continue"/>
                  <w:vAlign w:val="center"/>
                </w:tcPr>
                <w:p w14:paraId="723D95C9">
                  <w:pPr>
                    <w:spacing w:line="0" w:lineRule="atLeast"/>
                    <w:ind w:firstLine="0" w:firstLineChars="0"/>
                    <w:jc w:val="center"/>
                    <w:rPr>
                      <w:color w:val="000000" w:themeColor="text1"/>
                      <w:sz w:val="21"/>
                      <w:szCs w:val="21"/>
                    </w:rPr>
                  </w:pPr>
                </w:p>
              </w:tc>
              <w:tc>
                <w:tcPr>
                  <w:tcW w:w="432" w:type="pct"/>
                  <w:vMerge w:val="continue"/>
                  <w:vAlign w:val="center"/>
                </w:tcPr>
                <w:p w14:paraId="4B285C45">
                  <w:pPr>
                    <w:spacing w:line="0" w:lineRule="atLeast"/>
                    <w:ind w:firstLine="0" w:firstLineChars="0"/>
                    <w:jc w:val="center"/>
                    <w:rPr>
                      <w:color w:val="000000" w:themeColor="text1"/>
                      <w:sz w:val="21"/>
                      <w:szCs w:val="21"/>
                    </w:rPr>
                  </w:pPr>
                </w:p>
              </w:tc>
              <w:tc>
                <w:tcPr>
                  <w:tcW w:w="419" w:type="pct"/>
                  <w:vMerge w:val="continue"/>
                  <w:vAlign w:val="center"/>
                </w:tcPr>
                <w:p w14:paraId="02F1AB0F">
                  <w:pPr>
                    <w:spacing w:line="0" w:lineRule="atLeast"/>
                    <w:ind w:firstLine="0" w:firstLineChars="0"/>
                    <w:jc w:val="center"/>
                    <w:rPr>
                      <w:color w:val="000000" w:themeColor="text1"/>
                      <w:sz w:val="21"/>
                      <w:szCs w:val="21"/>
                    </w:rPr>
                  </w:pPr>
                </w:p>
              </w:tc>
              <w:tc>
                <w:tcPr>
                  <w:tcW w:w="446" w:type="pct"/>
                  <w:vMerge w:val="continue"/>
                  <w:vAlign w:val="center"/>
                </w:tcPr>
                <w:p w14:paraId="23971CA3">
                  <w:pPr>
                    <w:spacing w:line="0" w:lineRule="atLeast"/>
                    <w:ind w:firstLine="0" w:firstLineChars="0"/>
                    <w:jc w:val="center"/>
                    <w:rPr>
                      <w:color w:val="000000" w:themeColor="text1"/>
                      <w:sz w:val="21"/>
                      <w:szCs w:val="21"/>
                    </w:rPr>
                  </w:pPr>
                </w:p>
              </w:tc>
              <w:tc>
                <w:tcPr>
                  <w:tcW w:w="298" w:type="pct"/>
                  <w:vMerge w:val="continue"/>
                  <w:vAlign w:val="center"/>
                </w:tcPr>
                <w:p w14:paraId="60A9EC7F">
                  <w:pPr>
                    <w:spacing w:line="0" w:lineRule="atLeast"/>
                    <w:ind w:firstLine="0" w:firstLineChars="0"/>
                    <w:jc w:val="center"/>
                    <w:rPr>
                      <w:color w:val="000000" w:themeColor="text1"/>
                      <w:sz w:val="21"/>
                      <w:szCs w:val="21"/>
                    </w:rPr>
                  </w:pPr>
                </w:p>
              </w:tc>
              <w:tc>
                <w:tcPr>
                  <w:tcW w:w="304" w:type="pct"/>
                  <w:vMerge w:val="continue"/>
                  <w:vAlign w:val="center"/>
                </w:tcPr>
                <w:p w14:paraId="05959027">
                  <w:pPr>
                    <w:spacing w:line="0" w:lineRule="atLeast"/>
                    <w:ind w:firstLine="0" w:firstLineChars="0"/>
                    <w:jc w:val="center"/>
                    <w:rPr>
                      <w:color w:val="000000" w:themeColor="text1"/>
                      <w:sz w:val="21"/>
                      <w:szCs w:val="21"/>
                    </w:rPr>
                  </w:pPr>
                </w:p>
              </w:tc>
              <w:tc>
                <w:tcPr>
                  <w:tcW w:w="276" w:type="pct"/>
                  <w:vMerge w:val="continue"/>
                  <w:vAlign w:val="center"/>
                </w:tcPr>
                <w:p w14:paraId="50B8879C">
                  <w:pPr>
                    <w:spacing w:line="0" w:lineRule="atLeast"/>
                    <w:ind w:firstLine="0" w:firstLineChars="0"/>
                    <w:jc w:val="center"/>
                    <w:rPr>
                      <w:color w:val="000000" w:themeColor="text1"/>
                      <w:sz w:val="21"/>
                      <w:szCs w:val="21"/>
                    </w:rPr>
                  </w:pPr>
                </w:p>
              </w:tc>
              <w:tc>
                <w:tcPr>
                  <w:tcW w:w="308" w:type="pct"/>
                  <w:vMerge w:val="continue"/>
                  <w:vAlign w:val="center"/>
                </w:tcPr>
                <w:p w14:paraId="07020C83">
                  <w:pPr>
                    <w:spacing w:line="0" w:lineRule="atLeast"/>
                    <w:ind w:firstLine="0" w:firstLineChars="0"/>
                    <w:jc w:val="center"/>
                    <w:rPr>
                      <w:color w:val="000000" w:themeColor="text1"/>
                      <w:sz w:val="21"/>
                      <w:szCs w:val="21"/>
                    </w:rPr>
                  </w:pPr>
                </w:p>
              </w:tc>
              <w:tc>
                <w:tcPr>
                  <w:tcW w:w="459" w:type="pct"/>
                  <w:vAlign w:val="center"/>
                </w:tcPr>
                <w:p w14:paraId="692C4D6F">
                  <w:pPr>
                    <w:spacing w:line="0" w:lineRule="atLeast"/>
                    <w:ind w:firstLine="0" w:firstLineChars="0"/>
                    <w:jc w:val="center"/>
                    <w:rPr>
                      <w:color w:val="000000" w:themeColor="text1"/>
                      <w:sz w:val="21"/>
                      <w:szCs w:val="21"/>
                    </w:rPr>
                  </w:pPr>
                  <w:r>
                    <w:rPr>
                      <w:color w:val="000000" w:themeColor="text1"/>
                      <w:sz w:val="21"/>
                      <w:szCs w:val="21"/>
                    </w:rPr>
                    <w:t>SS</w:t>
                  </w:r>
                </w:p>
              </w:tc>
              <w:tc>
                <w:tcPr>
                  <w:tcW w:w="1435" w:type="pct"/>
                  <w:vAlign w:val="center"/>
                </w:tcPr>
                <w:p w14:paraId="01066C0D">
                  <w:pPr>
                    <w:spacing w:line="0" w:lineRule="atLeast"/>
                    <w:ind w:firstLine="0" w:firstLineChars="0"/>
                    <w:jc w:val="center"/>
                    <w:rPr>
                      <w:color w:val="000000" w:themeColor="text1"/>
                      <w:sz w:val="21"/>
                      <w:szCs w:val="21"/>
                    </w:rPr>
                  </w:pPr>
                  <w:r>
                    <w:rPr>
                      <w:rFonts w:hint="eastAsia"/>
                      <w:color w:val="000000" w:themeColor="text1"/>
                      <w:sz w:val="21"/>
                      <w:szCs w:val="21"/>
                    </w:rPr>
                    <w:t>10</w:t>
                  </w:r>
                </w:p>
              </w:tc>
            </w:tr>
            <w:tr w14:paraId="16C62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02778A0A">
                  <w:pPr>
                    <w:spacing w:line="0" w:lineRule="atLeast"/>
                    <w:ind w:firstLine="420"/>
                    <w:jc w:val="center"/>
                    <w:rPr>
                      <w:color w:val="000000" w:themeColor="text1"/>
                      <w:sz w:val="21"/>
                      <w:szCs w:val="21"/>
                    </w:rPr>
                  </w:pPr>
                </w:p>
              </w:tc>
              <w:tc>
                <w:tcPr>
                  <w:tcW w:w="422" w:type="pct"/>
                  <w:vMerge w:val="continue"/>
                  <w:vAlign w:val="center"/>
                </w:tcPr>
                <w:p w14:paraId="565F7425">
                  <w:pPr>
                    <w:spacing w:line="0" w:lineRule="atLeast"/>
                    <w:ind w:firstLine="0" w:firstLineChars="0"/>
                    <w:jc w:val="center"/>
                    <w:rPr>
                      <w:color w:val="000000" w:themeColor="text1"/>
                      <w:sz w:val="21"/>
                      <w:szCs w:val="21"/>
                    </w:rPr>
                  </w:pPr>
                </w:p>
              </w:tc>
              <w:tc>
                <w:tcPr>
                  <w:tcW w:w="432" w:type="pct"/>
                  <w:vMerge w:val="continue"/>
                  <w:vAlign w:val="center"/>
                </w:tcPr>
                <w:p w14:paraId="2ADCB39E">
                  <w:pPr>
                    <w:spacing w:line="0" w:lineRule="atLeast"/>
                    <w:ind w:firstLine="0" w:firstLineChars="0"/>
                    <w:jc w:val="center"/>
                    <w:rPr>
                      <w:color w:val="000000" w:themeColor="text1"/>
                      <w:sz w:val="21"/>
                      <w:szCs w:val="21"/>
                    </w:rPr>
                  </w:pPr>
                </w:p>
              </w:tc>
              <w:tc>
                <w:tcPr>
                  <w:tcW w:w="419" w:type="pct"/>
                  <w:vMerge w:val="continue"/>
                  <w:vAlign w:val="center"/>
                </w:tcPr>
                <w:p w14:paraId="20F9DBC5">
                  <w:pPr>
                    <w:spacing w:line="0" w:lineRule="atLeast"/>
                    <w:ind w:firstLine="0" w:firstLineChars="0"/>
                    <w:jc w:val="center"/>
                    <w:rPr>
                      <w:color w:val="000000" w:themeColor="text1"/>
                      <w:sz w:val="21"/>
                      <w:szCs w:val="21"/>
                    </w:rPr>
                  </w:pPr>
                </w:p>
              </w:tc>
              <w:tc>
                <w:tcPr>
                  <w:tcW w:w="446" w:type="pct"/>
                  <w:vMerge w:val="continue"/>
                  <w:vAlign w:val="center"/>
                </w:tcPr>
                <w:p w14:paraId="6EDE4B63">
                  <w:pPr>
                    <w:spacing w:line="0" w:lineRule="atLeast"/>
                    <w:ind w:firstLine="0" w:firstLineChars="0"/>
                    <w:jc w:val="center"/>
                    <w:rPr>
                      <w:color w:val="000000" w:themeColor="text1"/>
                      <w:sz w:val="21"/>
                      <w:szCs w:val="21"/>
                    </w:rPr>
                  </w:pPr>
                </w:p>
              </w:tc>
              <w:tc>
                <w:tcPr>
                  <w:tcW w:w="298" w:type="pct"/>
                  <w:vMerge w:val="continue"/>
                  <w:vAlign w:val="center"/>
                </w:tcPr>
                <w:p w14:paraId="12CF7169">
                  <w:pPr>
                    <w:spacing w:line="0" w:lineRule="atLeast"/>
                    <w:ind w:firstLine="0" w:firstLineChars="0"/>
                    <w:jc w:val="center"/>
                    <w:rPr>
                      <w:color w:val="000000" w:themeColor="text1"/>
                      <w:sz w:val="21"/>
                      <w:szCs w:val="21"/>
                    </w:rPr>
                  </w:pPr>
                </w:p>
              </w:tc>
              <w:tc>
                <w:tcPr>
                  <w:tcW w:w="304" w:type="pct"/>
                  <w:vMerge w:val="continue"/>
                  <w:vAlign w:val="center"/>
                </w:tcPr>
                <w:p w14:paraId="0B2EF2C8">
                  <w:pPr>
                    <w:spacing w:line="0" w:lineRule="atLeast"/>
                    <w:ind w:firstLine="0" w:firstLineChars="0"/>
                    <w:jc w:val="center"/>
                    <w:rPr>
                      <w:color w:val="000000" w:themeColor="text1"/>
                      <w:sz w:val="21"/>
                      <w:szCs w:val="21"/>
                    </w:rPr>
                  </w:pPr>
                </w:p>
              </w:tc>
              <w:tc>
                <w:tcPr>
                  <w:tcW w:w="276" w:type="pct"/>
                  <w:vMerge w:val="continue"/>
                  <w:vAlign w:val="center"/>
                </w:tcPr>
                <w:p w14:paraId="258E79FC">
                  <w:pPr>
                    <w:spacing w:line="0" w:lineRule="atLeast"/>
                    <w:ind w:firstLine="0" w:firstLineChars="0"/>
                    <w:jc w:val="center"/>
                    <w:rPr>
                      <w:color w:val="000000" w:themeColor="text1"/>
                      <w:sz w:val="21"/>
                      <w:szCs w:val="21"/>
                    </w:rPr>
                  </w:pPr>
                </w:p>
              </w:tc>
              <w:tc>
                <w:tcPr>
                  <w:tcW w:w="308" w:type="pct"/>
                  <w:vMerge w:val="continue"/>
                  <w:vAlign w:val="center"/>
                </w:tcPr>
                <w:p w14:paraId="4426AC39">
                  <w:pPr>
                    <w:spacing w:line="0" w:lineRule="atLeast"/>
                    <w:ind w:firstLine="0" w:firstLineChars="0"/>
                    <w:jc w:val="center"/>
                    <w:rPr>
                      <w:color w:val="000000" w:themeColor="text1"/>
                      <w:sz w:val="21"/>
                      <w:szCs w:val="21"/>
                    </w:rPr>
                  </w:pPr>
                </w:p>
              </w:tc>
              <w:tc>
                <w:tcPr>
                  <w:tcW w:w="459" w:type="pct"/>
                  <w:vAlign w:val="center"/>
                </w:tcPr>
                <w:p w14:paraId="3D7157A9">
                  <w:pPr>
                    <w:spacing w:line="0" w:lineRule="atLeast"/>
                    <w:ind w:firstLine="0" w:firstLineChars="0"/>
                    <w:jc w:val="center"/>
                    <w:rPr>
                      <w:color w:val="000000" w:themeColor="text1"/>
                      <w:sz w:val="21"/>
                      <w:szCs w:val="21"/>
                    </w:rPr>
                  </w:pPr>
                  <w:r>
                    <w:rPr>
                      <w:rFonts w:hint="eastAsia"/>
                      <w:color w:val="000000" w:themeColor="text1"/>
                      <w:sz w:val="21"/>
                      <w:szCs w:val="21"/>
                    </w:rPr>
                    <w:t>总氮</w:t>
                  </w:r>
                </w:p>
              </w:tc>
              <w:tc>
                <w:tcPr>
                  <w:tcW w:w="1435" w:type="pct"/>
                  <w:vAlign w:val="center"/>
                </w:tcPr>
                <w:p w14:paraId="3F2352C6">
                  <w:pPr>
                    <w:spacing w:line="0" w:lineRule="atLeast"/>
                    <w:ind w:firstLine="0" w:firstLineChars="0"/>
                    <w:jc w:val="center"/>
                    <w:rPr>
                      <w:color w:val="000000" w:themeColor="text1"/>
                      <w:sz w:val="21"/>
                      <w:szCs w:val="21"/>
                    </w:rPr>
                  </w:pPr>
                  <w:r>
                    <w:rPr>
                      <w:rFonts w:hint="eastAsia"/>
                      <w:color w:val="000000" w:themeColor="text1"/>
                      <w:sz w:val="21"/>
                      <w:szCs w:val="21"/>
                    </w:rPr>
                    <w:t>15</w:t>
                  </w:r>
                </w:p>
              </w:tc>
            </w:tr>
            <w:tr w14:paraId="33BA3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23D4438F">
                  <w:pPr>
                    <w:spacing w:line="0" w:lineRule="atLeast"/>
                    <w:ind w:firstLine="420"/>
                    <w:jc w:val="center"/>
                    <w:rPr>
                      <w:color w:val="000000" w:themeColor="text1"/>
                      <w:sz w:val="21"/>
                      <w:szCs w:val="21"/>
                    </w:rPr>
                  </w:pPr>
                </w:p>
              </w:tc>
              <w:tc>
                <w:tcPr>
                  <w:tcW w:w="422" w:type="pct"/>
                  <w:vMerge w:val="continue"/>
                  <w:vAlign w:val="center"/>
                </w:tcPr>
                <w:p w14:paraId="5868EE05">
                  <w:pPr>
                    <w:spacing w:line="0" w:lineRule="atLeast"/>
                    <w:ind w:firstLine="0" w:firstLineChars="0"/>
                    <w:jc w:val="center"/>
                    <w:rPr>
                      <w:color w:val="000000" w:themeColor="text1"/>
                      <w:sz w:val="21"/>
                      <w:szCs w:val="21"/>
                    </w:rPr>
                  </w:pPr>
                </w:p>
              </w:tc>
              <w:tc>
                <w:tcPr>
                  <w:tcW w:w="432" w:type="pct"/>
                  <w:vMerge w:val="continue"/>
                  <w:vAlign w:val="center"/>
                </w:tcPr>
                <w:p w14:paraId="0A769AA2">
                  <w:pPr>
                    <w:spacing w:line="0" w:lineRule="atLeast"/>
                    <w:ind w:firstLine="0" w:firstLineChars="0"/>
                    <w:jc w:val="center"/>
                    <w:rPr>
                      <w:color w:val="000000" w:themeColor="text1"/>
                      <w:sz w:val="21"/>
                      <w:szCs w:val="21"/>
                    </w:rPr>
                  </w:pPr>
                </w:p>
              </w:tc>
              <w:tc>
                <w:tcPr>
                  <w:tcW w:w="419" w:type="pct"/>
                  <w:vMerge w:val="continue"/>
                  <w:vAlign w:val="center"/>
                </w:tcPr>
                <w:p w14:paraId="058BD6DE">
                  <w:pPr>
                    <w:spacing w:line="0" w:lineRule="atLeast"/>
                    <w:ind w:firstLine="0" w:firstLineChars="0"/>
                    <w:jc w:val="center"/>
                    <w:rPr>
                      <w:color w:val="000000" w:themeColor="text1"/>
                      <w:sz w:val="21"/>
                      <w:szCs w:val="21"/>
                    </w:rPr>
                  </w:pPr>
                </w:p>
              </w:tc>
              <w:tc>
                <w:tcPr>
                  <w:tcW w:w="446" w:type="pct"/>
                  <w:vMerge w:val="continue"/>
                  <w:vAlign w:val="center"/>
                </w:tcPr>
                <w:p w14:paraId="18DAB57E">
                  <w:pPr>
                    <w:spacing w:line="0" w:lineRule="atLeast"/>
                    <w:ind w:firstLine="0" w:firstLineChars="0"/>
                    <w:jc w:val="center"/>
                    <w:rPr>
                      <w:color w:val="000000" w:themeColor="text1"/>
                      <w:sz w:val="21"/>
                      <w:szCs w:val="21"/>
                    </w:rPr>
                  </w:pPr>
                </w:p>
              </w:tc>
              <w:tc>
                <w:tcPr>
                  <w:tcW w:w="298" w:type="pct"/>
                  <w:vMerge w:val="continue"/>
                  <w:vAlign w:val="center"/>
                </w:tcPr>
                <w:p w14:paraId="10D00A57">
                  <w:pPr>
                    <w:spacing w:line="0" w:lineRule="atLeast"/>
                    <w:ind w:firstLine="0" w:firstLineChars="0"/>
                    <w:jc w:val="center"/>
                    <w:rPr>
                      <w:color w:val="000000" w:themeColor="text1"/>
                      <w:sz w:val="21"/>
                      <w:szCs w:val="21"/>
                    </w:rPr>
                  </w:pPr>
                </w:p>
              </w:tc>
              <w:tc>
                <w:tcPr>
                  <w:tcW w:w="304" w:type="pct"/>
                  <w:vMerge w:val="continue"/>
                  <w:vAlign w:val="center"/>
                </w:tcPr>
                <w:p w14:paraId="20B81B67">
                  <w:pPr>
                    <w:spacing w:line="0" w:lineRule="atLeast"/>
                    <w:ind w:firstLine="0" w:firstLineChars="0"/>
                    <w:jc w:val="center"/>
                    <w:rPr>
                      <w:color w:val="000000" w:themeColor="text1"/>
                      <w:sz w:val="21"/>
                      <w:szCs w:val="21"/>
                    </w:rPr>
                  </w:pPr>
                </w:p>
              </w:tc>
              <w:tc>
                <w:tcPr>
                  <w:tcW w:w="276" w:type="pct"/>
                  <w:vMerge w:val="continue"/>
                  <w:vAlign w:val="center"/>
                </w:tcPr>
                <w:p w14:paraId="4D9A42B6">
                  <w:pPr>
                    <w:spacing w:line="0" w:lineRule="atLeast"/>
                    <w:ind w:firstLine="0" w:firstLineChars="0"/>
                    <w:jc w:val="center"/>
                    <w:rPr>
                      <w:color w:val="000000" w:themeColor="text1"/>
                      <w:sz w:val="21"/>
                      <w:szCs w:val="21"/>
                    </w:rPr>
                  </w:pPr>
                </w:p>
              </w:tc>
              <w:tc>
                <w:tcPr>
                  <w:tcW w:w="308" w:type="pct"/>
                  <w:vMerge w:val="continue"/>
                  <w:vAlign w:val="center"/>
                </w:tcPr>
                <w:p w14:paraId="33B5D54E">
                  <w:pPr>
                    <w:spacing w:line="0" w:lineRule="atLeast"/>
                    <w:ind w:firstLine="0" w:firstLineChars="0"/>
                    <w:jc w:val="center"/>
                    <w:rPr>
                      <w:color w:val="000000" w:themeColor="text1"/>
                      <w:sz w:val="21"/>
                      <w:szCs w:val="21"/>
                    </w:rPr>
                  </w:pPr>
                </w:p>
              </w:tc>
              <w:tc>
                <w:tcPr>
                  <w:tcW w:w="459" w:type="pct"/>
                  <w:vAlign w:val="center"/>
                </w:tcPr>
                <w:p w14:paraId="32F79003">
                  <w:pPr>
                    <w:spacing w:line="0" w:lineRule="atLeast"/>
                    <w:ind w:firstLine="0" w:firstLineChars="0"/>
                    <w:jc w:val="center"/>
                    <w:rPr>
                      <w:color w:val="000000" w:themeColor="text1"/>
                      <w:sz w:val="21"/>
                      <w:szCs w:val="21"/>
                    </w:rPr>
                  </w:pPr>
                  <w:r>
                    <w:rPr>
                      <w:rFonts w:hint="eastAsia"/>
                      <w:color w:val="000000" w:themeColor="text1"/>
                      <w:sz w:val="21"/>
                      <w:szCs w:val="21"/>
                    </w:rPr>
                    <w:t>总磷</w:t>
                  </w:r>
                </w:p>
              </w:tc>
              <w:tc>
                <w:tcPr>
                  <w:tcW w:w="1435" w:type="pct"/>
                  <w:vAlign w:val="center"/>
                </w:tcPr>
                <w:p w14:paraId="309D5FA9">
                  <w:pPr>
                    <w:spacing w:line="0" w:lineRule="atLeast"/>
                    <w:ind w:firstLine="0" w:firstLineChars="0"/>
                    <w:jc w:val="center"/>
                    <w:rPr>
                      <w:color w:val="000000" w:themeColor="text1"/>
                      <w:sz w:val="21"/>
                      <w:szCs w:val="21"/>
                    </w:rPr>
                  </w:pPr>
                  <w:r>
                    <w:rPr>
                      <w:rFonts w:hint="eastAsia"/>
                      <w:color w:val="000000" w:themeColor="text1"/>
                      <w:sz w:val="21"/>
                      <w:szCs w:val="21"/>
                    </w:rPr>
                    <w:t>0.5</w:t>
                  </w:r>
                </w:p>
              </w:tc>
            </w:tr>
            <w:tr w14:paraId="5D48B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jc w:val="center"/>
              </w:trPr>
              <w:tc>
                <w:tcPr>
                  <w:tcW w:w="196" w:type="pct"/>
                  <w:vMerge w:val="continue"/>
                  <w:vAlign w:val="center"/>
                </w:tcPr>
                <w:p w14:paraId="7436B928">
                  <w:pPr>
                    <w:spacing w:line="0" w:lineRule="atLeast"/>
                    <w:ind w:firstLine="420"/>
                    <w:jc w:val="center"/>
                    <w:rPr>
                      <w:color w:val="000000" w:themeColor="text1"/>
                      <w:sz w:val="21"/>
                      <w:szCs w:val="21"/>
                    </w:rPr>
                  </w:pPr>
                </w:p>
              </w:tc>
              <w:tc>
                <w:tcPr>
                  <w:tcW w:w="422" w:type="pct"/>
                  <w:vMerge w:val="continue"/>
                  <w:vAlign w:val="center"/>
                </w:tcPr>
                <w:p w14:paraId="7A4F7B16">
                  <w:pPr>
                    <w:spacing w:line="0" w:lineRule="atLeast"/>
                    <w:ind w:firstLine="0" w:firstLineChars="0"/>
                    <w:jc w:val="center"/>
                    <w:rPr>
                      <w:color w:val="000000" w:themeColor="text1"/>
                      <w:sz w:val="21"/>
                      <w:szCs w:val="21"/>
                    </w:rPr>
                  </w:pPr>
                </w:p>
              </w:tc>
              <w:tc>
                <w:tcPr>
                  <w:tcW w:w="432" w:type="pct"/>
                  <w:vMerge w:val="continue"/>
                  <w:vAlign w:val="center"/>
                </w:tcPr>
                <w:p w14:paraId="4BF1ADDF">
                  <w:pPr>
                    <w:spacing w:line="0" w:lineRule="atLeast"/>
                    <w:ind w:firstLine="0" w:firstLineChars="0"/>
                    <w:jc w:val="center"/>
                    <w:rPr>
                      <w:color w:val="000000" w:themeColor="text1"/>
                      <w:sz w:val="21"/>
                      <w:szCs w:val="21"/>
                    </w:rPr>
                  </w:pPr>
                </w:p>
              </w:tc>
              <w:tc>
                <w:tcPr>
                  <w:tcW w:w="419" w:type="pct"/>
                  <w:vMerge w:val="continue"/>
                  <w:vAlign w:val="center"/>
                </w:tcPr>
                <w:p w14:paraId="30DDF0BD">
                  <w:pPr>
                    <w:spacing w:line="0" w:lineRule="atLeast"/>
                    <w:ind w:firstLine="0" w:firstLineChars="0"/>
                    <w:jc w:val="center"/>
                    <w:rPr>
                      <w:color w:val="000000" w:themeColor="text1"/>
                      <w:sz w:val="21"/>
                      <w:szCs w:val="21"/>
                    </w:rPr>
                  </w:pPr>
                </w:p>
              </w:tc>
              <w:tc>
                <w:tcPr>
                  <w:tcW w:w="446" w:type="pct"/>
                  <w:vMerge w:val="continue"/>
                  <w:vAlign w:val="center"/>
                </w:tcPr>
                <w:p w14:paraId="6E39F160">
                  <w:pPr>
                    <w:spacing w:line="0" w:lineRule="atLeast"/>
                    <w:ind w:firstLine="0" w:firstLineChars="0"/>
                    <w:jc w:val="center"/>
                    <w:rPr>
                      <w:color w:val="000000" w:themeColor="text1"/>
                      <w:sz w:val="21"/>
                      <w:szCs w:val="21"/>
                    </w:rPr>
                  </w:pPr>
                </w:p>
              </w:tc>
              <w:tc>
                <w:tcPr>
                  <w:tcW w:w="298" w:type="pct"/>
                  <w:vMerge w:val="continue"/>
                  <w:vAlign w:val="center"/>
                </w:tcPr>
                <w:p w14:paraId="65E99424">
                  <w:pPr>
                    <w:spacing w:line="0" w:lineRule="atLeast"/>
                    <w:ind w:firstLine="0" w:firstLineChars="0"/>
                    <w:jc w:val="center"/>
                    <w:rPr>
                      <w:color w:val="000000" w:themeColor="text1"/>
                      <w:sz w:val="21"/>
                      <w:szCs w:val="21"/>
                    </w:rPr>
                  </w:pPr>
                </w:p>
              </w:tc>
              <w:tc>
                <w:tcPr>
                  <w:tcW w:w="304" w:type="pct"/>
                  <w:vMerge w:val="continue"/>
                  <w:vAlign w:val="center"/>
                </w:tcPr>
                <w:p w14:paraId="193A540D">
                  <w:pPr>
                    <w:spacing w:line="0" w:lineRule="atLeast"/>
                    <w:ind w:firstLine="0" w:firstLineChars="0"/>
                    <w:jc w:val="center"/>
                    <w:rPr>
                      <w:color w:val="000000" w:themeColor="text1"/>
                      <w:sz w:val="21"/>
                      <w:szCs w:val="21"/>
                    </w:rPr>
                  </w:pPr>
                </w:p>
              </w:tc>
              <w:tc>
                <w:tcPr>
                  <w:tcW w:w="276" w:type="pct"/>
                  <w:vMerge w:val="continue"/>
                  <w:vAlign w:val="center"/>
                </w:tcPr>
                <w:p w14:paraId="1EF83239">
                  <w:pPr>
                    <w:spacing w:line="0" w:lineRule="atLeast"/>
                    <w:ind w:firstLine="0" w:firstLineChars="0"/>
                    <w:jc w:val="center"/>
                    <w:rPr>
                      <w:color w:val="000000" w:themeColor="text1"/>
                      <w:sz w:val="21"/>
                      <w:szCs w:val="21"/>
                    </w:rPr>
                  </w:pPr>
                </w:p>
              </w:tc>
              <w:tc>
                <w:tcPr>
                  <w:tcW w:w="308" w:type="pct"/>
                  <w:vMerge w:val="continue"/>
                  <w:vAlign w:val="center"/>
                </w:tcPr>
                <w:p w14:paraId="4A5FAB40">
                  <w:pPr>
                    <w:spacing w:line="0" w:lineRule="atLeast"/>
                    <w:ind w:firstLine="0" w:firstLineChars="0"/>
                    <w:jc w:val="center"/>
                    <w:rPr>
                      <w:color w:val="000000" w:themeColor="text1"/>
                      <w:sz w:val="21"/>
                      <w:szCs w:val="21"/>
                    </w:rPr>
                  </w:pPr>
                </w:p>
              </w:tc>
              <w:tc>
                <w:tcPr>
                  <w:tcW w:w="1894" w:type="pct"/>
                  <w:gridSpan w:val="2"/>
                  <w:vAlign w:val="center"/>
                </w:tcPr>
                <w:p w14:paraId="71317F50">
                  <w:pPr>
                    <w:spacing w:line="0" w:lineRule="atLeast"/>
                    <w:ind w:firstLine="0" w:firstLineChars="0"/>
                    <w:jc w:val="center"/>
                    <w:rPr>
                      <w:color w:val="000000" w:themeColor="text1"/>
                      <w:sz w:val="21"/>
                      <w:szCs w:val="21"/>
                    </w:rPr>
                  </w:pPr>
                  <w:r>
                    <w:rPr>
                      <w:color w:val="000000" w:themeColor="text1"/>
                      <w:kern w:val="44"/>
                      <w:sz w:val="21"/>
                      <w:szCs w:val="21"/>
                    </w:rPr>
                    <w:t>注：括号外数值为水温&gt;12℃时的控制指标，括号内数值为水温≤12℃的控制指标。</w:t>
                  </w:r>
                </w:p>
              </w:tc>
            </w:tr>
          </w:tbl>
          <w:p w14:paraId="163E66CF">
            <w:pPr>
              <w:adjustRightInd w:val="0"/>
              <w:snapToGrid w:val="0"/>
              <w:ind w:firstLine="482"/>
              <w:rPr>
                <w:b/>
                <w:bCs/>
                <w:color w:val="000000" w:themeColor="text1"/>
              </w:rPr>
            </w:pPr>
            <w:r>
              <w:rPr>
                <w:rFonts w:hint="eastAsia"/>
                <w:b/>
                <w:bCs/>
                <w:color w:val="000000" w:themeColor="text1"/>
              </w:rPr>
              <w:t>2.4监测计划</w:t>
            </w:r>
          </w:p>
          <w:p w14:paraId="26AA27F8">
            <w:pPr>
              <w:widowControl/>
              <w:ind w:firstLine="480"/>
              <w:jc w:val="left"/>
              <w:rPr>
                <w:color w:val="000000" w:themeColor="text1"/>
              </w:rPr>
            </w:pPr>
            <w:r>
              <w:rPr>
                <w:rFonts w:hint="eastAsia"/>
                <w:color w:val="000000" w:themeColor="text1"/>
              </w:rPr>
              <w:t>根据《排污许可证申请与核发技术规范 工业炉窑》（HJ1121-2020），</w:t>
            </w:r>
            <w:r>
              <w:rPr>
                <w:rFonts w:hint="eastAsia" w:ascii="宋体" w:hAnsi="宋体" w:cs="宋体"/>
                <w:color w:val="000000" w:themeColor="text1"/>
                <w:kern w:val="0"/>
              </w:rPr>
              <w:t>单独排入公共污水处理设施的生活污水可不开展自行监测</w:t>
            </w:r>
            <w:r>
              <w:rPr>
                <w:rFonts w:hint="eastAsia"/>
                <w:color w:val="000000" w:themeColor="text1"/>
              </w:rPr>
              <w:t>。</w:t>
            </w:r>
            <w:r>
              <w:rPr>
                <w:rFonts w:hint="eastAsia"/>
                <w:color w:val="000000" w:themeColor="text1"/>
                <w:kern w:val="1"/>
              </w:rPr>
              <w:t>本项目无生产废水外排，生活污水</w:t>
            </w:r>
            <w:r>
              <w:rPr>
                <w:rFonts w:hint="eastAsia"/>
                <w:color w:val="000000" w:themeColor="text1"/>
              </w:rPr>
              <w:t>排入市政污水管网，最终进入曹妃甸工业区装备制造区污水处理站处理</w:t>
            </w:r>
            <w:r>
              <w:rPr>
                <w:rFonts w:hint="eastAsia"/>
                <w:color w:val="000000" w:themeColor="text1"/>
                <w:kern w:val="1"/>
              </w:rPr>
              <w:t>，无需进行自行监测。</w:t>
            </w:r>
          </w:p>
          <w:p w14:paraId="03991D5F">
            <w:pPr>
              <w:ind w:firstLine="482"/>
              <w:rPr>
                <w:b/>
                <w:bCs/>
                <w:color w:val="000000" w:themeColor="text1"/>
              </w:rPr>
            </w:pPr>
            <w:r>
              <w:rPr>
                <w:b/>
                <w:bCs/>
                <w:color w:val="000000" w:themeColor="text1"/>
              </w:rPr>
              <w:t>2.</w:t>
            </w:r>
            <w:r>
              <w:rPr>
                <w:rFonts w:hint="eastAsia"/>
                <w:b/>
                <w:bCs/>
                <w:color w:val="000000" w:themeColor="text1"/>
              </w:rPr>
              <w:t>5</w:t>
            </w:r>
            <w:r>
              <w:rPr>
                <w:b/>
                <w:bCs/>
                <w:color w:val="000000" w:themeColor="text1"/>
              </w:rPr>
              <w:t>结论</w:t>
            </w:r>
          </w:p>
          <w:p w14:paraId="5A8EF0CF">
            <w:pPr>
              <w:adjustRightInd w:val="0"/>
              <w:snapToGrid w:val="0"/>
              <w:ind w:firstLine="480"/>
              <w:rPr>
                <w:color w:val="000000" w:themeColor="text1"/>
              </w:rPr>
            </w:pPr>
            <w:r>
              <w:rPr>
                <w:color w:val="000000" w:themeColor="text1"/>
              </w:rPr>
              <w:t>本项目</w:t>
            </w:r>
            <w:r>
              <w:rPr>
                <w:rFonts w:hint="eastAsia"/>
                <w:color w:val="000000" w:themeColor="text1"/>
              </w:rPr>
              <w:t>无生产废水外排，生活污水排入市政污水管网，最终进入曹妃甸工业区装备制造区污水处理站处理</w:t>
            </w:r>
            <w:r>
              <w:rPr>
                <w:color w:val="000000" w:themeColor="text1"/>
              </w:rPr>
              <w:t>，</w:t>
            </w:r>
            <w:r>
              <w:rPr>
                <w:rFonts w:hint="eastAsia"/>
                <w:color w:val="000000" w:themeColor="text1"/>
              </w:rPr>
              <w:t>生活污水</w:t>
            </w:r>
            <w:r>
              <w:rPr>
                <w:color w:val="000000" w:themeColor="text1"/>
              </w:rPr>
              <w:t>水质满足</w:t>
            </w:r>
            <w:r>
              <w:rPr>
                <w:rFonts w:hint="eastAsia"/>
                <w:color w:val="000000" w:themeColor="text1"/>
              </w:rPr>
              <w:t>《污水综合排放标准》（GB8978</w:t>
            </w:r>
            <w:r>
              <w:rPr>
                <w:rFonts w:hint="eastAsia" w:ascii="宋体" w:hAnsi="宋体" w:cs="宋体"/>
                <w:color w:val="000000" w:themeColor="text1"/>
              </w:rPr>
              <w:t>-</w:t>
            </w:r>
            <w:r>
              <w:rPr>
                <w:rFonts w:hint="eastAsia"/>
                <w:color w:val="000000" w:themeColor="text1"/>
              </w:rPr>
              <w:t>1996）表4中三级标准及曹妃甸工业区装备制造区污水处理站进水水质要求</w:t>
            </w:r>
            <w:r>
              <w:rPr>
                <w:color w:val="000000" w:themeColor="text1"/>
              </w:rPr>
              <w:t>，且</w:t>
            </w:r>
            <w:r>
              <w:rPr>
                <w:rFonts w:hint="eastAsia"/>
                <w:color w:val="000000" w:themeColor="text1"/>
              </w:rPr>
              <w:t>本项目位于曹妃甸工业区装备制造区污水处理站</w:t>
            </w:r>
            <w:r>
              <w:rPr>
                <w:color w:val="000000" w:themeColor="text1"/>
              </w:rPr>
              <w:t>的收水范围</w:t>
            </w:r>
            <w:r>
              <w:rPr>
                <w:rFonts w:hint="eastAsia"/>
                <w:color w:val="000000" w:themeColor="text1"/>
              </w:rPr>
              <w:t>内</w:t>
            </w:r>
            <w:r>
              <w:rPr>
                <w:color w:val="000000" w:themeColor="text1"/>
              </w:rPr>
              <w:t>，该污水处理</w:t>
            </w:r>
            <w:r>
              <w:rPr>
                <w:rFonts w:hint="eastAsia"/>
                <w:color w:val="000000" w:themeColor="text1"/>
              </w:rPr>
              <w:t>站</w:t>
            </w:r>
            <w:r>
              <w:rPr>
                <w:color w:val="000000" w:themeColor="text1"/>
              </w:rPr>
              <w:t>能够接纳本项目排放的污水。因此，本项目地表水环境影响可以接受</w:t>
            </w:r>
            <w:r>
              <w:rPr>
                <w:rFonts w:hint="eastAsia"/>
                <w:color w:val="000000" w:themeColor="text1"/>
              </w:rPr>
              <w:t>。</w:t>
            </w:r>
          </w:p>
          <w:p w14:paraId="4341EAAD">
            <w:pPr>
              <w:adjustRightInd w:val="0"/>
              <w:snapToGrid w:val="0"/>
              <w:ind w:firstLine="480"/>
              <w:rPr>
                <w:color w:val="000000" w:themeColor="text1"/>
              </w:rPr>
            </w:pPr>
          </w:p>
          <w:p w14:paraId="71EBC7B0">
            <w:pPr>
              <w:adjustRightInd w:val="0"/>
              <w:snapToGrid w:val="0"/>
              <w:ind w:firstLine="480"/>
              <w:rPr>
                <w:color w:val="000000" w:themeColor="text1"/>
              </w:rPr>
            </w:pPr>
          </w:p>
          <w:p w14:paraId="3D26D560">
            <w:pPr>
              <w:adjustRightInd w:val="0"/>
              <w:snapToGrid w:val="0"/>
              <w:ind w:firstLine="480"/>
              <w:rPr>
                <w:color w:val="000000" w:themeColor="text1"/>
              </w:rPr>
            </w:pPr>
          </w:p>
          <w:p w14:paraId="524748B4">
            <w:pPr>
              <w:adjustRightInd w:val="0"/>
              <w:snapToGrid w:val="0"/>
              <w:ind w:firstLine="480"/>
              <w:rPr>
                <w:color w:val="000000" w:themeColor="text1"/>
              </w:rPr>
            </w:pPr>
          </w:p>
          <w:p w14:paraId="32AA803A">
            <w:pPr>
              <w:adjustRightInd w:val="0"/>
              <w:snapToGrid w:val="0"/>
              <w:ind w:firstLine="0" w:firstLineChars="0"/>
              <w:rPr>
                <w:color w:val="000000" w:themeColor="text1"/>
              </w:rPr>
            </w:pPr>
          </w:p>
        </w:tc>
      </w:tr>
    </w:tbl>
    <w:p w14:paraId="256117B5">
      <w:pPr>
        <w:ind w:firstLine="480"/>
        <w:rPr>
          <w:color w:val="000000" w:themeColor="text1"/>
        </w:rPr>
        <w:sectPr>
          <w:pgSz w:w="11906" w:h="16838"/>
          <w:pgMar w:top="1440" w:right="1247" w:bottom="1440" w:left="1417" w:header="851" w:footer="992" w:gutter="0"/>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0"/>
        <w:gridCol w:w="13844"/>
      </w:tblGrid>
      <w:tr w14:paraId="5B87E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0" w:type="dxa"/>
            <w:tcBorders>
              <w:tl2br w:val="nil"/>
              <w:tr2bl w:val="nil"/>
            </w:tcBorders>
          </w:tcPr>
          <w:p w14:paraId="539025A2">
            <w:pPr>
              <w:pStyle w:val="15"/>
              <w:ind w:left="1680" w:right="1680" w:firstLine="480"/>
              <w:rPr>
                <w:color w:val="000000" w:themeColor="text1"/>
              </w:rPr>
            </w:pPr>
          </w:p>
        </w:tc>
        <w:tc>
          <w:tcPr>
            <w:tcW w:w="13844" w:type="dxa"/>
            <w:tcBorders>
              <w:tl2br w:val="nil"/>
              <w:tr2bl w:val="nil"/>
            </w:tcBorders>
          </w:tcPr>
          <w:p w14:paraId="09B03E29">
            <w:pPr>
              <w:adjustRightInd w:val="0"/>
              <w:snapToGrid w:val="0"/>
              <w:ind w:firstLine="482"/>
              <w:rPr>
                <w:b/>
                <w:bCs/>
                <w:color w:val="000000" w:themeColor="text1"/>
              </w:rPr>
            </w:pPr>
            <w:r>
              <w:rPr>
                <w:rFonts w:hint="eastAsia"/>
                <w:b/>
                <w:bCs/>
                <w:color w:val="000000" w:themeColor="text1"/>
              </w:rPr>
              <w:t>3、噪声</w:t>
            </w:r>
          </w:p>
          <w:p w14:paraId="5B79FE85">
            <w:pPr>
              <w:ind w:firstLine="482"/>
              <w:rPr>
                <w:color w:val="000000" w:themeColor="text1"/>
              </w:rPr>
            </w:pPr>
            <w:r>
              <w:rPr>
                <w:rFonts w:hint="eastAsia"/>
                <w:b/>
                <w:bCs/>
                <w:color w:val="000000" w:themeColor="text1"/>
              </w:rPr>
              <w:t>3.1噪声污染源分析</w:t>
            </w:r>
          </w:p>
          <w:p w14:paraId="3F151289">
            <w:pPr>
              <w:spacing w:line="360" w:lineRule="auto"/>
              <w:ind w:firstLine="480"/>
              <w:rPr>
                <w:color w:val="000000" w:themeColor="text1"/>
              </w:rPr>
            </w:pPr>
            <w:r>
              <w:rPr>
                <w:color w:val="000000" w:themeColor="text1"/>
              </w:rPr>
              <w:t>本项目噪声污染源主要为</w:t>
            </w:r>
            <w:r>
              <w:rPr>
                <w:rFonts w:hint="eastAsia"/>
                <w:color w:val="000000" w:themeColor="text1"/>
              </w:rPr>
              <w:t>绞龙、滚筒筛、皮带输送机、烘干机、斗提机、砂石分离器、生物质颗粒机、振筛、打包机、空压机等生产</w:t>
            </w:r>
            <w:r>
              <w:rPr>
                <w:color w:val="000000" w:themeColor="text1"/>
              </w:rPr>
              <w:t>设备</w:t>
            </w:r>
            <w:r>
              <w:rPr>
                <w:rFonts w:hint="eastAsia"/>
                <w:color w:val="000000" w:themeColor="text1"/>
              </w:rPr>
              <w:t>及环保设备风机</w:t>
            </w:r>
            <w:r>
              <w:rPr>
                <w:color w:val="000000" w:themeColor="text1"/>
              </w:rPr>
              <w:t>运行过程产生的噪声，噪声源强</w:t>
            </w:r>
            <w:r>
              <w:rPr>
                <w:rFonts w:hint="eastAsia"/>
                <w:color w:val="000000" w:themeColor="text1"/>
              </w:rPr>
              <w:t>为70-85dB</w:t>
            </w:r>
            <w:r>
              <w:rPr>
                <w:color w:val="000000" w:themeColor="text1"/>
              </w:rPr>
              <w:t>（A）</w:t>
            </w:r>
            <w:r>
              <w:rPr>
                <w:rFonts w:hint="eastAsia"/>
                <w:color w:val="000000" w:themeColor="text1"/>
              </w:rPr>
              <w:t>，主要采取</w:t>
            </w:r>
            <w:r>
              <w:rPr>
                <w:color w:val="000000" w:themeColor="text1"/>
              </w:rPr>
              <w:t>选用低噪声设备、设置基础减振、封闭</w:t>
            </w:r>
            <w:r>
              <w:rPr>
                <w:rFonts w:hint="eastAsia"/>
                <w:color w:val="000000" w:themeColor="text1"/>
              </w:rPr>
              <w:t>厂房（</w:t>
            </w:r>
            <w:r>
              <w:rPr>
                <w:color w:val="000000" w:themeColor="text1"/>
              </w:rPr>
              <w:t>彩钢结构+1m砖混基础墙</w:t>
            </w:r>
            <w:r>
              <w:rPr>
                <w:rFonts w:hint="eastAsia"/>
                <w:color w:val="000000" w:themeColor="text1"/>
              </w:rPr>
              <w:t>）</w:t>
            </w:r>
            <w:r>
              <w:rPr>
                <w:color w:val="000000" w:themeColor="text1"/>
              </w:rPr>
              <w:t>隔</w:t>
            </w:r>
            <w:r>
              <w:rPr>
                <w:snapToGrid w:val="0"/>
                <w:color w:val="000000" w:themeColor="text1"/>
              </w:rPr>
              <w:t>声</w:t>
            </w:r>
            <w:r>
              <w:rPr>
                <w:rFonts w:hint="eastAsia"/>
                <w:snapToGrid w:val="0"/>
                <w:color w:val="000000" w:themeColor="text1"/>
              </w:rPr>
              <w:t>、风机设置隔声罩等降噪措施，厂房东侧、南侧、西侧、北侧均设置门窗，生产时门窗关闭。</w:t>
            </w:r>
          </w:p>
          <w:p w14:paraId="33272804">
            <w:pPr>
              <w:ind w:firstLine="480"/>
              <w:rPr>
                <w:rStyle w:val="53"/>
                <w:color w:val="000000" w:themeColor="text1"/>
              </w:rPr>
            </w:pPr>
            <w:r>
              <w:rPr>
                <w:rFonts w:hint="eastAsia"/>
                <w:snapToGrid w:val="0"/>
                <w:color w:val="000000" w:themeColor="text1"/>
              </w:rPr>
              <w:t>本项目噪声源调查清单见下表。</w:t>
            </w:r>
          </w:p>
          <w:p w14:paraId="128780E7">
            <w:pPr>
              <w:spacing w:line="240" w:lineRule="auto"/>
              <w:ind w:firstLine="0" w:firstLineChars="0"/>
              <w:jc w:val="center"/>
              <w:rPr>
                <w:color w:val="000000" w:themeColor="text1"/>
              </w:rPr>
            </w:pPr>
            <w:r>
              <w:rPr>
                <w:rStyle w:val="53"/>
                <w:color w:val="000000" w:themeColor="text1"/>
              </w:rPr>
              <w:t>表</w:t>
            </w:r>
            <w:r>
              <w:rPr>
                <w:rStyle w:val="53"/>
                <w:rFonts w:hint="eastAsia"/>
                <w:color w:val="000000" w:themeColor="text1"/>
              </w:rPr>
              <w:t>45</w:t>
            </w:r>
            <w:r>
              <w:rPr>
                <w:rStyle w:val="53"/>
                <w:color w:val="000000" w:themeColor="text1"/>
              </w:rPr>
              <w:t xml:space="preserve">  </w:t>
            </w:r>
            <w:r>
              <w:rPr>
                <w:rStyle w:val="53"/>
                <w:rFonts w:hint="eastAsia"/>
                <w:color w:val="000000" w:themeColor="text1"/>
              </w:rPr>
              <w:t>本项目噪声源强调查清单（室内声源）</w:t>
            </w:r>
          </w:p>
          <w:tbl>
            <w:tblPr>
              <w:tblStyle w:val="57"/>
              <w:tblW w:w="1366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3"/>
              <w:gridCol w:w="425"/>
              <w:gridCol w:w="863"/>
              <w:gridCol w:w="1101"/>
              <w:gridCol w:w="752"/>
              <w:gridCol w:w="506"/>
              <w:gridCol w:w="525"/>
              <w:gridCol w:w="355"/>
              <w:gridCol w:w="435"/>
              <w:gridCol w:w="350"/>
              <w:gridCol w:w="415"/>
              <w:gridCol w:w="402"/>
              <w:gridCol w:w="435"/>
              <w:gridCol w:w="424"/>
              <w:gridCol w:w="506"/>
              <w:gridCol w:w="476"/>
              <w:gridCol w:w="445"/>
              <w:gridCol w:w="506"/>
              <w:gridCol w:w="495"/>
              <w:gridCol w:w="372"/>
              <w:gridCol w:w="385"/>
              <w:gridCol w:w="372"/>
              <w:gridCol w:w="396"/>
              <w:gridCol w:w="445"/>
              <w:gridCol w:w="435"/>
              <w:gridCol w:w="415"/>
              <w:gridCol w:w="459"/>
              <w:gridCol w:w="577"/>
            </w:tblGrid>
            <w:tr w14:paraId="3CC8C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vMerge w:val="restart"/>
                  <w:tcBorders>
                    <w:tl2br w:val="nil"/>
                    <w:tr2bl w:val="nil"/>
                  </w:tcBorders>
                  <w:vAlign w:val="center"/>
                </w:tcPr>
                <w:p w14:paraId="181CA8DA">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序号</w:t>
                  </w:r>
                </w:p>
              </w:tc>
              <w:tc>
                <w:tcPr>
                  <w:tcW w:w="156" w:type="pct"/>
                  <w:vMerge w:val="restart"/>
                  <w:tcBorders>
                    <w:tl2br w:val="nil"/>
                    <w:tr2bl w:val="nil"/>
                  </w:tcBorders>
                  <w:vAlign w:val="center"/>
                </w:tcPr>
                <w:p w14:paraId="57F8929B">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建筑物名称</w:t>
                  </w:r>
                </w:p>
              </w:tc>
              <w:tc>
                <w:tcPr>
                  <w:tcW w:w="316" w:type="pct"/>
                  <w:vMerge w:val="restart"/>
                  <w:tcBorders>
                    <w:tl2br w:val="nil"/>
                    <w:tr2bl w:val="nil"/>
                  </w:tcBorders>
                  <w:vAlign w:val="center"/>
                </w:tcPr>
                <w:p w14:paraId="7251B02E">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声源名称</w:t>
                  </w:r>
                </w:p>
              </w:tc>
              <w:tc>
                <w:tcPr>
                  <w:tcW w:w="403" w:type="pct"/>
                  <w:vMerge w:val="restart"/>
                  <w:tcBorders>
                    <w:tl2br w:val="nil"/>
                    <w:tr2bl w:val="nil"/>
                  </w:tcBorders>
                  <w:vAlign w:val="center"/>
                </w:tcPr>
                <w:p w14:paraId="6D4B4A90">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型号</w:t>
                  </w:r>
                </w:p>
              </w:tc>
              <w:tc>
                <w:tcPr>
                  <w:tcW w:w="275" w:type="pct"/>
                  <w:vMerge w:val="restart"/>
                  <w:tcBorders>
                    <w:tl2br w:val="nil"/>
                    <w:tr2bl w:val="nil"/>
                  </w:tcBorders>
                  <w:vAlign w:val="center"/>
                </w:tcPr>
                <w:p w14:paraId="26DE7310">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声源源强（声压级/距声源距离）/</w:t>
                  </w:r>
                  <w:r>
                    <w:rPr>
                      <w:rFonts w:hint="eastAsia" w:eastAsiaTheme="minorEastAsia"/>
                      <w:b/>
                      <w:bCs/>
                      <w:color w:val="000000" w:themeColor="text1"/>
                      <w:sz w:val="18"/>
                      <w:szCs w:val="18"/>
                      <w:lang w:eastAsia="en-US"/>
                    </w:rPr>
                    <w:t>（</w:t>
                  </w:r>
                  <w:r>
                    <w:rPr>
                      <w:rFonts w:eastAsiaTheme="minorEastAsia"/>
                      <w:b/>
                      <w:bCs/>
                      <w:color w:val="000000" w:themeColor="text1"/>
                      <w:sz w:val="18"/>
                      <w:szCs w:val="18"/>
                      <w:lang w:eastAsia="en-US"/>
                    </w:rPr>
                    <w:t>dB(A)/m</w:t>
                  </w:r>
                  <w:r>
                    <w:rPr>
                      <w:rFonts w:hint="eastAsia" w:eastAsiaTheme="minorEastAsia"/>
                      <w:b/>
                      <w:bCs/>
                      <w:color w:val="000000" w:themeColor="text1"/>
                      <w:sz w:val="18"/>
                      <w:szCs w:val="18"/>
                      <w:lang w:eastAsia="en-US"/>
                    </w:rPr>
                    <w:t>）</w:t>
                  </w:r>
                </w:p>
              </w:tc>
              <w:tc>
                <w:tcPr>
                  <w:tcW w:w="185" w:type="pct"/>
                  <w:vMerge w:val="restart"/>
                  <w:tcBorders>
                    <w:tl2br w:val="nil"/>
                    <w:tr2bl w:val="nil"/>
                  </w:tcBorders>
                  <w:vAlign w:val="center"/>
                </w:tcPr>
                <w:p w14:paraId="4F8DDC28">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声源控制措施</w:t>
                  </w:r>
                </w:p>
              </w:tc>
              <w:tc>
                <w:tcPr>
                  <w:tcW w:w="192" w:type="pct"/>
                  <w:vMerge w:val="restart"/>
                  <w:tcBorders>
                    <w:tl2br w:val="nil"/>
                    <w:tr2bl w:val="nil"/>
                  </w:tcBorders>
                  <w:vAlign w:val="center"/>
                </w:tcPr>
                <w:p w14:paraId="61E705D0">
                  <w:pPr>
                    <w:pStyle w:val="35"/>
                    <w:autoSpaceDE/>
                    <w:autoSpaceDN/>
                    <w:ind w:left="0" w:leftChars="0" w:right="0" w:rightChars="0"/>
                    <w:rPr>
                      <w:b/>
                      <w:bCs/>
                      <w:color w:val="000000" w:themeColor="text1"/>
                      <w:sz w:val="18"/>
                      <w:szCs w:val="18"/>
                      <w:lang w:eastAsia="en-US"/>
                    </w:rPr>
                  </w:pPr>
                  <w:r>
                    <w:rPr>
                      <w:b/>
                      <w:bCs/>
                      <w:color w:val="000000" w:themeColor="text1"/>
                      <w:sz w:val="18"/>
                      <w:szCs w:val="18"/>
                      <w:lang w:eastAsia="en-US"/>
                    </w:rPr>
                    <w:t>降噪效果</w:t>
                  </w:r>
                </w:p>
                <w:p w14:paraId="4018E8B4">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b/>
                      <w:bCs/>
                      <w:color w:val="000000" w:themeColor="text1"/>
                      <w:sz w:val="18"/>
                      <w:szCs w:val="18"/>
                      <w:lang w:eastAsia="en-US"/>
                    </w:rPr>
                    <w:t>dB（A）</w:t>
                  </w:r>
                </w:p>
              </w:tc>
              <w:tc>
                <w:tcPr>
                  <w:tcW w:w="417" w:type="pct"/>
                  <w:gridSpan w:val="3"/>
                  <w:tcBorders>
                    <w:tl2br w:val="nil"/>
                    <w:tr2bl w:val="nil"/>
                  </w:tcBorders>
                  <w:vAlign w:val="center"/>
                </w:tcPr>
                <w:p w14:paraId="49893CCE">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空间相对位置/m</w:t>
                  </w:r>
                </w:p>
              </w:tc>
              <w:tc>
                <w:tcPr>
                  <w:tcW w:w="613" w:type="pct"/>
                  <w:gridSpan w:val="4"/>
                  <w:tcBorders>
                    <w:tl2br w:val="nil"/>
                    <w:tr2bl w:val="nil"/>
                  </w:tcBorders>
                  <w:vAlign w:val="center"/>
                </w:tcPr>
                <w:p w14:paraId="40602FA2">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距室内边界距离/m</w:t>
                  </w:r>
                </w:p>
              </w:tc>
              <w:tc>
                <w:tcPr>
                  <w:tcW w:w="707" w:type="pct"/>
                  <w:gridSpan w:val="4"/>
                  <w:tcBorders>
                    <w:tl2br w:val="nil"/>
                    <w:tr2bl w:val="nil"/>
                  </w:tcBorders>
                  <w:vAlign w:val="center"/>
                </w:tcPr>
                <w:p w14:paraId="4317B2E6">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pacing w:val="-5"/>
                      <w:sz w:val="18"/>
                      <w:szCs w:val="18"/>
                      <w:lang w:eastAsia="en-US"/>
                    </w:rPr>
                    <w:t>室内边界</w:t>
                  </w:r>
                  <w:r>
                    <w:rPr>
                      <w:rFonts w:eastAsiaTheme="minorEastAsia"/>
                      <w:b/>
                      <w:bCs/>
                      <w:color w:val="000000" w:themeColor="text1"/>
                      <w:sz w:val="18"/>
                      <w:szCs w:val="18"/>
                      <w:lang w:eastAsia="en-US"/>
                    </w:rPr>
                    <w:t>声级/dB(A)</w:t>
                  </w:r>
                </w:p>
              </w:tc>
              <w:tc>
                <w:tcPr>
                  <w:tcW w:w="181" w:type="pct"/>
                  <w:vMerge w:val="restart"/>
                  <w:tcBorders>
                    <w:tl2br w:val="nil"/>
                    <w:tr2bl w:val="nil"/>
                  </w:tcBorders>
                  <w:vAlign w:val="center"/>
                </w:tcPr>
                <w:p w14:paraId="1C6E2143">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运行时段</w:t>
                  </w:r>
                </w:p>
              </w:tc>
              <w:tc>
                <w:tcPr>
                  <w:tcW w:w="558" w:type="pct"/>
                  <w:gridSpan w:val="4"/>
                  <w:tcBorders>
                    <w:tl2br w:val="nil"/>
                    <w:tr2bl w:val="nil"/>
                  </w:tcBorders>
                  <w:vAlign w:val="center"/>
                </w:tcPr>
                <w:p w14:paraId="71F38522">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建筑物插入损失/ dB(A)</w:t>
                  </w:r>
                </w:p>
              </w:tc>
              <w:tc>
                <w:tcPr>
                  <w:tcW w:w="845" w:type="pct"/>
                  <w:gridSpan w:val="5"/>
                  <w:tcBorders>
                    <w:tl2br w:val="nil"/>
                    <w:tr2bl w:val="nil"/>
                  </w:tcBorders>
                  <w:vAlign w:val="center"/>
                </w:tcPr>
                <w:p w14:paraId="11917F10">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建筑物外噪声</w:t>
                  </w:r>
                </w:p>
              </w:tc>
            </w:tr>
            <w:tr w14:paraId="24117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vMerge w:val="continue"/>
                  <w:tcBorders>
                    <w:tl2br w:val="nil"/>
                    <w:tr2bl w:val="nil"/>
                  </w:tcBorders>
                  <w:vAlign w:val="center"/>
                </w:tcPr>
                <w:p w14:paraId="6AF96C69">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56" w:type="pct"/>
                  <w:vMerge w:val="continue"/>
                  <w:tcBorders>
                    <w:tl2br w:val="nil"/>
                    <w:tr2bl w:val="nil"/>
                  </w:tcBorders>
                  <w:vAlign w:val="center"/>
                </w:tcPr>
                <w:p w14:paraId="2C5AAAD6">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316" w:type="pct"/>
                  <w:vMerge w:val="continue"/>
                  <w:tcBorders>
                    <w:tl2br w:val="nil"/>
                    <w:tr2bl w:val="nil"/>
                  </w:tcBorders>
                  <w:vAlign w:val="center"/>
                </w:tcPr>
                <w:p w14:paraId="6A9E25BF">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403" w:type="pct"/>
                  <w:vMerge w:val="continue"/>
                  <w:tcBorders>
                    <w:tl2br w:val="nil"/>
                    <w:tr2bl w:val="nil"/>
                  </w:tcBorders>
                  <w:vAlign w:val="center"/>
                </w:tcPr>
                <w:p w14:paraId="3714736E">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275" w:type="pct"/>
                  <w:vMerge w:val="continue"/>
                  <w:tcBorders>
                    <w:tl2br w:val="nil"/>
                    <w:tr2bl w:val="nil"/>
                  </w:tcBorders>
                  <w:vAlign w:val="center"/>
                </w:tcPr>
                <w:p w14:paraId="295EABF1">
                  <w:pPr>
                    <w:pStyle w:val="43"/>
                    <w:adjustRightInd/>
                    <w:snapToGrid w:val="0"/>
                    <w:spacing w:line="240" w:lineRule="auto"/>
                    <w:ind w:firstLine="0" w:firstLineChars="0"/>
                    <w:jc w:val="center"/>
                    <w:rPr>
                      <w:rFonts w:eastAsiaTheme="minorEastAsia"/>
                      <w:b/>
                      <w:bCs/>
                      <w:color w:val="000000" w:themeColor="text1"/>
                      <w:sz w:val="18"/>
                      <w:szCs w:val="18"/>
                      <w:lang w:eastAsia="en-US"/>
                    </w:rPr>
                  </w:pPr>
                </w:p>
              </w:tc>
              <w:tc>
                <w:tcPr>
                  <w:tcW w:w="185" w:type="pct"/>
                  <w:vMerge w:val="continue"/>
                  <w:tcBorders>
                    <w:tl2br w:val="nil"/>
                    <w:tr2bl w:val="nil"/>
                  </w:tcBorders>
                  <w:vAlign w:val="center"/>
                </w:tcPr>
                <w:p w14:paraId="4E8EB78B">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92" w:type="pct"/>
                  <w:vMerge w:val="continue"/>
                  <w:tcBorders>
                    <w:tl2br w:val="nil"/>
                    <w:tr2bl w:val="nil"/>
                  </w:tcBorders>
                  <w:vAlign w:val="center"/>
                </w:tcPr>
                <w:p w14:paraId="5E6472B7">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30" w:type="pct"/>
                  <w:vMerge w:val="restart"/>
                  <w:tcBorders>
                    <w:tl2br w:val="nil"/>
                    <w:tr2bl w:val="nil"/>
                  </w:tcBorders>
                  <w:vAlign w:val="center"/>
                </w:tcPr>
                <w:p w14:paraId="44D720A1">
                  <w:pPr>
                    <w:pStyle w:val="43"/>
                    <w:adjustRightInd/>
                    <w:snapToGrid w:val="0"/>
                    <w:spacing w:line="240" w:lineRule="auto"/>
                    <w:ind w:firstLine="0" w:firstLineChars="0"/>
                    <w:jc w:val="center"/>
                    <w:rPr>
                      <w:rFonts w:eastAsiaTheme="minorEastAsia"/>
                      <w:b/>
                      <w:bCs/>
                      <w:iCs/>
                      <w:color w:val="000000" w:themeColor="text1"/>
                      <w:sz w:val="18"/>
                      <w:szCs w:val="18"/>
                      <w:lang w:eastAsia="en-US"/>
                    </w:rPr>
                  </w:pPr>
                  <w:r>
                    <w:rPr>
                      <w:rFonts w:eastAsiaTheme="minorEastAsia"/>
                      <w:b/>
                      <w:bCs/>
                      <w:iCs/>
                      <w:color w:val="000000" w:themeColor="text1"/>
                      <w:sz w:val="18"/>
                      <w:szCs w:val="18"/>
                      <w:lang w:eastAsia="en-US"/>
                    </w:rPr>
                    <w:t>X</w:t>
                  </w:r>
                </w:p>
              </w:tc>
              <w:tc>
                <w:tcPr>
                  <w:tcW w:w="159" w:type="pct"/>
                  <w:vMerge w:val="restart"/>
                  <w:tcBorders>
                    <w:tl2br w:val="nil"/>
                    <w:tr2bl w:val="nil"/>
                  </w:tcBorders>
                  <w:vAlign w:val="center"/>
                </w:tcPr>
                <w:p w14:paraId="79266A61">
                  <w:pPr>
                    <w:pStyle w:val="43"/>
                    <w:adjustRightInd/>
                    <w:snapToGrid w:val="0"/>
                    <w:spacing w:line="240" w:lineRule="auto"/>
                    <w:ind w:firstLine="0" w:firstLineChars="0"/>
                    <w:jc w:val="center"/>
                    <w:rPr>
                      <w:rFonts w:eastAsiaTheme="minorEastAsia"/>
                      <w:b/>
                      <w:bCs/>
                      <w:iCs/>
                      <w:color w:val="000000" w:themeColor="text1"/>
                      <w:sz w:val="18"/>
                      <w:szCs w:val="18"/>
                      <w:lang w:eastAsia="en-US"/>
                    </w:rPr>
                  </w:pPr>
                  <w:r>
                    <w:rPr>
                      <w:rFonts w:eastAsiaTheme="minorEastAsia"/>
                      <w:b/>
                      <w:bCs/>
                      <w:iCs/>
                      <w:color w:val="000000" w:themeColor="text1"/>
                      <w:sz w:val="18"/>
                      <w:szCs w:val="18"/>
                      <w:lang w:eastAsia="en-US"/>
                    </w:rPr>
                    <w:t>Y</w:t>
                  </w:r>
                </w:p>
              </w:tc>
              <w:tc>
                <w:tcPr>
                  <w:tcW w:w="126" w:type="pct"/>
                  <w:vMerge w:val="restart"/>
                  <w:tcBorders>
                    <w:tl2br w:val="nil"/>
                    <w:tr2bl w:val="nil"/>
                  </w:tcBorders>
                  <w:vAlign w:val="center"/>
                </w:tcPr>
                <w:p w14:paraId="379FB7CF">
                  <w:pPr>
                    <w:pStyle w:val="43"/>
                    <w:adjustRightInd/>
                    <w:snapToGrid w:val="0"/>
                    <w:spacing w:line="240" w:lineRule="auto"/>
                    <w:ind w:firstLine="0" w:firstLineChars="0"/>
                    <w:jc w:val="center"/>
                    <w:rPr>
                      <w:rFonts w:eastAsiaTheme="minorEastAsia"/>
                      <w:b/>
                      <w:bCs/>
                      <w:iCs/>
                      <w:color w:val="000000" w:themeColor="text1"/>
                      <w:sz w:val="18"/>
                      <w:szCs w:val="18"/>
                      <w:lang w:eastAsia="en-US"/>
                    </w:rPr>
                  </w:pPr>
                  <w:r>
                    <w:rPr>
                      <w:rFonts w:eastAsiaTheme="minorEastAsia"/>
                      <w:b/>
                      <w:bCs/>
                      <w:iCs/>
                      <w:color w:val="000000" w:themeColor="text1"/>
                      <w:sz w:val="18"/>
                      <w:szCs w:val="18"/>
                      <w:lang w:eastAsia="en-US"/>
                    </w:rPr>
                    <w:t>Z</w:t>
                  </w:r>
                </w:p>
              </w:tc>
              <w:tc>
                <w:tcPr>
                  <w:tcW w:w="152" w:type="pct"/>
                  <w:vMerge w:val="restart"/>
                  <w:tcBorders>
                    <w:tl2br w:val="nil"/>
                    <w:tr2bl w:val="nil"/>
                  </w:tcBorders>
                  <w:vAlign w:val="center"/>
                </w:tcPr>
                <w:p w14:paraId="4B165059">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47" w:type="pct"/>
                  <w:vMerge w:val="restart"/>
                  <w:tcBorders>
                    <w:tl2br w:val="nil"/>
                    <w:tr2bl w:val="nil"/>
                  </w:tcBorders>
                  <w:vAlign w:val="center"/>
                </w:tcPr>
                <w:p w14:paraId="573BEB53">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59" w:type="pct"/>
                  <w:vMerge w:val="restart"/>
                  <w:tcBorders>
                    <w:tl2br w:val="nil"/>
                    <w:tr2bl w:val="nil"/>
                  </w:tcBorders>
                  <w:vAlign w:val="center"/>
                </w:tcPr>
                <w:p w14:paraId="3B61764A">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54" w:type="pct"/>
                  <w:vMerge w:val="restart"/>
                  <w:tcBorders>
                    <w:tl2br w:val="nil"/>
                    <w:tr2bl w:val="nil"/>
                  </w:tcBorders>
                  <w:vAlign w:val="center"/>
                </w:tcPr>
                <w:p w14:paraId="2854AFEB">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185" w:type="pct"/>
                  <w:vMerge w:val="restart"/>
                  <w:tcBorders>
                    <w:tl2br w:val="nil"/>
                    <w:tr2bl w:val="nil"/>
                  </w:tcBorders>
                  <w:vAlign w:val="center"/>
                </w:tcPr>
                <w:p w14:paraId="3E447BC3">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74" w:type="pct"/>
                  <w:vMerge w:val="restart"/>
                  <w:tcBorders>
                    <w:tl2br w:val="nil"/>
                    <w:tr2bl w:val="nil"/>
                  </w:tcBorders>
                  <w:vAlign w:val="center"/>
                </w:tcPr>
                <w:p w14:paraId="187DD834">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63" w:type="pct"/>
                  <w:vMerge w:val="restart"/>
                  <w:tcBorders>
                    <w:tl2br w:val="nil"/>
                    <w:tr2bl w:val="nil"/>
                  </w:tcBorders>
                  <w:vAlign w:val="center"/>
                </w:tcPr>
                <w:p w14:paraId="54451669">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82" w:type="pct"/>
                  <w:vMerge w:val="restart"/>
                  <w:tcBorders>
                    <w:tl2br w:val="nil"/>
                    <w:tr2bl w:val="nil"/>
                  </w:tcBorders>
                  <w:vAlign w:val="center"/>
                </w:tcPr>
                <w:p w14:paraId="1965A677">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181" w:type="pct"/>
                  <w:vMerge w:val="continue"/>
                  <w:tcBorders>
                    <w:tl2br w:val="nil"/>
                    <w:tr2bl w:val="nil"/>
                  </w:tcBorders>
                  <w:vAlign w:val="center"/>
                </w:tcPr>
                <w:p w14:paraId="4F0B98AB">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p>
              </w:tc>
              <w:tc>
                <w:tcPr>
                  <w:tcW w:w="136" w:type="pct"/>
                  <w:vMerge w:val="restart"/>
                  <w:tcBorders>
                    <w:tl2br w:val="nil"/>
                    <w:tr2bl w:val="nil"/>
                  </w:tcBorders>
                  <w:vAlign w:val="center"/>
                </w:tcPr>
                <w:p w14:paraId="16AEA501">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41" w:type="pct"/>
                  <w:vMerge w:val="restart"/>
                  <w:tcBorders>
                    <w:tl2br w:val="nil"/>
                    <w:tr2bl w:val="nil"/>
                  </w:tcBorders>
                  <w:vAlign w:val="center"/>
                </w:tcPr>
                <w:p w14:paraId="4B930509">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36" w:type="pct"/>
                  <w:vMerge w:val="restart"/>
                  <w:tcBorders>
                    <w:tl2br w:val="nil"/>
                    <w:tr2bl w:val="nil"/>
                  </w:tcBorders>
                  <w:vAlign w:val="center"/>
                </w:tcPr>
                <w:p w14:paraId="43CCBA2D">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43" w:type="pct"/>
                  <w:vMerge w:val="restart"/>
                  <w:tcBorders>
                    <w:tl2br w:val="nil"/>
                    <w:tr2bl w:val="nil"/>
                  </w:tcBorders>
                  <w:vAlign w:val="center"/>
                </w:tcPr>
                <w:p w14:paraId="20452438">
                  <w:pPr>
                    <w:autoSpaceDE w:val="0"/>
                    <w:autoSpaceDN w:val="0"/>
                    <w:snapToGrid w:val="0"/>
                    <w:spacing w:line="240" w:lineRule="auto"/>
                    <w:ind w:firstLine="0" w:firstLineChars="0"/>
                    <w:jc w:val="center"/>
                    <w:rPr>
                      <w:rFonts w:eastAsiaTheme="minorEastAsia"/>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642" w:type="pct"/>
                  <w:gridSpan w:val="4"/>
                  <w:tcBorders>
                    <w:tl2br w:val="nil"/>
                    <w:tr2bl w:val="nil"/>
                  </w:tcBorders>
                  <w:vAlign w:val="center"/>
                </w:tcPr>
                <w:p w14:paraId="0DDE927F">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声压级/dB(A)</w:t>
                  </w:r>
                </w:p>
              </w:tc>
              <w:tc>
                <w:tcPr>
                  <w:tcW w:w="203" w:type="pct"/>
                  <w:vMerge w:val="restart"/>
                  <w:tcBorders>
                    <w:tl2br w:val="nil"/>
                    <w:tr2bl w:val="nil"/>
                  </w:tcBorders>
                  <w:vAlign w:val="center"/>
                </w:tcPr>
                <w:p w14:paraId="3DBA4837">
                  <w:pPr>
                    <w:pStyle w:val="43"/>
                    <w:adjustRightInd/>
                    <w:snapToGrid w:val="0"/>
                    <w:spacing w:line="240" w:lineRule="auto"/>
                    <w:ind w:firstLine="0" w:firstLineChars="0"/>
                    <w:jc w:val="center"/>
                    <w:rPr>
                      <w:rFonts w:eastAsiaTheme="minorEastAsia"/>
                      <w:b/>
                      <w:bCs/>
                      <w:color w:val="000000" w:themeColor="text1"/>
                      <w:sz w:val="18"/>
                      <w:szCs w:val="18"/>
                      <w:lang w:eastAsia="en-US"/>
                    </w:rPr>
                  </w:pPr>
                  <w:r>
                    <w:rPr>
                      <w:rFonts w:eastAsiaTheme="minorEastAsia"/>
                      <w:b/>
                      <w:bCs/>
                      <w:color w:val="000000" w:themeColor="text1"/>
                      <w:sz w:val="18"/>
                      <w:szCs w:val="18"/>
                      <w:lang w:eastAsia="en-US"/>
                    </w:rPr>
                    <w:t>建筑物外距离/m</w:t>
                  </w:r>
                </w:p>
              </w:tc>
            </w:tr>
            <w:tr w14:paraId="7E2CF7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vMerge w:val="continue"/>
                  <w:tcBorders>
                    <w:tl2br w:val="nil"/>
                    <w:tr2bl w:val="nil"/>
                  </w:tcBorders>
                  <w:vAlign w:val="center"/>
                </w:tcPr>
                <w:p w14:paraId="5EB1DB35">
                  <w:pPr>
                    <w:pStyle w:val="43"/>
                    <w:adjustRightInd/>
                    <w:snapToGrid w:val="0"/>
                    <w:spacing w:line="240" w:lineRule="auto"/>
                    <w:ind w:firstLine="0" w:firstLineChars="0"/>
                    <w:jc w:val="center"/>
                    <w:rPr>
                      <w:color w:val="000000" w:themeColor="text1"/>
                      <w:sz w:val="18"/>
                      <w:szCs w:val="18"/>
                      <w:lang w:eastAsia="en-US"/>
                    </w:rPr>
                  </w:pPr>
                </w:p>
              </w:tc>
              <w:tc>
                <w:tcPr>
                  <w:tcW w:w="156" w:type="pct"/>
                  <w:vMerge w:val="continue"/>
                  <w:tcBorders>
                    <w:tl2br w:val="nil"/>
                    <w:tr2bl w:val="nil"/>
                  </w:tcBorders>
                  <w:vAlign w:val="center"/>
                </w:tcPr>
                <w:p w14:paraId="1191E25D">
                  <w:pPr>
                    <w:pStyle w:val="43"/>
                    <w:adjustRightInd/>
                    <w:snapToGrid w:val="0"/>
                    <w:spacing w:line="240" w:lineRule="auto"/>
                    <w:ind w:firstLine="0" w:firstLineChars="0"/>
                    <w:jc w:val="center"/>
                    <w:rPr>
                      <w:color w:val="000000" w:themeColor="text1"/>
                      <w:sz w:val="18"/>
                      <w:szCs w:val="18"/>
                      <w:lang w:eastAsia="en-US"/>
                    </w:rPr>
                  </w:pPr>
                </w:p>
              </w:tc>
              <w:tc>
                <w:tcPr>
                  <w:tcW w:w="316" w:type="pct"/>
                  <w:vMerge w:val="continue"/>
                  <w:tcBorders>
                    <w:tl2br w:val="nil"/>
                    <w:tr2bl w:val="nil"/>
                  </w:tcBorders>
                  <w:vAlign w:val="center"/>
                </w:tcPr>
                <w:p w14:paraId="3F895195">
                  <w:pPr>
                    <w:pStyle w:val="43"/>
                    <w:adjustRightInd/>
                    <w:snapToGrid w:val="0"/>
                    <w:spacing w:line="240" w:lineRule="auto"/>
                    <w:ind w:firstLine="0" w:firstLineChars="0"/>
                    <w:jc w:val="center"/>
                    <w:rPr>
                      <w:color w:val="000000" w:themeColor="text1"/>
                      <w:sz w:val="18"/>
                      <w:szCs w:val="18"/>
                      <w:lang w:eastAsia="en-US"/>
                    </w:rPr>
                  </w:pPr>
                </w:p>
              </w:tc>
              <w:tc>
                <w:tcPr>
                  <w:tcW w:w="403" w:type="pct"/>
                  <w:vMerge w:val="continue"/>
                  <w:tcBorders>
                    <w:tl2br w:val="nil"/>
                    <w:tr2bl w:val="nil"/>
                  </w:tcBorders>
                  <w:vAlign w:val="center"/>
                </w:tcPr>
                <w:p w14:paraId="60D5D82B">
                  <w:pPr>
                    <w:pStyle w:val="43"/>
                    <w:adjustRightInd/>
                    <w:snapToGrid w:val="0"/>
                    <w:spacing w:line="240" w:lineRule="auto"/>
                    <w:ind w:firstLine="0" w:firstLineChars="0"/>
                    <w:jc w:val="center"/>
                    <w:rPr>
                      <w:color w:val="000000" w:themeColor="text1"/>
                      <w:sz w:val="18"/>
                      <w:szCs w:val="18"/>
                      <w:lang w:eastAsia="en-US"/>
                    </w:rPr>
                  </w:pPr>
                </w:p>
              </w:tc>
              <w:tc>
                <w:tcPr>
                  <w:tcW w:w="275" w:type="pct"/>
                  <w:vMerge w:val="continue"/>
                  <w:tcBorders>
                    <w:tl2br w:val="nil"/>
                    <w:tr2bl w:val="nil"/>
                  </w:tcBorders>
                  <w:vAlign w:val="center"/>
                </w:tcPr>
                <w:p w14:paraId="4E4E9386">
                  <w:pPr>
                    <w:pStyle w:val="43"/>
                    <w:adjustRightInd/>
                    <w:snapToGrid w:val="0"/>
                    <w:spacing w:line="240" w:lineRule="auto"/>
                    <w:ind w:firstLine="0" w:firstLineChars="0"/>
                    <w:jc w:val="center"/>
                    <w:rPr>
                      <w:color w:val="000000" w:themeColor="text1"/>
                      <w:sz w:val="18"/>
                      <w:szCs w:val="18"/>
                      <w:lang w:eastAsia="en-US"/>
                    </w:rPr>
                  </w:pPr>
                </w:p>
              </w:tc>
              <w:tc>
                <w:tcPr>
                  <w:tcW w:w="185" w:type="pct"/>
                  <w:vMerge w:val="continue"/>
                  <w:tcBorders>
                    <w:tl2br w:val="nil"/>
                    <w:tr2bl w:val="nil"/>
                  </w:tcBorders>
                  <w:vAlign w:val="center"/>
                </w:tcPr>
                <w:p w14:paraId="6ED6F227">
                  <w:pPr>
                    <w:pStyle w:val="43"/>
                    <w:adjustRightInd/>
                    <w:snapToGrid w:val="0"/>
                    <w:spacing w:line="240" w:lineRule="auto"/>
                    <w:ind w:firstLine="0" w:firstLineChars="0"/>
                    <w:jc w:val="center"/>
                    <w:rPr>
                      <w:color w:val="000000" w:themeColor="text1"/>
                      <w:sz w:val="18"/>
                      <w:szCs w:val="18"/>
                      <w:lang w:eastAsia="en-US"/>
                    </w:rPr>
                  </w:pPr>
                </w:p>
              </w:tc>
              <w:tc>
                <w:tcPr>
                  <w:tcW w:w="192" w:type="pct"/>
                  <w:vMerge w:val="continue"/>
                  <w:tcBorders>
                    <w:tl2br w:val="nil"/>
                    <w:tr2bl w:val="nil"/>
                  </w:tcBorders>
                  <w:vAlign w:val="center"/>
                </w:tcPr>
                <w:p w14:paraId="6E35D744">
                  <w:pPr>
                    <w:pStyle w:val="43"/>
                    <w:adjustRightInd/>
                    <w:snapToGrid w:val="0"/>
                    <w:spacing w:line="240" w:lineRule="auto"/>
                    <w:ind w:firstLine="0" w:firstLineChars="0"/>
                    <w:jc w:val="center"/>
                    <w:rPr>
                      <w:color w:val="000000" w:themeColor="text1"/>
                      <w:sz w:val="18"/>
                      <w:szCs w:val="18"/>
                      <w:lang w:eastAsia="en-US"/>
                    </w:rPr>
                  </w:pPr>
                </w:p>
              </w:tc>
              <w:tc>
                <w:tcPr>
                  <w:tcW w:w="130" w:type="pct"/>
                  <w:vMerge w:val="continue"/>
                  <w:tcBorders>
                    <w:tl2br w:val="nil"/>
                    <w:tr2bl w:val="nil"/>
                  </w:tcBorders>
                  <w:vAlign w:val="center"/>
                </w:tcPr>
                <w:p w14:paraId="3E9F950A">
                  <w:pPr>
                    <w:pStyle w:val="43"/>
                    <w:adjustRightInd/>
                    <w:snapToGrid w:val="0"/>
                    <w:spacing w:line="240" w:lineRule="auto"/>
                    <w:ind w:firstLine="0" w:firstLineChars="0"/>
                    <w:jc w:val="center"/>
                    <w:rPr>
                      <w:color w:val="000000" w:themeColor="text1"/>
                      <w:sz w:val="18"/>
                      <w:szCs w:val="18"/>
                      <w:lang w:eastAsia="en-US"/>
                    </w:rPr>
                  </w:pPr>
                </w:p>
              </w:tc>
              <w:tc>
                <w:tcPr>
                  <w:tcW w:w="159" w:type="pct"/>
                  <w:vMerge w:val="continue"/>
                  <w:tcBorders>
                    <w:tl2br w:val="nil"/>
                    <w:tr2bl w:val="nil"/>
                  </w:tcBorders>
                  <w:vAlign w:val="center"/>
                </w:tcPr>
                <w:p w14:paraId="0998F467">
                  <w:pPr>
                    <w:pStyle w:val="43"/>
                    <w:adjustRightInd/>
                    <w:snapToGrid w:val="0"/>
                    <w:spacing w:line="240" w:lineRule="auto"/>
                    <w:ind w:firstLine="0" w:firstLineChars="0"/>
                    <w:jc w:val="center"/>
                    <w:rPr>
                      <w:color w:val="000000" w:themeColor="text1"/>
                      <w:sz w:val="18"/>
                      <w:szCs w:val="18"/>
                      <w:lang w:eastAsia="en-US"/>
                    </w:rPr>
                  </w:pPr>
                </w:p>
              </w:tc>
              <w:tc>
                <w:tcPr>
                  <w:tcW w:w="126" w:type="pct"/>
                  <w:vMerge w:val="continue"/>
                  <w:tcBorders>
                    <w:tl2br w:val="nil"/>
                    <w:tr2bl w:val="nil"/>
                  </w:tcBorders>
                  <w:vAlign w:val="center"/>
                </w:tcPr>
                <w:p w14:paraId="565241D3">
                  <w:pPr>
                    <w:pStyle w:val="43"/>
                    <w:adjustRightInd/>
                    <w:snapToGrid w:val="0"/>
                    <w:spacing w:line="240" w:lineRule="auto"/>
                    <w:ind w:firstLine="0" w:firstLineChars="0"/>
                    <w:jc w:val="center"/>
                    <w:rPr>
                      <w:color w:val="000000" w:themeColor="text1"/>
                      <w:sz w:val="18"/>
                      <w:szCs w:val="18"/>
                      <w:lang w:eastAsia="en-US"/>
                    </w:rPr>
                  </w:pPr>
                </w:p>
              </w:tc>
              <w:tc>
                <w:tcPr>
                  <w:tcW w:w="152" w:type="pct"/>
                  <w:vMerge w:val="continue"/>
                  <w:tcBorders>
                    <w:tl2br w:val="nil"/>
                    <w:tr2bl w:val="nil"/>
                  </w:tcBorders>
                  <w:vAlign w:val="center"/>
                </w:tcPr>
                <w:p w14:paraId="6EEE3A3D">
                  <w:pPr>
                    <w:pStyle w:val="43"/>
                    <w:adjustRightInd/>
                    <w:snapToGrid w:val="0"/>
                    <w:spacing w:line="240" w:lineRule="auto"/>
                    <w:ind w:firstLine="0" w:firstLineChars="0"/>
                    <w:jc w:val="center"/>
                    <w:rPr>
                      <w:color w:val="000000" w:themeColor="text1"/>
                      <w:sz w:val="18"/>
                      <w:szCs w:val="18"/>
                      <w:lang w:eastAsia="en-US"/>
                    </w:rPr>
                  </w:pPr>
                </w:p>
              </w:tc>
              <w:tc>
                <w:tcPr>
                  <w:tcW w:w="147" w:type="pct"/>
                  <w:vMerge w:val="continue"/>
                  <w:tcBorders>
                    <w:tl2br w:val="nil"/>
                    <w:tr2bl w:val="nil"/>
                  </w:tcBorders>
                  <w:vAlign w:val="center"/>
                </w:tcPr>
                <w:p w14:paraId="4FC82FED">
                  <w:pPr>
                    <w:pStyle w:val="43"/>
                    <w:adjustRightInd/>
                    <w:snapToGrid w:val="0"/>
                    <w:spacing w:line="240" w:lineRule="auto"/>
                    <w:ind w:firstLine="0" w:firstLineChars="0"/>
                    <w:jc w:val="center"/>
                    <w:rPr>
                      <w:color w:val="000000" w:themeColor="text1"/>
                      <w:sz w:val="18"/>
                      <w:szCs w:val="18"/>
                      <w:lang w:eastAsia="en-US"/>
                    </w:rPr>
                  </w:pPr>
                </w:p>
              </w:tc>
              <w:tc>
                <w:tcPr>
                  <w:tcW w:w="159" w:type="pct"/>
                  <w:vMerge w:val="continue"/>
                  <w:tcBorders>
                    <w:tl2br w:val="nil"/>
                    <w:tr2bl w:val="nil"/>
                  </w:tcBorders>
                  <w:vAlign w:val="center"/>
                </w:tcPr>
                <w:p w14:paraId="33013AF3">
                  <w:pPr>
                    <w:pStyle w:val="43"/>
                    <w:adjustRightInd/>
                    <w:snapToGrid w:val="0"/>
                    <w:spacing w:line="240" w:lineRule="auto"/>
                    <w:ind w:firstLine="0" w:firstLineChars="0"/>
                    <w:jc w:val="center"/>
                    <w:rPr>
                      <w:color w:val="000000" w:themeColor="text1"/>
                      <w:sz w:val="18"/>
                      <w:szCs w:val="18"/>
                      <w:lang w:eastAsia="en-US"/>
                    </w:rPr>
                  </w:pPr>
                </w:p>
              </w:tc>
              <w:tc>
                <w:tcPr>
                  <w:tcW w:w="154" w:type="pct"/>
                  <w:vMerge w:val="continue"/>
                  <w:tcBorders>
                    <w:tl2br w:val="nil"/>
                    <w:tr2bl w:val="nil"/>
                  </w:tcBorders>
                  <w:vAlign w:val="center"/>
                </w:tcPr>
                <w:p w14:paraId="395EB8DB">
                  <w:pPr>
                    <w:pStyle w:val="43"/>
                    <w:adjustRightInd/>
                    <w:snapToGrid w:val="0"/>
                    <w:spacing w:line="240" w:lineRule="auto"/>
                    <w:ind w:firstLine="0" w:firstLineChars="0"/>
                    <w:jc w:val="center"/>
                    <w:rPr>
                      <w:color w:val="000000" w:themeColor="text1"/>
                      <w:sz w:val="18"/>
                      <w:szCs w:val="18"/>
                      <w:lang w:eastAsia="en-US"/>
                    </w:rPr>
                  </w:pPr>
                </w:p>
              </w:tc>
              <w:tc>
                <w:tcPr>
                  <w:tcW w:w="185" w:type="pct"/>
                  <w:vMerge w:val="continue"/>
                  <w:tcBorders>
                    <w:tl2br w:val="nil"/>
                    <w:tr2bl w:val="nil"/>
                  </w:tcBorders>
                  <w:vAlign w:val="center"/>
                </w:tcPr>
                <w:p w14:paraId="40A78B92">
                  <w:pPr>
                    <w:pStyle w:val="43"/>
                    <w:adjustRightInd/>
                    <w:snapToGrid w:val="0"/>
                    <w:spacing w:line="240" w:lineRule="auto"/>
                    <w:ind w:firstLine="0" w:firstLineChars="0"/>
                    <w:jc w:val="center"/>
                    <w:rPr>
                      <w:color w:val="000000" w:themeColor="text1"/>
                      <w:sz w:val="18"/>
                      <w:szCs w:val="18"/>
                      <w:lang w:eastAsia="en-US"/>
                    </w:rPr>
                  </w:pPr>
                </w:p>
              </w:tc>
              <w:tc>
                <w:tcPr>
                  <w:tcW w:w="174" w:type="pct"/>
                  <w:vMerge w:val="continue"/>
                  <w:tcBorders>
                    <w:tl2br w:val="nil"/>
                    <w:tr2bl w:val="nil"/>
                  </w:tcBorders>
                  <w:vAlign w:val="center"/>
                </w:tcPr>
                <w:p w14:paraId="68F3ACAB">
                  <w:pPr>
                    <w:pStyle w:val="43"/>
                    <w:adjustRightInd/>
                    <w:snapToGrid w:val="0"/>
                    <w:spacing w:line="240" w:lineRule="auto"/>
                    <w:ind w:firstLine="0" w:firstLineChars="0"/>
                    <w:jc w:val="center"/>
                    <w:rPr>
                      <w:color w:val="000000" w:themeColor="text1"/>
                      <w:sz w:val="18"/>
                      <w:szCs w:val="18"/>
                      <w:lang w:eastAsia="en-US"/>
                    </w:rPr>
                  </w:pPr>
                </w:p>
              </w:tc>
              <w:tc>
                <w:tcPr>
                  <w:tcW w:w="163" w:type="pct"/>
                  <w:vMerge w:val="continue"/>
                  <w:tcBorders>
                    <w:tl2br w:val="nil"/>
                    <w:tr2bl w:val="nil"/>
                  </w:tcBorders>
                  <w:vAlign w:val="center"/>
                </w:tcPr>
                <w:p w14:paraId="52BDB741">
                  <w:pPr>
                    <w:pStyle w:val="43"/>
                    <w:adjustRightInd/>
                    <w:snapToGrid w:val="0"/>
                    <w:spacing w:line="240" w:lineRule="auto"/>
                    <w:ind w:firstLine="0" w:firstLineChars="0"/>
                    <w:jc w:val="center"/>
                    <w:rPr>
                      <w:color w:val="000000" w:themeColor="text1"/>
                      <w:sz w:val="18"/>
                      <w:szCs w:val="18"/>
                      <w:lang w:eastAsia="en-US"/>
                    </w:rPr>
                  </w:pPr>
                </w:p>
              </w:tc>
              <w:tc>
                <w:tcPr>
                  <w:tcW w:w="182" w:type="pct"/>
                  <w:vMerge w:val="continue"/>
                  <w:tcBorders>
                    <w:tl2br w:val="nil"/>
                    <w:tr2bl w:val="nil"/>
                  </w:tcBorders>
                  <w:vAlign w:val="center"/>
                </w:tcPr>
                <w:p w14:paraId="45AD22C2">
                  <w:pPr>
                    <w:pStyle w:val="43"/>
                    <w:adjustRightInd/>
                    <w:snapToGrid w:val="0"/>
                    <w:spacing w:line="240" w:lineRule="auto"/>
                    <w:ind w:firstLine="0" w:firstLineChars="0"/>
                    <w:jc w:val="center"/>
                    <w:rPr>
                      <w:color w:val="000000" w:themeColor="text1"/>
                      <w:sz w:val="18"/>
                      <w:szCs w:val="18"/>
                      <w:lang w:eastAsia="en-US"/>
                    </w:rPr>
                  </w:pPr>
                </w:p>
              </w:tc>
              <w:tc>
                <w:tcPr>
                  <w:tcW w:w="181" w:type="pct"/>
                  <w:vMerge w:val="continue"/>
                  <w:tcBorders>
                    <w:tl2br w:val="nil"/>
                    <w:tr2bl w:val="nil"/>
                  </w:tcBorders>
                  <w:vAlign w:val="center"/>
                </w:tcPr>
                <w:p w14:paraId="360E3A8B">
                  <w:pPr>
                    <w:pStyle w:val="43"/>
                    <w:adjustRightInd/>
                    <w:snapToGrid w:val="0"/>
                    <w:spacing w:line="240" w:lineRule="auto"/>
                    <w:ind w:firstLine="0" w:firstLineChars="0"/>
                    <w:jc w:val="center"/>
                    <w:rPr>
                      <w:color w:val="000000" w:themeColor="text1"/>
                      <w:sz w:val="18"/>
                      <w:szCs w:val="18"/>
                      <w:lang w:eastAsia="en-US"/>
                    </w:rPr>
                  </w:pPr>
                </w:p>
              </w:tc>
              <w:tc>
                <w:tcPr>
                  <w:tcW w:w="136" w:type="pct"/>
                  <w:vMerge w:val="continue"/>
                  <w:tcBorders>
                    <w:tl2br w:val="nil"/>
                    <w:tr2bl w:val="nil"/>
                  </w:tcBorders>
                  <w:vAlign w:val="center"/>
                </w:tcPr>
                <w:p w14:paraId="0BDF96C1">
                  <w:pPr>
                    <w:pStyle w:val="43"/>
                    <w:adjustRightInd/>
                    <w:snapToGrid w:val="0"/>
                    <w:spacing w:line="240" w:lineRule="auto"/>
                    <w:ind w:firstLine="0" w:firstLineChars="0"/>
                    <w:jc w:val="center"/>
                    <w:rPr>
                      <w:color w:val="000000" w:themeColor="text1"/>
                      <w:sz w:val="18"/>
                      <w:szCs w:val="18"/>
                      <w:lang w:eastAsia="en-US"/>
                    </w:rPr>
                  </w:pPr>
                </w:p>
              </w:tc>
              <w:tc>
                <w:tcPr>
                  <w:tcW w:w="141" w:type="pct"/>
                  <w:vMerge w:val="continue"/>
                  <w:tcBorders>
                    <w:tl2br w:val="nil"/>
                    <w:tr2bl w:val="nil"/>
                  </w:tcBorders>
                  <w:vAlign w:val="center"/>
                </w:tcPr>
                <w:p w14:paraId="28EFD99F">
                  <w:pPr>
                    <w:pStyle w:val="43"/>
                    <w:adjustRightInd/>
                    <w:snapToGrid w:val="0"/>
                    <w:spacing w:line="240" w:lineRule="auto"/>
                    <w:ind w:firstLine="0" w:firstLineChars="0"/>
                    <w:jc w:val="center"/>
                    <w:rPr>
                      <w:color w:val="000000" w:themeColor="text1"/>
                      <w:sz w:val="18"/>
                      <w:szCs w:val="18"/>
                      <w:lang w:eastAsia="en-US"/>
                    </w:rPr>
                  </w:pPr>
                </w:p>
              </w:tc>
              <w:tc>
                <w:tcPr>
                  <w:tcW w:w="136" w:type="pct"/>
                  <w:vMerge w:val="continue"/>
                  <w:tcBorders>
                    <w:tl2br w:val="nil"/>
                    <w:tr2bl w:val="nil"/>
                  </w:tcBorders>
                  <w:vAlign w:val="center"/>
                </w:tcPr>
                <w:p w14:paraId="1E70CA37">
                  <w:pPr>
                    <w:pStyle w:val="43"/>
                    <w:adjustRightInd/>
                    <w:snapToGrid w:val="0"/>
                    <w:spacing w:line="240" w:lineRule="auto"/>
                    <w:ind w:firstLine="0" w:firstLineChars="0"/>
                    <w:jc w:val="center"/>
                    <w:rPr>
                      <w:color w:val="000000" w:themeColor="text1"/>
                      <w:sz w:val="18"/>
                      <w:szCs w:val="18"/>
                      <w:lang w:eastAsia="en-US"/>
                    </w:rPr>
                  </w:pPr>
                </w:p>
              </w:tc>
              <w:tc>
                <w:tcPr>
                  <w:tcW w:w="143" w:type="pct"/>
                  <w:vMerge w:val="continue"/>
                  <w:tcBorders>
                    <w:tl2br w:val="nil"/>
                    <w:tr2bl w:val="nil"/>
                  </w:tcBorders>
                  <w:vAlign w:val="center"/>
                </w:tcPr>
                <w:p w14:paraId="4AF5C453">
                  <w:pPr>
                    <w:pStyle w:val="43"/>
                    <w:adjustRightInd/>
                    <w:snapToGrid w:val="0"/>
                    <w:spacing w:line="240" w:lineRule="auto"/>
                    <w:ind w:firstLine="0" w:firstLineChars="0"/>
                    <w:jc w:val="center"/>
                    <w:rPr>
                      <w:color w:val="000000" w:themeColor="text1"/>
                      <w:sz w:val="18"/>
                      <w:szCs w:val="18"/>
                      <w:lang w:eastAsia="en-US"/>
                    </w:rPr>
                  </w:pPr>
                </w:p>
              </w:tc>
              <w:tc>
                <w:tcPr>
                  <w:tcW w:w="163" w:type="pct"/>
                  <w:tcBorders>
                    <w:tl2br w:val="nil"/>
                    <w:tr2bl w:val="nil"/>
                  </w:tcBorders>
                  <w:vAlign w:val="center"/>
                </w:tcPr>
                <w:p w14:paraId="7524754E">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东</w:t>
                  </w:r>
                </w:p>
              </w:tc>
              <w:tc>
                <w:tcPr>
                  <w:tcW w:w="159" w:type="pct"/>
                  <w:tcBorders>
                    <w:tl2br w:val="nil"/>
                    <w:tr2bl w:val="nil"/>
                  </w:tcBorders>
                  <w:vAlign w:val="center"/>
                </w:tcPr>
                <w:p w14:paraId="2BFABF62">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南</w:t>
                  </w:r>
                </w:p>
              </w:tc>
              <w:tc>
                <w:tcPr>
                  <w:tcW w:w="152" w:type="pct"/>
                  <w:tcBorders>
                    <w:tl2br w:val="nil"/>
                    <w:tr2bl w:val="nil"/>
                  </w:tcBorders>
                  <w:vAlign w:val="center"/>
                </w:tcPr>
                <w:p w14:paraId="4B698C2C">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西</w:t>
                  </w:r>
                </w:p>
              </w:tc>
              <w:tc>
                <w:tcPr>
                  <w:tcW w:w="166" w:type="pct"/>
                  <w:tcBorders>
                    <w:tl2br w:val="nil"/>
                    <w:tr2bl w:val="nil"/>
                  </w:tcBorders>
                  <w:vAlign w:val="center"/>
                </w:tcPr>
                <w:p w14:paraId="5E55D8AC">
                  <w:pPr>
                    <w:autoSpaceDE w:val="0"/>
                    <w:autoSpaceDN w:val="0"/>
                    <w:snapToGrid w:val="0"/>
                    <w:spacing w:line="240" w:lineRule="auto"/>
                    <w:ind w:firstLine="0" w:firstLineChars="0"/>
                    <w:jc w:val="center"/>
                    <w:rPr>
                      <w:b/>
                      <w:bCs/>
                      <w:color w:val="000000" w:themeColor="text1"/>
                      <w:sz w:val="18"/>
                      <w:szCs w:val="18"/>
                      <w:lang w:eastAsia="en-US"/>
                    </w:rPr>
                  </w:pPr>
                  <w:r>
                    <w:rPr>
                      <w:rFonts w:hint="eastAsia" w:eastAsiaTheme="minorEastAsia"/>
                      <w:b/>
                      <w:bCs/>
                      <w:color w:val="000000" w:themeColor="text1"/>
                      <w:sz w:val="18"/>
                      <w:szCs w:val="18"/>
                      <w:lang w:eastAsia="en-US"/>
                    </w:rPr>
                    <w:t>北</w:t>
                  </w:r>
                </w:p>
              </w:tc>
              <w:tc>
                <w:tcPr>
                  <w:tcW w:w="203" w:type="pct"/>
                  <w:vMerge w:val="continue"/>
                  <w:tcBorders>
                    <w:tl2br w:val="nil"/>
                    <w:tr2bl w:val="nil"/>
                  </w:tcBorders>
                  <w:vAlign w:val="center"/>
                </w:tcPr>
                <w:p w14:paraId="01D12215">
                  <w:pPr>
                    <w:pStyle w:val="43"/>
                    <w:adjustRightInd/>
                    <w:snapToGrid w:val="0"/>
                    <w:spacing w:line="240" w:lineRule="auto"/>
                    <w:ind w:firstLine="0" w:firstLineChars="0"/>
                    <w:jc w:val="center"/>
                    <w:rPr>
                      <w:color w:val="000000" w:themeColor="text1"/>
                      <w:sz w:val="18"/>
                      <w:szCs w:val="18"/>
                      <w:lang w:eastAsia="en-US"/>
                    </w:rPr>
                  </w:pPr>
                </w:p>
              </w:tc>
            </w:tr>
            <w:tr w14:paraId="3597A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839538E">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restart"/>
                  <w:tcBorders>
                    <w:tl2br w:val="nil"/>
                    <w:tr2bl w:val="nil"/>
                  </w:tcBorders>
                  <w:vAlign w:val="center"/>
                </w:tcPr>
                <w:p w14:paraId="297559F0">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厂房</w:t>
                  </w:r>
                </w:p>
              </w:tc>
              <w:tc>
                <w:tcPr>
                  <w:tcW w:w="316" w:type="pct"/>
                  <w:tcBorders>
                    <w:tl2br w:val="nil"/>
                    <w:tr2bl w:val="nil"/>
                  </w:tcBorders>
                  <w:shd w:val="clear" w:color="auto" w:fill="auto"/>
                  <w:vAlign w:val="center"/>
                </w:tcPr>
                <w:p w14:paraId="26857300">
                  <w:pPr>
                    <w:pStyle w:val="35"/>
                    <w:autoSpaceDE/>
                    <w:autoSpaceDN/>
                    <w:ind w:left="0" w:leftChars="0" w:right="0" w:rightChars="0"/>
                    <w:rPr>
                      <w:rFonts w:eastAsiaTheme="minorEastAsia"/>
                      <w:color w:val="000000" w:themeColor="text1"/>
                      <w:sz w:val="18"/>
                      <w:szCs w:val="18"/>
                      <w:lang w:eastAsia="en-US"/>
                    </w:rPr>
                  </w:pPr>
                  <w:r>
                    <w:rPr>
                      <w:rFonts w:hint="eastAsia" w:eastAsiaTheme="minorEastAsia"/>
                      <w:color w:val="000000" w:themeColor="text1"/>
                      <w:sz w:val="18"/>
                      <w:szCs w:val="18"/>
                      <w:lang w:eastAsia="en-US"/>
                    </w:rPr>
                    <w:t>绞龙</w:t>
                  </w:r>
                </w:p>
              </w:tc>
              <w:tc>
                <w:tcPr>
                  <w:tcW w:w="403" w:type="pct"/>
                  <w:tcBorders>
                    <w:tl2br w:val="nil"/>
                    <w:tr2bl w:val="nil"/>
                  </w:tcBorders>
                  <w:shd w:val="clear" w:color="auto" w:fill="auto"/>
                  <w:vAlign w:val="center"/>
                </w:tcPr>
                <w:p w14:paraId="33F89593">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YULS300*2*3</w:t>
                  </w:r>
                </w:p>
              </w:tc>
              <w:tc>
                <w:tcPr>
                  <w:tcW w:w="275" w:type="pct"/>
                  <w:tcBorders>
                    <w:tl2br w:val="nil"/>
                    <w:tr2bl w:val="nil"/>
                  </w:tcBorders>
                  <w:shd w:val="clear" w:color="auto" w:fill="auto"/>
                  <w:vAlign w:val="center"/>
                </w:tcPr>
                <w:p w14:paraId="04C635D0">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restart"/>
                  <w:tcBorders>
                    <w:tl2br w:val="nil"/>
                    <w:tr2bl w:val="nil"/>
                  </w:tcBorders>
                  <w:vAlign w:val="center"/>
                </w:tcPr>
                <w:p w14:paraId="5E833B7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选用</w:t>
                  </w:r>
                  <w:r>
                    <w:rPr>
                      <w:rFonts w:eastAsiaTheme="minorEastAsia"/>
                      <w:color w:val="000000" w:themeColor="text1"/>
                      <w:sz w:val="18"/>
                      <w:szCs w:val="18"/>
                      <w:lang w:eastAsia="en-US"/>
                    </w:rPr>
                    <w:t>低噪声设备、设置基础减振</w:t>
                  </w:r>
                </w:p>
              </w:tc>
              <w:tc>
                <w:tcPr>
                  <w:tcW w:w="192" w:type="pct"/>
                  <w:tcBorders>
                    <w:tl2br w:val="nil"/>
                    <w:tr2bl w:val="nil"/>
                  </w:tcBorders>
                  <w:shd w:val="clear" w:color="auto" w:fill="auto"/>
                  <w:vAlign w:val="center"/>
                </w:tcPr>
                <w:p w14:paraId="3C98F2F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shd w:val="clear" w:color="auto" w:fill="auto"/>
                  <w:vAlign w:val="center"/>
                </w:tcPr>
                <w:p w14:paraId="4131437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76</w:t>
                  </w:r>
                </w:p>
              </w:tc>
              <w:tc>
                <w:tcPr>
                  <w:tcW w:w="159" w:type="pct"/>
                  <w:tcBorders>
                    <w:tl2br w:val="nil"/>
                    <w:tr2bl w:val="nil"/>
                  </w:tcBorders>
                  <w:shd w:val="clear" w:color="auto" w:fill="auto"/>
                  <w:vAlign w:val="center"/>
                </w:tcPr>
                <w:p w14:paraId="6934E1A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7.5</w:t>
                  </w:r>
                </w:p>
              </w:tc>
              <w:tc>
                <w:tcPr>
                  <w:tcW w:w="126" w:type="pct"/>
                  <w:tcBorders>
                    <w:tl2br w:val="nil"/>
                    <w:tr2bl w:val="nil"/>
                  </w:tcBorders>
                  <w:shd w:val="clear" w:color="auto" w:fill="auto"/>
                  <w:vAlign w:val="center"/>
                </w:tcPr>
                <w:p w14:paraId="26AF51C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shd w:val="clear" w:color="auto" w:fill="auto"/>
                  <w:vAlign w:val="center"/>
                </w:tcPr>
                <w:p w14:paraId="3545C8B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34</w:t>
                  </w:r>
                </w:p>
              </w:tc>
              <w:tc>
                <w:tcPr>
                  <w:tcW w:w="147" w:type="pct"/>
                  <w:tcBorders>
                    <w:tl2br w:val="nil"/>
                    <w:tr2bl w:val="nil"/>
                  </w:tcBorders>
                  <w:shd w:val="clear" w:color="auto" w:fill="auto"/>
                  <w:vAlign w:val="center"/>
                </w:tcPr>
                <w:p w14:paraId="5128D87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7.5</w:t>
                  </w:r>
                </w:p>
              </w:tc>
              <w:tc>
                <w:tcPr>
                  <w:tcW w:w="159" w:type="pct"/>
                  <w:tcBorders>
                    <w:tl2br w:val="nil"/>
                    <w:tr2bl w:val="nil"/>
                  </w:tcBorders>
                  <w:shd w:val="clear" w:color="auto" w:fill="auto"/>
                  <w:vAlign w:val="center"/>
                </w:tcPr>
                <w:p w14:paraId="128B0F0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76</w:t>
                  </w:r>
                </w:p>
              </w:tc>
              <w:tc>
                <w:tcPr>
                  <w:tcW w:w="154" w:type="pct"/>
                  <w:tcBorders>
                    <w:tl2br w:val="nil"/>
                    <w:tr2bl w:val="nil"/>
                  </w:tcBorders>
                  <w:shd w:val="clear" w:color="auto" w:fill="auto"/>
                  <w:vAlign w:val="center"/>
                </w:tcPr>
                <w:p w14:paraId="060B5DB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40</w:t>
                  </w:r>
                </w:p>
              </w:tc>
              <w:tc>
                <w:tcPr>
                  <w:tcW w:w="185" w:type="pct"/>
                  <w:tcBorders>
                    <w:tl2br w:val="nil"/>
                    <w:tr2bl w:val="nil"/>
                  </w:tcBorders>
                  <w:shd w:val="clear" w:color="auto" w:fill="auto"/>
                  <w:vAlign w:val="center"/>
                </w:tcPr>
                <w:p w14:paraId="13A573C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29.4 </w:t>
                  </w:r>
                </w:p>
              </w:tc>
              <w:tc>
                <w:tcPr>
                  <w:tcW w:w="174" w:type="pct"/>
                  <w:tcBorders>
                    <w:tl2br w:val="nil"/>
                    <w:tr2bl w:val="nil"/>
                  </w:tcBorders>
                  <w:shd w:val="clear" w:color="auto" w:fill="auto"/>
                  <w:vAlign w:val="center"/>
                </w:tcPr>
                <w:p w14:paraId="05112B9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42.5 </w:t>
                  </w:r>
                </w:p>
              </w:tc>
              <w:tc>
                <w:tcPr>
                  <w:tcW w:w="163" w:type="pct"/>
                  <w:tcBorders>
                    <w:tl2br w:val="nil"/>
                    <w:tr2bl w:val="nil"/>
                  </w:tcBorders>
                  <w:shd w:val="clear" w:color="auto" w:fill="auto"/>
                  <w:vAlign w:val="center"/>
                </w:tcPr>
                <w:p w14:paraId="47A73E0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22.4 </w:t>
                  </w:r>
                </w:p>
              </w:tc>
              <w:tc>
                <w:tcPr>
                  <w:tcW w:w="182" w:type="pct"/>
                  <w:tcBorders>
                    <w:tl2br w:val="nil"/>
                    <w:tr2bl w:val="nil"/>
                  </w:tcBorders>
                  <w:shd w:val="clear" w:color="auto" w:fill="auto"/>
                  <w:vAlign w:val="center"/>
                </w:tcPr>
                <w:p w14:paraId="215E692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28.0 </w:t>
                  </w:r>
                </w:p>
              </w:tc>
              <w:tc>
                <w:tcPr>
                  <w:tcW w:w="181" w:type="pct"/>
                  <w:vMerge w:val="restart"/>
                  <w:tcBorders>
                    <w:tl2br w:val="nil"/>
                    <w:tr2bl w:val="nil"/>
                  </w:tcBorders>
                  <w:vAlign w:val="center"/>
                </w:tcPr>
                <w:p w14:paraId="3AC18FF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snapToGrid w:val="0"/>
                      <w:color w:val="000000" w:themeColor="text1"/>
                      <w:sz w:val="18"/>
                      <w:szCs w:val="18"/>
                      <w:lang w:eastAsia="en-US"/>
                    </w:rPr>
                    <w:t>24h/d</w:t>
                  </w:r>
                </w:p>
              </w:tc>
              <w:tc>
                <w:tcPr>
                  <w:tcW w:w="136" w:type="pct"/>
                  <w:tcBorders>
                    <w:tl2br w:val="nil"/>
                    <w:tr2bl w:val="nil"/>
                  </w:tcBorders>
                  <w:shd w:val="clear" w:color="auto" w:fill="auto"/>
                  <w:vAlign w:val="center"/>
                </w:tcPr>
                <w:p w14:paraId="40F4A8CB">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2781F3C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B96F9B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2BFCFA6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shd w:val="clear" w:color="auto" w:fill="auto"/>
                  <w:vAlign w:val="center"/>
                </w:tcPr>
                <w:p w14:paraId="225CD5D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19.4 </w:t>
                  </w:r>
                </w:p>
              </w:tc>
              <w:tc>
                <w:tcPr>
                  <w:tcW w:w="159" w:type="pct"/>
                  <w:tcBorders>
                    <w:tl2br w:val="nil"/>
                    <w:tr2bl w:val="nil"/>
                  </w:tcBorders>
                  <w:shd w:val="clear" w:color="auto" w:fill="auto"/>
                  <w:vAlign w:val="center"/>
                </w:tcPr>
                <w:p w14:paraId="08C60EF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32.5 </w:t>
                  </w:r>
                </w:p>
              </w:tc>
              <w:tc>
                <w:tcPr>
                  <w:tcW w:w="152" w:type="pct"/>
                  <w:tcBorders>
                    <w:tl2br w:val="nil"/>
                    <w:tr2bl w:val="nil"/>
                  </w:tcBorders>
                  <w:shd w:val="clear" w:color="auto" w:fill="auto"/>
                  <w:vAlign w:val="center"/>
                </w:tcPr>
                <w:p w14:paraId="4471A91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12.4 </w:t>
                  </w:r>
                </w:p>
              </w:tc>
              <w:tc>
                <w:tcPr>
                  <w:tcW w:w="166" w:type="pct"/>
                  <w:tcBorders>
                    <w:tl2br w:val="nil"/>
                    <w:tr2bl w:val="nil"/>
                  </w:tcBorders>
                  <w:shd w:val="clear" w:color="auto" w:fill="auto"/>
                  <w:vAlign w:val="center"/>
                </w:tcPr>
                <w:p w14:paraId="478160A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18.0 </w:t>
                  </w:r>
                </w:p>
              </w:tc>
              <w:tc>
                <w:tcPr>
                  <w:tcW w:w="203" w:type="pct"/>
                  <w:tcBorders>
                    <w:tl2br w:val="nil"/>
                    <w:tr2bl w:val="nil"/>
                  </w:tcBorders>
                  <w:shd w:val="clear" w:color="auto" w:fill="auto"/>
                  <w:vAlign w:val="center"/>
                </w:tcPr>
                <w:p w14:paraId="242E9B3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7B10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EA3F66B">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D33D9B9">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33D375B9">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滚筒筛</w:t>
                  </w:r>
                </w:p>
              </w:tc>
              <w:tc>
                <w:tcPr>
                  <w:tcW w:w="403" w:type="pct"/>
                  <w:tcBorders>
                    <w:tl2br w:val="nil"/>
                    <w:tr2bl w:val="nil"/>
                  </w:tcBorders>
                  <w:vAlign w:val="center"/>
                </w:tcPr>
                <w:p w14:paraId="4BB51D8C">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YGTS2000</w:t>
                  </w:r>
                </w:p>
              </w:tc>
              <w:tc>
                <w:tcPr>
                  <w:tcW w:w="275" w:type="pct"/>
                  <w:tcBorders>
                    <w:tl2br w:val="nil"/>
                    <w:tr2bl w:val="nil"/>
                  </w:tcBorders>
                  <w:vAlign w:val="center"/>
                </w:tcPr>
                <w:p w14:paraId="4B1F663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6EC51BE0">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3B4FB55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204F0CC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72</w:t>
                  </w:r>
                </w:p>
              </w:tc>
              <w:tc>
                <w:tcPr>
                  <w:tcW w:w="159" w:type="pct"/>
                  <w:tcBorders>
                    <w:tl2br w:val="nil"/>
                    <w:tr2bl w:val="nil"/>
                  </w:tcBorders>
                  <w:vAlign w:val="center"/>
                </w:tcPr>
                <w:p w14:paraId="3CC2B53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w:t>
                  </w:r>
                </w:p>
              </w:tc>
              <w:tc>
                <w:tcPr>
                  <w:tcW w:w="126" w:type="pct"/>
                  <w:tcBorders>
                    <w:tl2br w:val="nil"/>
                    <w:tr2bl w:val="nil"/>
                  </w:tcBorders>
                  <w:vAlign w:val="center"/>
                </w:tcPr>
                <w:p w14:paraId="1B1200A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4B5CB0B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43</w:t>
                  </w:r>
                </w:p>
              </w:tc>
              <w:tc>
                <w:tcPr>
                  <w:tcW w:w="147" w:type="pct"/>
                  <w:tcBorders>
                    <w:tl2br w:val="nil"/>
                    <w:tr2bl w:val="nil"/>
                  </w:tcBorders>
                  <w:vAlign w:val="center"/>
                </w:tcPr>
                <w:p w14:paraId="43871E9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w:t>
                  </w:r>
                </w:p>
              </w:tc>
              <w:tc>
                <w:tcPr>
                  <w:tcW w:w="159" w:type="pct"/>
                  <w:tcBorders>
                    <w:tl2br w:val="nil"/>
                    <w:tr2bl w:val="nil"/>
                  </w:tcBorders>
                  <w:vAlign w:val="center"/>
                </w:tcPr>
                <w:p w14:paraId="1CF6511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72</w:t>
                  </w:r>
                </w:p>
              </w:tc>
              <w:tc>
                <w:tcPr>
                  <w:tcW w:w="154" w:type="pct"/>
                  <w:tcBorders>
                    <w:tl2br w:val="nil"/>
                    <w:tr2bl w:val="nil"/>
                  </w:tcBorders>
                  <w:vAlign w:val="center"/>
                </w:tcPr>
                <w:p w14:paraId="36ADA2F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39</w:t>
                  </w:r>
                </w:p>
              </w:tc>
              <w:tc>
                <w:tcPr>
                  <w:tcW w:w="185" w:type="pct"/>
                  <w:tcBorders>
                    <w:tl2br w:val="nil"/>
                    <w:tr2bl w:val="nil"/>
                  </w:tcBorders>
                  <w:vAlign w:val="center"/>
                </w:tcPr>
                <w:p w14:paraId="443BAB0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42.3 </w:t>
                  </w:r>
                </w:p>
              </w:tc>
              <w:tc>
                <w:tcPr>
                  <w:tcW w:w="174" w:type="pct"/>
                  <w:tcBorders>
                    <w:tl2br w:val="nil"/>
                    <w:tr2bl w:val="nil"/>
                  </w:tcBorders>
                  <w:vAlign w:val="center"/>
                </w:tcPr>
                <w:p w14:paraId="17CE9EB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59.4 </w:t>
                  </w:r>
                </w:p>
              </w:tc>
              <w:tc>
                <w:tcPr>
                  <w:tcW w:w="163" w:type="pct"/>
                  <w:tcBorders>
                    <w:tl2br w:val="nil"/>
                    <w:tr2bl w:val="nil"/>
                  </w:tcBorders>
                  <w:vAlign w:val="center"/>
                </w:tcPr>
                <w:p w14:paraId="616B20F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37.9 </w:t>
                  </w:r>
                </w:p>
              </w:tc>
              <w:tc>
                <w:tcPr>
                  <w:tcW w:w="182" w:type="pct"/>
                  <w:tcBorders>
                    <w:tl2br w:val="nil"/>
                    <w:tr2bl w:val="nil"/>
                  </w:tcBorders>
                  <w:vAlign w:val="center"/>
                </w:tcPr>
                <w:p w14:paraId="13EBF98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43.2 </w:t>
                  </w:r>
                </w:p>
              </w:tc>
              <w:tc>
                <w:tcPr>
                  <w:tcW w:w="181" w:type="pct"/>
                  <w:vMerge w:val="continue"/>
                  <w:tcBorders>
                    <w:tl2br w:val="nil"/>
                    <w:tr2bl w:val="nil"/>
                  </w:tcBorders>
                  <w:vAlign w:val="center"/>
                </w:tcPr>
                <w:p w14:paraId="331EC4BA">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E02C16A">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C70B8A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020418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050599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554F252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32.3 </w:t>
                  </w:r>
                </w:p>
              </w:tc>
              <w:tc>
                <w:tcPr>
                  <w:tcW w:w="159" w:type="pct"/>
                  <w:tcBorders>
                    <w:tl2br w:val="nil"/>
                    <w:tr2bl w:val="nil"/>
                  </w:tcBorders>
                  <w:vAlign w:val="center"/>
                </w:tcPr>
                <w:p w14:paraId="62D2E74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49.4 </w:t>
                  </w:r>
                </w:p>
              </w:tc>
              <w:tc>
                <w:tcPr>
                  <w:tcW w:w="152" w:type="pct"/>
                  <w:tcBorders>
                    <w:tl2br w:val="nil"/>
                    <w:tr2bl w:val="nil"/>
                  </w:tcBorders>
                  <w:vAlign w:val="center"/>
                </w:tcPr>
                <w:p w14:paraId="0BAAFBC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27.9 </w:t>
                  </w:r>
                </w:p>
              </w:tc>
              <w:tc>
                <w:tcPr>
                  <w:tcW w:w="166" w:type="pct"/>
                  <w:tcBorders>
                    <w:tl2br w:val="nil"/>
                    <w:tr2bl w:val="nil"/>
                  </w:tcBorders>
                  <w:vAlign w:val="center"/>
                </w:tcPr>
                <w:p w14:paraId="281582D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33.2 </w:t>
                  </w:r>
                </w:p>
              </w:tc>
              <w:tc>
                <w:tcPr>
                  <w:tcW w:w="203" w:type="pct"/>
                  <w:tcBorders>
                    <w:tl2br w:val="nil"/>
                    <w:tr2bl w:val="nil"/>
                  </w:tcBorders>
                  <w:shd w:val="clear" w:color="auto" w:fill="auto"/>
                  <w:vAlign w:val="center"/>
                </w:tcPr>
                <w:p w14:paraId="4888AC3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140B7D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C1A630E">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3623791A">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0BF1B972">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皮带输送机</w:t>
                  </w:r>
                </w:p>
              </w:tc>
              <w:tc>
                <w:tcPr>
                  <w:tcW w:w="403" w:type="pct"/>
                  <w:tcBorders>
                    <w:tl2br w:val="nil"/>
                    <w:tr2bl w:val="nil"/>
                  </w:tcBorders>
                  <w:shd w:val="clear" w:color="auto" w:fill="auto"/>
                  <w:vAlign w:val="center"/>
                </w:tcPr>
                <w:p w14:paraId="61903DD5">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1400*800</w:t>
                  </w:r>
                </w:p>
              </w:tc>
              <w:tc>
                <w:tcPr>
                  <w:tcW w:w="275" w:type="pct"/>
                  <w:tcBorders>
                    <w:tl2br w:val="nil"/>
                    <w:tr2bl w:val="nil"/>
                  </w:tcBorders>
                  <w:vAlign w:val="center"/>
                </w:tcPr>
                <w:p w14:paraId="798B8681">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450107CB">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3BF3F92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08E620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74</w:t>
                  </w:r>
                </w:p>
              </w:tc>
              <w:tc>
                <w:tcPr>
                  <w:tcW w:w="159" w:type="pct"/>
                  <w:tcBorders>
                    <w:tl2br w:val="nil"/>
                    <w:tr2bl w:val="nil"/>
                  </w:tcBorders>
                  <w:vAlign w:val="center"/>
                </w:tcPr>
                <w:p w14:paraId="45F6FB7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26" w:type="pct"/>
                  <w:tcBorders>
                    <w:tl2br w:val="nil"/>
                    <w:tr2bl w:val="nil"/>
                  </w:tcBorders>
                  <w:vAlign w:val="center"/>
                </w:tcPr>
                <w:p w14:paraId="55BF2C5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F2B806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w:t>
                  </w:r>
                </w:p>
              </w:tc>
              <w:tc>
                <w:tcPr>
                  <w:tcW w:w="147" w:type="pct"/>
                  <w:tcBorders>
                    <w:tl2br w:val="nil"/>
                    <w:tr2bl w:val="nil"/>
                  </w:tcBorders>
                  <w:vAlign w:val="center"/>
                </w:tcPr>
                <w:p w14:paraId="45AA942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59" w:type="pct"/>
                  <w:tcBorders>
                    <w:tl2br w:val="nil"/>
                    <w:tr2bl w:val="nil"/>
                  </w:tcBorders>
                  <w:vAlign w:val="center"/>
                </w:tcPr>
                <w:p w14:paraId="47A0102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74</w:t>
                  </w:r>
                </w:p>
              </w:tc>
              <w:tc>
                <w:tcPr>
                  <w:tcW w:w="154" w:type="pct"/>
                  <w:tcBorders>
                    <w:tl2br w:val="nil"/>
                    <w:tr2bl w:val="nil"/>
                  </w:tcBorders>
                  <w:vAlign w:val="center"/>
                </w:tcPr>
                <w:p w14:paraId="26CE4BF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34</w:t>
                  </w:r>
                </w:p>
              </w:tc>
              <w:tc>
                <w:tcPr>
                  <w:tcW w:w="185" w:type="pct"/>
                  <w:tcBorders>
                    <w:tl2br w:val="nil"/>
                    <w:tr2bl w:val="nil"/>
                  </w:tcBorders>
                  <w:vAlign w:val="center"/>
                </w:tcPr>
                <w:p w14:paraId="1F793C6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27.1 </w:t>
                  </w:r>
                </w:p>
              </w:tc>
              <w:tc>
                <w:tcPr>
                  <w:tcW w:w="174" w:type="pct"/>
                  <w:tcBorders>
                    <w:tl2br w:val="nil"/>
                    <w:tr2bl w:val="nil"/>
                  </w:tcBorders>
                  <w:vAlign w:val="center"/>
                </w:tcPr>
                <w:p w14:paraId="7B60881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40.9 </w:t>
                  </w:r>
                </w:p>
              </w:tc>
              <w:tc>
                <w:tcPr>
                  <w:tcW w:w="163" w:type="pct"/>
                  <w:tcBorders>
                    <w:tl2br w:val="nil"/>
                    <w:tr2bl w:val="nil"/>
                  </w:tcBorders>
                  <w:vAlign w:val="center"/>
                </w:tcPr>
                <w:p w14:paraId="7B854F6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22.6 </w:t>
                  </w:r>
                </w:p>
              </w:tc>
              <w:tc>
                <w:tcPr>
                  <w:tcW w:w="182" w:type="pct"/>
                  <w:tcBorders>
                    <w:tl2br w:val="nil"/>
                    <w:tr2bl w:val="nil"/>
                  </w:tcBorders>
                  <w:vAlign w:val="center"/>
                </w:tcPr>
                <w:p w14:paraId="47E1C3E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29.4 </w:t>
                  </w:r>
                </w:p>
              </w:tc>
              <w:tc>
                <w:tcPr>
                  <w:tcW w:w="181" w:type="pct"/>
                  <w:vMerge w:val="continue"/>
                  <w:tcBorders>
                    <w:tl2br w:val="nil"/>
                    <w:tr2bl w:val="nil"/>
                  </w:tcBorders>
                  <w:vAlign w:val="center"/>
                </w:tcPr>
                <w:p w14:paraId="4E6071B7">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F303A0C">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0206B91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1181DC2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4D8F54C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0597913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17.1 </w:t>
                  </w:r>
                </w:p>
              </w:tc>
              <w:tc>
                <w:tcPr>
                  <w:tcW w:w="159" w:type="pct"/>
                  <w:tcBorders>
                    <w:tl2br w:val="nil"/>
                    <w:tr2bl w:val="nil"/>
                  </w:tcBorders>
                  <w:vAlign w:val="center"/>
                </w:tcPr>
                <w:p w14:paraId="514720A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52" w:type="pct"/>
                  <w:tcBorders>
                    <w:tl2br w:val="nil"/>
                    <w:tr2bl w:val="nil"/>
                  </w:tcBorders>
                  <w:vAlign w:val="center"/>
                </w:tcPr>
                <w:p w14:paraId="680649A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12.6 </w:t>
                  </w:r>
                </w:p>
              </w:tc>
              <w:tc>
                <w:tcPr>
                  <w:tcW w:w="166" w:type="pct"/>
                  <w:tcBorders>
                    <w:tl2br w:val="nil"/>
                    <w:tr2bl w:val="nil"/>
                  </w:tcBorders>
                  <w:vAlign w:val="center"/>
                </w:tcPr>
                <w:p w14:paraId="6D1618E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19.4 </w:t>
                  </w:r>
                </w:p>
              </w:tc>
              <w:tc>
                <w:tcPr>
                  <w:tcW w:w="203" w:type="pct"/>
                  <w:tcBorders>
                    <w:tl2br w:val="nil"/>
                    <w:tr2bl w:val="nil"/>
                  </w:tcBorders>
                  <w:shd w:val="clear" w:color="auto" w:fill="auto"/>
                  <w:vAlign w:val="center"/>
                </w:tcPr>
                <w:p w14:paraId="371BB46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05332C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7D0AE54">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4FE820F9">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1563EAD9">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皮带输送机</w:t>
                  </w:r>
                </w:p>
              </w:tc>
              <w:tc>
                <w:tcPr>
                  <w:tcW w:w="403" w:type="pct"/>
                  <w:tcBorders>
                    <w:tl2br w:val="nil"/>
                    <w:tr2bl w:val="nil"/>
                  </w:tcBorders>
                  <w:vAlign w:val="center"/>
                </w:tcPr>
                <w:p w14:paraId="6B9CEFB7">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1200*600</w:t>
                  </w:r>
                </w:p>
              </w:tc>
              <w:tc>
                <w:tcPr>
                  <w:tcW w:w="275" w:type="pct"/>
                  <w:tcBorders>
                    <w:tl2br w:val="nil"/>
                    <w:tr2bl w:val="nil"/>
                  </w:tcBorders>
                  <w:vAlign w:val="center"/>
                </w:tcPr>
                <w:p w14:paraId="0F3CBBD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6E843522">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2659F97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213B4CE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66</w:t>
                  </w:r>
                </w:p>
              </w:tc>
              <w:tc>
                <w:tcPr>
                  <w:tcW w:w="159" w:type="pct"/>
                  <w:tcBorders>
                    <w:tl2br w:val="nil"/>
                    <w:tr2bl w:val="nil"/>
                  </w:tcBorders>
                  <w:vAlign w:val="center"/>
                </w:tcPr>
                <w:p w14:paraId="4E9EBAD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26" w:type="pct"/>
                  <w:tcBorders>
                    <w:tl2br w:val="nil"/>
                    <w:tr2bl w:val="nil"/>
                  </w:tcBorders>
                  <w:vAlign w:val="center"/>
                </w:tcPr>
                <w:p w14:paraId="0D9BA62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AF4FDC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45.5</w:t>
                  </w:r>
                </w:p>
              </w:tc>
              <w:tc>
                <w:tcPr>
                  <w:tcW w:w="147" w:type="pct"/>
                  <w:tcBorders>
                    <w:tl2br w:val="nil"/>
                    <w:tr2bl w:val="nil"/>
                  </w:tcBorders>
                  <w:vAlign w:val="center"/>
                </w:tcPr>
                <w:p w14:paraId="3496FA8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59" w:type="pct"/>
                  <w:tcBorders>
                    <w:tl2br w:val="nil"/>
                    <w:tr2bl w:val="nil"/>
                  </w:tcBorders>
                  <w:vAlign w:val="center"/>
                </w:tcPr>
                <w:p w14:paraId="7B4B614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66</w:t>
                  </w:r>
                </w:p>
              </w:tc>
              <w:tc>
                <w:tcPr>
                  <w:tcW w:w="154" w:type="pct"/>
                  <w:tcBorders>
                    <w:tl2br w:val="nil"/>
                    <w:tr2bl w:val="nil"/>
                  </w:tcBorders>
                  <w:vAlign w:val="center"/>
                </w:tcPr>
                <w:p w14:paraId="1ACEF13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32</w:t>
                  </w:r>
                </w:p>
              </w:tc>
              <w:tc>
                <w:tcPr>
                  <w:tcW w:w="185" w:type="pct"/>
                  <w:tcBorders>
                    <w:tl2br w:val="nil"/>
                    <w:tr2bl w:val="nil"/>
                  </w:tcBorders>
                  <w:vAlign w:val="center"/>
                </w:tcPr>
                <w:p w14:paraId="3A10905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26.8 </w:t>
                  </w:r>
                </w:p>
              </w:tc>
              <w:tc>
                <w:tcPr>
                  <w:tcW w:w="174" w:type="pct"/>
                  <w:tcBorders>
                    <w:tl2br w:val="nil"/>
                    <w:tr2bl w:val="nil"/>
                  </w:tcBorders>
                  <w:vAlign w:val="center"/>
                </w:tcPr>
                <w:p w14:paraId="21C01F2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36.5 </w:t>
                  </w:r>
                </w:p>
              </w:tc>
              <w:tc>
                <w:tcPr>
                  <w:tcW w:w="163" w:type="pct"/>
                  <w:tcBorders>
                    <w:tl2br w:val="nil"/>
                    <w:tr2bl w:val="nil"/>
                  </w:tcBorders>
                  <w:vAlign w:val="center"/>
                </w:tcPr>
                <w:p w14:paraId="3E1E8EC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23.6 </w:t>
                  </w:r>
                </w:p>
              </w:tc>
              <w:tc>
                <w:tcPr>
                  <w:tcW w:w="182" w:type="pct"/>
                  <w:tcBorders>
                    <w:tl2br w:val="nil"/>
                    <w:tr2bl w:val="nil"/>
                  </w:tcBorders>
                  <w:vAlign w:val="center"/>
                </w:tcPr>
                <w:p w14:paraId="607BE60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29.9 </w:t>
                  </w:r>
                </w:p>
              </w:tc>
              <w:tc>
                <w:tcPr>
                  <w:tcW w:w="181" w:type="pct"/>
                  <w:vMerge w:val="continue"/>
                  <w:tcBorders>
                    <w:tl2br w:val="nil"/>
                    <w:tr2bl w:val="nil"/>
                  </w:tcBorders>
                  <w:vAlign w:val="center"/>
                </w:tcPr>
                <w:p w14:paraId="3CC12979">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A7A6A00">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1F2366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64D5404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4F57CE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0B34395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16.8 </w:t>
                  </w:r>
                </w:p>
              </w:tc>
              <w:tc>
                <w:tcPr>
                  <w:tcW w:w="159" w:type="pct"/>
                  <w:tcBorders>
                    <w:tl2br w:val="nil"/>
                    <w:tr2bl w:val="nil"/>
                  </w:tcBorders>
                  <w:vAlign w:val="center"/>
                </w:tcPr>
                <w:p w14:paraId="3F1A471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26.5 </w:t>
                  </w:r>
                </w:p>
              </w:tc>
              <w:tc>
                <w:tcPr>
                  <w:tcW w:w="152" w:type="pct"/>
                  <w:tcBorders>
                    <w:tl2br w:val="nil"/>
                    <w:tr2bl w:val="nil"/>
                  </w:tcBorders>
                  <w:vAlign w:val="center"/>
                </w:tcPr>
                <w:p w14:paraId="23155ED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13.6 </w:t>
                  </w:r>
                </w:p>
              </w:tc>
              <w:tc>
                <w:tcPr>
                  <w:tcW w:w="166" w:type="pct"/>
                  <w:tcBorders>
                    <w:tl2br w:val="nil"/>
                    <w:tr2bl w:val="nil"/>
                  </w:tcBorders>
                  <w:vAlign w:val="center"/>
                </w:tcPr>
                <w:p w14:paraId="3ABE730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19.9 </w:t>
                  </w:r>
                </w:p>
              </w:tc>
              <w:tc>
                <w:tcPr>
                  <w:tcW w:w="203" w:type="pct"/>
                  <w:tcBorders>
                    <w:tl2br w:val="nil"/>
                    <w:tr2bl w:val="nil"/>
                  </w:tcBorders>
                  <w:shd w:val="clear" w:color="auto" w:fill="auto"/>
                  <w:vAlign w:val="center"/>
                </w:tcPr>
                <w:p w14:paraId="4559592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3EDCA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65937D8">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2E668D9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1E727018">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皮带输送机</w:t>
                  </w:r>
                </w:p>
              </w:tc>
              <w:tc>
                <w:tcPr>
                  <w:tcW w:w="403" w:type="pct"/>
                  <w:tcBorders>
                    <w:tl2br w:val="nil"/>
                    <w:tr2bl w:val="nil"/>
                  </w:tcBorders>
                  <w:vAlign w:val="center"/>
                </w:tcPr>
                <w:p w14:paraId="744E3094">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9000*600</w:t>
                  </w:r>
                </w:p>
              </w:tc>
              <w:tc>
                <w:tcPr>
                  <w:tcW w:w="275" w:type="pct"/>
                  <w:tcBorders>
                    <w:tl2br w:val="nil"/>
                    <w:tr2bl w:val="nil"/>
                  </w:tcBorders>
                  <w:shd w:val="clear" w:color="auto" w:fill="auto"/>
                  <w:vAlign w:val="center"/>
                </w:tcPr>
                <w:p w14:paraId="34DF0BDD">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33D06F59">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058A479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282749A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64.5</w:t>
                  </w:r>
                </w:p>
              </w:tc>
              <w:tc>
                <w:tcPr>
                  <w:tcW w:w="159" w:type="pct"/>
                  <w:tcBorders>
                    <w:tl2br w:val="nil"/>
                    <w:tr2bl w:val="nil"/>
                  </w:tcBorders>
                  <w:vAlign w:val="center"/>
                </w:tcPr>
                <w:p w14:paraId="323B9EB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w:t>
                  </w:r>
                </w:p>
              </w:tc>
              <w:tc>
                <w:tcPr>
                  <w:tcW w:w="126" w:type="pct"/>
                  <w:tcBorders>
                    <w:tl2br w:val="nil"/>
                    <w:tr2bl w:val="nil"/>
                  </w:tcBorders>
                  <w:vAlign w:val="center"/>
                </w:tcPr>
                <w:p w14:paraId="31E7198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508189A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53.5</w:t>
                  </w:r>
                </w:p>
              </w:tc>
              <w:tc>
                <w:tcPr>
                  <w:tcW w:w="147" w:type="pct"/>
                  <w:tcBorders>
                    <w:tl2br w:val="nil"/>
                    <w:tr2bl w:val="nil"/>
                  </w:tcBorders>
                  <w:vAlign w:val="center"/>
                </w:tcPr>
                <w:p w14:paraId="0DA592A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w:t>
                  </w:r>
                </w:p>
              </w:tc>
              <w:tc>
                <w:tcPr>
                  <w:tcW w:w="159" w:type="pct"/>
                  <w:tcBorders>
                    <w:tl2br w:val="nil"/>
                    <w:tr2bl w:val="nil"/>
                  </w:tcBorders>
                  <w:vAlign w:val="center"/>
                </w:tcPr>
                <w:p w14:paraId="68215AA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64.5</w:t>
                  </w:r>
                </w:p>
              </w:tc>
              <w:tc>
                <w:tcPr>
                  <w:tcW w:w="154" w:type="pct"/>
                  <w:tcBorders>
                    <w:tl2br w:val="nil"/>
                    <w:tr2bl w:val="nil"/>
                  </w:tcBorders>
                  <w:vAlign w:val="center"/>
                </w:tcPr>
                <w:p w14:paraId="5426A47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34</w:t>
                  </w:r>
                </w:p>
              </w:tc>
              <w:tc>
                <w:tcPr>
                  <w:tcW w:w="185" w:type="pct"/>
                  <w:tcBorders>
                    <w:tl2br w:val="nil"/>
                    <w:tr2bl w:val="nil"/>
                  </w:tcBorders>
                  <w:vAlign w:val="center"/>
                </w:tcPr>
                <w:p w14:paraId="29F2410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25.4 </w:t>
                  </w:r>
                </w:p>
              </w:tc>
              <w:tc>
                <w:tcPr>
                  <w:tcW w:w="174" w:type="pct"/>
                  <w:tcBorders>
                    <w:tl2br w:val="nil"/>
                    <w:tr2bl w:val="nil"/>
                  </w:tcBorders>
                  <w:vAlign w:val="center"/>
                </w:tcPr>
                <w:p w14:paraId="28E707E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50.5 </w:t>
                  </w:r>
                </w:p>
              </w:tc>
              <w:tc>
                <w:tcPr>
                  <w:tcW w:w="163" w:type="pct"/>
                  <w:tcBorders>
                    <w:tl2br w:val="nil"/>
                    <w:tr2bl w:val="nil"/>
                  </w:tcBorders>
                  <w:vAlign w:val="center"/>
                </w:tcPr>
                <w:p w14:paraId="3B46152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23.8 </w:t>
                  </w:r>
                </w:p>
              </w:tc>
              <w:tc>
                <w:tcPr>
                  <w:tcW w:w="182" w:type="pct"/>
                  <w:tcBorders>
                    <w:tl2br w:val="nil"/>
                    <w:tr2bl w:val="nil"/>
                  </w:tcBorders>
                  <w:vAlign w:val="center"/>
                </w:tcPr>
                <w:p w14:paraId="47B7507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29.4 </w:t>
                  </w:r>
                </w:p>
              </w:tc>
              <w:tc>
                <w:tcPr>
                  <w:tcW w:w="181" w:type="pct"/>
                  <w:vMerge w:val="continue"/>
                  <w:tcBorders>
                    <w:tl2br w:val="nil"/>
                    <w:tr2bl w:val="nil"/>
                  </w:tcBorders>
                  <w:vAlign w:val="center"/>
                </w:tcPr>
                <w:p w14:paraId="0E5B1836">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4877ACDB">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B0B07F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D567D0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606A18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4AC8978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15.4 </w:t>
                  </w:r>
                </w:p>
              </w:tc>
              <w:tc>
                <w:tcPr>
                  <w:tcW w:w="159" w:type="pct"/>
                  <w:tcBorders>
                    <w:tl2br w:val="nil"/>
                    <w:tr2bl w:val="nil"/>
                  </w:tcBorders>
                  <w:vAlign w:val="center"/>
                </w:tcPr>
                <w:p w14:paraId="7D572A0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40.5 </w:t>
                  </w:r>
                </w:p>
              </w:tc>
              <w:tc>
                <w:tcPr>
                  <w:tcW w:w="152" w:type="pct"/>
                  <w:tcBorders>
                    <w:tl2br w:val="nil"/>
                    <w:tr2bl w:val="nil"/>
                  </w:tcBorders>
                  <w:vAlign w:val="center"/>
                </w:tcPr>
                <w:p w14:paraId="1C85B97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13.8 </w:t>
                  </w:r>
                </w:p>
              </w:tc>
              <w:tc>
                <w:tcPr>
                  <w:tcW w:w="166" w:type="pct"/>
                  <w:tcBorders>
                    <w:tl2br w:val="nil"/>
                    <w:tr2bl w:val="nil"/>
                  </w:tcBorders>
                  <w:vAlign w:val="center"/>
                </w:tcPr>
                <w:p w14:paraId="3253D15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19.4 </w:t>
                  </w:r>
                </w:p>
              </w:tc>
              <w:tc>
                <w:tcPr>
                  <w:tcW w:w="203" w:type="pct"/>
                  <w:tcBorders>
                    <w:tl2br w:val="nil"/>
                    <w:tr2bl w:val="nil"/>
                  </w:tcBorders>
                  <w:shd w:val="clear" w:color="auto" w:fill="auto"/>
                  <w:vAlign w:val="center"/>
                </w:tcPr>
                <w:p w14:paraId="1EFA07A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7A94F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E0FD2C0">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5DC89F6">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vAlign w:val="center"/>
                </w:tcPr>
                <w:p w14:paraId="354763B7">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烘干机</w:t>
                  </w:r>
                </w:p>
              </w:tc>
              <w:tc>
                <w:tcPr>
                  <w:tcW w:w="403" w:type="pct"/>
                  <w:tcBorders>
                    <w:tl2br w:val="nil"/>
                    <w:tr2bl w:val="nil"/>
                  </w:tcBorders>
                  <w:vAlign w:val="center"/>
                </w:tcPr>
                <w:p w14:paraId="64137A70">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YGHG2*20</w:t>
                  </w:r>
                </w:p>
              </w:tc>
              <w:tc>
                <w:tcPr>
                  <w:tcW w:w="275" w:type="pct"/>
                  <w:tcBorders>
                    <w:tl2br w:val="nil"/>
                    <w:tr2bl w:val="nil"/>
                  </w:tcBorders>
                  <w:shd w:val="clear" w:color="auto" w:fill="auto"/>
                  <w:vAlign w:val="center"/>
                </w:tcPr>
                <w:p w14:paraId="71FECEFE">
                  <w:pPr>
                    <w:pStyle w:val="43"/>
                    <w:adjustRightInd/>
                    <w:snapToGrid w:val="0"/>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80</w:t>
                  </w:r>
                  <w:r>
                    <w:rPr>
                      <w:rFonts w:hint="eastAsia" w:eastAsiaTheme="minorEastAsia"/>
                      <w:color w:val="000000" w:themeColor="text1"/>
                      <w:sz w:val="18"/>
                      <w:szCs w:val="18"/>
                      <w:lang w:eastAsia="en-US"/>
                    </w:rPr>
                    <w:t>/1m</w:t>
                  </w:r>
                </w:p>
              </w:tc>
              <w:tc>
                <w:tcPr>
                  <w:tcW w:w="185" w:type="pct"/>
                  <w:vMerge w:val="continue"/>
                  <w:tcBorders>
                    <w:tl2br w:val="nil"/>
                    <w:tr2bl w:val="nil"/>
                  </w:tcBorders>
                  <w:vAlign w:val="center"/>
                </w:tcPr>
                <w:p w14:paraId="7FEF1E14">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05A8849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402B5A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49.5</w:t>
                  </w:r>
                </w:p>
              </w:tc>
              <w:tc>
                <w:tcPr>
                  <w:tcW w:w="159" w:type="pct"/>
                  <w:tcBorders>
                    <w:tl2br w:val="nil"/>
                    <w:tr2bl w:val="nil"/>
                  </w:tcBorders>
                  <w:vAlign w:val="center"/>
                </w:tcPr>
                <w:p w14:paraId="4AA66D2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0.5</w:t>
                  </w:r>
                </w:p>
              </w:tc>
              <w:tc>
                <w:tcPr>
                  <w:tcW w:w="126" w:type="pct"/>
                  <w:tcBorders>
                    <w:tl2br w:val="nil"/>
                    <w:tr2bl w:val="nil"/>
                  </w:tcBorders>
                  <w:shd w:val="clear" w:color="auto" w:fill="auto"/>
                  <w:vAlign w:val="center"/>
                </w:tcPr>
                <w:p w14:paraId="4EE667A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26A57A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50.5</w:t>
                  </w:r>
                </w:p>
              </w:tc>
              <w:tc>
                <w:tcPr>
                  <w:tcW w:w="147" w:type="pct"/>
                  <w:tcBorders>
                    <w:tl2br w:val="nil"/>
                    <w:tr2bl w:val="nil"/>
                  </w:tcBorders>
                  <w:shd w:val="clear" w:color="auto" w:fill="auto"/>
                  <w:vAlign w:val="center"/>
                </w:tcPr>
                <w:p w14:paraId="7AE03D12">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0.5</w:t>
                  </w:r>
                </w:p>
              </w:tc>
              <w:tc>
                <w:tcPr>
                  <w:tcW w:w="159" w:type="pct"/>
                  <w:tcBorders>
                    <w:tl2br w:val="nil"/>
                    <w:tr2bl w:val="nil"/>
                  </w:tcBorders>
                  <w:vAlign w:val="center"/>
                </w:tcPr>
                <w:p w14:paraId="285A305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49.5</w:t>
                  </w:r>
                </w:p>
              </w:tc>
              <w:tc>
                <w:tcPr>
                  <w:tcW w:w="154" w:type="pct"/>
                  <w:tcBorders>
                    <w:tl2br w:val="nil"/>
                    <w:tr2bl w:val="nil"/>
                  </w:tcBorders>
                  <w:vAlign w:val="center"/>
                </w:tcPr>
                <w:p w14:paraId="66F72BB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44.5</w:t>
                  </w:r>
                </w:p>
              </w:tc>
              <w:tc>
                <w:tcPr>
                  <w:tcW w:w="185" w:type="pct"/>
                  <w:tcBorders>
                    <w:tl2br w:val="nil"/>
                    <w:tr2bl w:val="nil"/>
                  </w:tcBorders>
                  <w:vAlign w:val="center"/>
                </w:tcPr>
                <w:p w14:paraId="33E4674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35.9 </w:t>
                  </w:r>
                </w:p>
              </w:tc>
              <w:tc>
                <w:tcPr>
                  <w:tcW w:w="174" w:type="pct"/>
                  <w:tcBorders>
                    <w:tl2br w:val="nil"/>
                    <w:tr2bl w:val="nil"/>
                  </w:tcBorders>
                  <w:vAlign w:val="center"/>
                </w:tcPr>
                <w:p w14:paraId="1A81B2B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76.0 </w:t>
                  </w:r>
                </w:p>
              </w:tc>
              <w:tc>
                <w:tcPr>
                  <w:tcW w:w="163" w:type="pct"/>
                  <w:tcBorders>
                    <w:tl2br w:val="nil"/>
                    <w:tr2bl w:val="nil"/>
                  </w:tcBorders>
                  <w:vAlign w:val="center"/>
                </w:tcPr>
                <w:p w14:paraId="7A1407D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36.1 </w:t>
                  </w:r>
                </w:p>
              </w:tc>
              <w:tc>
                <w:tcPr>
                  <w:tcW w:w="182" w:type="pct"/>
                  <w:tcBorders>
                    <w:tl2br w:val="nil"/>
                    <w:tr2bl w:val="nil"/>
                  </w:tcBorders>
                  <w:vAlign w:val="center"/>
                </w:tcPr>
                <w:p w14:paraId="58E43AA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37.0 </w:t>
                  </w:r>
                </w:p>
              </w:tc>
              <w:tc>
                <w:tcPr>
                  <w:tcW w:w="181" w:type="pct"/>
                  <w:vMerge w:val="continue"/>
                  <w:tcBorders>
                    <w:tl2br w:val="nil"/>
                    <w:tr2bl w:val="nil"/>
                  </w:tcBorders>
                  <w:vAlign w:val="center"/>
                </w:tcPr>
                <w:p w14:paraId="3FA5E507">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A4F4AC2">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22F8472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6A36E44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6B7F11F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A1C5EF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25.9 </w:t>
                  </w:r>
                </w:p>
              </w:tc>
              <w:tc>
                <w:tcPr>
                  <w:tcW w:w="159" w:type="pct"/>
                  <w:tcBorders>
                    <w:tl2br w:val="nil"/>
                    <w:tr2bl w:val="nil"/>
                  </w:tcBorders>
                  <w:vAlign w:val="center"/>
                </w:tcPr>
                <w:p w14:paraId="6162508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66.0 </w:t>
                  </w:r>
                </w:p>
              </w:tc>
              <w:tc>
                <w:tcPr>
                  <w:tcW w:w="152" w:type="pct"/>
                  <w:tcBorders>
                    <w:tl2br w:val="nil"/>
                    <w:tr2bl w:val="nil"/>
                  </w:tcBorders>
                  <w:vAlign w:val="center"/>
                </w:tcPr>
                <w:p w14:paraId="7BCA598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26.1 </w:t>
                  </w:r>
                </w:p>
              </w:tc>
              <w:tc>
                <w:tcPr>
                  <w:tcW w:w="166" w:type="pct"/>
                  <w:tcBorders>
                    <w:tl2br w:val="nil"/>
                    <w:tr2bl w:val="nil"/>
                  </w:tcBorders>
                  <w:vAlign w:val="center"/>
                </w:tcPr>
                <w:p w14:paraId="54B6319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27.0 </w:t>
                  </w:r>
                </w:p>
              </w:tc>
              <w:tc>
                <w:tcPr>
                  <w:tcW w:w="203" w:type="pct"/>
                  <w:tcBorders>
                    <w:tl2br w:val="nil"/>
                    <w:tr2bl w:val="nil"/>
                  </w:tcBorders>
                  <w:shd w:val="clear" w:color="auto" w:fill="auto"/>
                  <w:vAlign w:val="center"/>
                </w:tcPr>
                <w:p w14:paraId="44482E7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7D30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7B1A9EF4">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037D72FF">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0ECB3FA">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绞龙</w:t>
                  </w:r>
                </w:p>
              </w:tc>
              <w:tc>
                <w:tcPr>
                  <w:tcW w:w="403" w:type="pct"/>
                  <w:tcBorders>
                    <w:tl2br w:val="nil"/>
                    <w:tr2bl w:val="nil"/>
                  </w:tcBorders>
                  <w:shd w:val="clear" w:color="auto" w:fill="auto"/>
                  <w:vAlign w:val="center"/>
                </w:tcPr>
                <w:p w14:paraId="0DE5F168">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Φ200*3m</w:t>
                  </w:r>
                </w:p>
              </w:tc>
              <w:tc>
                <w:tcPr>
                  <w:tcW w:w="275" w:type="pct"/>
                  <w:tcBorders>
                    <w:tl2br w:val="nil"/>
                    <w:tr2bl w:val="nil"/>
                  </w:tcBorders>
                  <w:shd w:val="clear" w:color="auto" w:fill="auto"/>
                  <w:vAlign w:val="center"/>
                </w:tcPr>
                <w:p w14:paraId="61ECC3A1">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149F085B">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3C0D60B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41B829F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67</w:t>
                  </w:r>
                </w:p>
              </w:tc>
              <w:tc>
                <w:tcPr>
                  <w:tcW w:w="159" w:type="pct"/>
                  <w:tcBorders>
                    <w:tl2br w:val="nil"/>
                    <w:tr2bl w:val="nil"/>
                  </w:tcBorders>
                  <w:vAlign w:val="center"/>
                </w:tcPr>
                <w:p w14:paraId="443B24A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5.5</w:t>
                  </w:r>
                </w:p>
              </w:tc>
              <w:tc>
                <w:tcPr>
                  <w:tcW w:w="126" w:type="pct"/>
                  <w:tcBorders>
                    <w:tl2br w:val="nil"/>
                    <w:tr2bl w:val="nil"/>
                  </w:tcBorders>
                  <w:shd w:val="clear" w:color="auto" w:fill="auto"/>
                  <w:vAlign w:val="center"/>
                </w:tcPr>
                <w:p w14:paraId="39B64CC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416A5FF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w:t>
                  </w:r>
                </w:p>
              </w:tc>
              <w:tc>
                <w:tcPr>
                  <w:tcW w:w="147" w:type="pct"/>
                  <w:tcBorders>
                    <w:tl2br w:val="nil"/>
                    <w:tr2bl w:val="nil"/>
                  </w:tcBorders>
                  <w:shd w:val="clear" w:color="auto" w:fill="auto"/>
                  <w:vAlign w:val="center"/>
                </w:tcPr>
                <w:p w14:paraId="75345641">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5.5</w:t>
                  </w:r>
                </w:p>
              </w:tc>
              <w:tc>
                <w:tcPr>
                  <w:tcW w:w="159" w:type="pct"/>
                  <w:tcBorders>
                    <w:tl2br w:val="nil"/>
                    <w:tr2bl w:val="nil"/>
                  </w:tcBorders>
                  <w:vAlign w:val="center"/>
                </w:tcPr>
                <w:p w14:paraId="0E1FEF2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67</w:t>
                  </w:r>
                </w:p>
              </w:tc>
              <w:tc>
                <w:tcPr>
                  <w:tcW w:w="154" w:type="pct"/>
                  <w:tcBorders>
                    <w:tl2br w:val="nil"/>
                    <w:tr2bl w:val="nil"/>
                  </w:tcBorders>
                  <w:vAlign w:val="center"/>
                </w:tcPr>
                <w:p w14:paraId="2CD9BB8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42</w:t>
                  </w:r>
                </w:p>
              </w:tc>
              <w:tc>
                <w:tcPr>
                  <w:tcW w:w="185" w:type="pct"/>
                  <w:tcBorders>
                    <w:tl2br w:val="nil"/>
                    <w:tr2bl w:val="nil"/>
                  </w:tcBorders>
                  <w:vAlign w:val="center"/>
                </w:tcPr>
                <w:p w14:paraId="46EDC34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26.2 </w:t>
                  </w:r>
                </w:p>
              </w:tc>
              <w:tc>
                <w:tcPr>
                  <w:tcW w:w="174" w:type="pct"/>
                  <w:tcBorders>
                    <w:tl2br w:val="nil"/>
                    <w:tr2bl w:val="nil"/>
                  </w:tcBorders>
                  <w:vAlign w:val="center"/>
                </w:tcPr>
                <w:p w14:paraId="78A9170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45.2 </w:t>
                  </w:r>
                </w:p>
              </w:tc>
              <w:tc>
                <w:tcPr>
                  <w:tcW w:w="163" w:type="pct"/>
                  <w:tcBorders>
                    <w:tl2br w:val="nil"/>
                    <w:tr2bl w:val="nil"/>
                  </w:tcBorders>
                  <w:vAlign w:val="center"/>
                </w:tcPr>
                <w:p w14:paraId="3F2149A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23.5 </w:t>
                  </w:r>
                </w:p>
              </w:tc>
              <w:tc>
                <w:tcPr>
                  <w:tcW w:w="182" w:type="pct"/>
                  <w:tcBorders>
                    <w:tl2br w:val="nil"/>
                    <w:tr2bl w:val="nil"/>
                  </w:tcBorders>
                  <w:vAlign w:val="center"/>
                </w:tcPr>
                <w:p w14:paraId="058FB31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27.5 </w:t>
                  </w:r>
                </w:p>
              </w:tc>
              <w:tc>
                <w:tcPr>
                  <w:tcW w:w="181" w:type="pct"/>
                  <w:vMerge w:val="continue"/>
                  <w:tcBorders>
                    <w:tl2br w:val="nil"/>
                    <w:tr2bl w:val="nil"/>
                  </w:tcBorders>
                  <w:vAlign w:val="center"/>
                </w:tcPr>
                <w:p w14:paraId="0897D3BC">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1B5F6552">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14C29B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6E359E9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1D6C43A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5DFDA6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16.2 </w:t>
                  </w:r>
                </w:p>
              </w:tc>
              <w:tc>
                <w:tcPr>
                  <w:tcW w:w="159" w:type="pct"/>
                  <w:tcBorders>
                    <w:tl2br w:val="nil"/>
                    <w:tr2bl w:val="nil"/>
                  </w:tcBorders>
                  <w:vAlign w:val="center"/>
                </w:tcPr>
                <w:p w14:paraId="1191F48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35.2 </w:t>
                  </w:r>
                </w:p>
              </w:tc>
              <w:tc>
                <w:tcPr>
                  <w:tcW w:w="152" w:type="pct"/>
                  <w:tcBorders>
                    <w:tl2br w:val="nil"/>
                    <w:tr2bl w:val="nil"/>
                  </w:tcBorders>
                  <w:vAlign w:val="center"/>
                </w:tcPr>
                <w:p w14:paraId="78AC446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13.5 </w:t>
                  </w:r>
                </w:p>
              </w:tc>
              <w:tc>
                <w:tcPr>
                  <w:tcW w:w="166" w:type="pct"/>
                  <w:tcBorders>
                    <w:tl2br w:val="nil"/>
                    <w:tr2bl w:val="nil"/>
                  </w:tcBorders>
                  <w:vAlign w:val="center"/>
                </w:tcPr>
                <w:p w14:paraId="5C54820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17.5 </w:t>
                  </w:r>
                </w:p>
              </w:tc>
              <w:tc>
                <w:tcPr>
                  <w:tcW w:w="203" w:type="pct"/>
                  <w:tcBorders>
                    <w:tl2br w:val="nil"/>
                    <w:tr2bl w:val="nil"/>
                  </w:tcBorders>
                  <w:shd w:val="clear" w:color="auto" w:fill="auto"/>
                  <w:vAlign w:val="center"/>
                </w:tcPr>
                <w:p w14:paraId="7164136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2D14CE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D95B5C6">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100765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7C4BEDCD">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斗提机</w:t>
                  </w:r>
                </w:p>
              </w:tc>
              <w:tc>
                <w:tcPr>
                  <w:tcW w:w="403" w:type="pct"/>
                  <w:tcBorders>
                    <w:tl2br w:val="nil"/>
                    <w:tr2bl w:val="nil"/>
                  </w:tcBorders>
                  <w:shd w:val="clear" w:color="auto" w:fill="auto"/>
                  <w:vAlign w:val="center"/>
                </w:tcPr>
                <w:p w14:paraId="065196E2">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YDTJ35</w:t>
                  </w:r>
                </w:p>
              </w:tc>
              <w:tc>
                <w:tcPr>
                  <w:tcW w:w="275" w:type="pct"/>
                  <w:tcBorders>
                    <w:tl2br w:val="nil"/>
                    <w:tr2bl w:val="nil"/>
                  </w:tcBorders>
                  <w:shd w:val="clear" w:color="auto" w:fill="auto"/>
                  <w:vAlign w:val="center"/>
                </w:tcPr>
                <w:p w14:paraId="59711B97">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75/1m</w:t>
                  </w:r>
                </w:p>
              </w:tc>
              <w:tc>
                <w:tcPr>
                  <w:tcW w:w="185" w:type="pct"/>
                  <w:vMerge w:val="continue"/>
                  <w:tcBorders>
                    <w:tl2br w:val="nil"/>
                    <w:tr2bl w:val="nil"/>
                  </w:tcBorders>
                  <w:vAlign w:val="center"/>
                </w:tcPr>
                <w:p w14:paraId="150ACE4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2106ED9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6562C1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68.5</w:t>
                  </w:r>
                </w:p>
              </w:tc>
              <w:tc>
                <w:tcPr>
                  <w:tcW w:w="159" w:type="pct"/>
                  <w:tcBorders>
                    <w:tl2br w:val="nil"/>
                    <w:tr2bl w:val="nil"/>
                  </w:tcBorders>
                  <w:vAlign w:val="center"/>
                </w:tcPr>
                <w:p w14:paraId="0F68497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w:t>
                  </w:r>
                </w:p>
              </w:tc>
              <w:tc>
                <w:tcPr>
                  <w:tcW w:w="126" w:type="pct"/>
                  <w:tcBorders>
                    <w:tl2br w:val="nil"/>
                    <w:tr2bl w:val="nil"/>
                  </w:tcBorders>
                  <w:shd w:val="clear" w:color="auto" w:fill="auto"/>
                  <w:vAlign w:val="center"/>
                </w:tcPr>
                <w:p w14:paraId="0C03A81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337E4EF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49</w:t>
                  </w:r>
                </w:p>
              </w:tc>
              <w:tc>
                <w:tcPr>
                  <w:tcW w:w="147" w:type="pct"/>
                  <w:tcBorders>
                    <w:tl2br w:val="nil"/>
                    <w:tr2bl w:val="nil"/>
                  </w:tcBorders>
                  <w:shd w:val="clear" w:color="auto" w:fill="auto"/>
                  <w:vAlign w:val="center"/>
                </w:tcPr>
                <w:p w14:paraId="5AF1D62A">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w:t>
                  </w:r>
                </w:p>
              </w:tc>
              <w:tc>
                <w:tcPr>
                  <w:tcW w:w="159" w:type="pct"/>
                  <w:tcBorders>
                    <w:tl2br w:val="nil"/>
                    <w:tr2bl w:val="nil"/>
                  </w:tcBorders>
                  <w:vAlign w:val="center"/>
                </w:tcPr>
                <w:p w14:paraId="40CA1A6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68.5</w:t>
                  </w:r>
                </w:p>
              </w:tc>
              <w:tc>
                <w:tcPr>
                  <w:tcW w:w="154" w:type="pct"/>
                  <w:tcBorders>
                    <w:tl2br w:val="nil"/>
                    <w:tr2bl w:val="nil"/>
                  </w:tcBorders>
                  <w:vAlign w:val="center"/>
                </w:tcPr>
                <w:p w14:paraId="784B2E2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42</w:t>
                  </w:r>
                </w:p>
              </w:tc>
              <w:tc>
                <w:tcPr>
                  <w:tcW w:w="185" w:type="pct"/>
                  <w:tcBorders>
                    <w:tl2br w:val="nil"/>
                    <w:tr2bl w:val="nil"/>
                  </w:tcBorders>
                  <w:vAlign w:val="center"/>
                </w:tcPr>
                <w:p w14:paraId="359B15A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31.2 </w:t>
                  </w:r>
                </w:p>
              </w:tc>
              <w:tc>
                <w:tcPr>
                  <w:tcW w:w="174" w:type="pct"/>
                  <w:tcBorders>
                    <w:tl2br w:val="nil"/>
                    <w:tr2bl w:val="nil"/>
                  </w:tcBorders>
                  <w:vAlign w:val="center"/>
                </w:tcPr>
                <w:p w14:paraId="3599CF3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53.0 </w:t>
                  </w:r>
                </w:p>
              </w:tc>
              <w:tc>
                <w:tcPr>
                  <w:tcW w:w="163" w:type="pct"/>
                  <w:tcBorders>
                    <w:tl2br w:val="nil"/>
                    <w:tr2bl w:val="nil"/>
                  </w:tcBorders>
                  <w:vAlign w:val="center"/>
                </w:tcPr>
                <w:p w14:paraId="7AB43B4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28.3 </w:t>
                  </w:r>
                </w:p>
              </w:tc>
              <w:tc>
                <w:tcPr>
                  <w:tcW w:w="182" w:type="pct"/>
                  <w:tcBorders>
                    <w:tl2br w:val="nil"/>
                    <w:tr2bl w:val="nil"/>
                  </w:tcBorders>
                  <w:vAlign w:val="center"/>
                </w:tcPr>
                <w:p w14:paraId="11C18FB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32.5 </w:t>
                  </w:r>
                </w:p>
              </w:tc>
              <w:tc>
                <w:tcPr>
                  <w:tcW w:w="181" w:type="pct"/>
                  <w:vMerge w:val="continue"/>
                  <w:tcBorders>
                    <w:tl2br w:val="nil"/>
                    <w:tr2bl w:val="nil"/>
                  </w:tcBorders>
                  <w:vAlign w:val="center"/>
                </w:tcPr>
                <w:p w14:paraId="5FB0D306">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551D6C42">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0E40241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A75BD6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845B49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661C208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21.2 </w:t>
                  </w:r>
                </w:p>
              </w:tc>
              <w:tc>
                <w:tcPr>
                  <w:tcW w:w="159" w:type="pct"/>
                  <w:tcBorders>
                    <w:tl2br w:val="nil"/>
                    <w:tr2bl w:val="nil"/>
                  </w:tcBorders>
                  <w:vAlign w:val="center"/>
                </w:tcPr>
                <w:p w14:paraId="1F09DCA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43.0 </w:t>
                  </w:r>
                </w:p>
              </w:tc>
              <w:tc>
                <w:tcPr>
                  <w:tcW w:w="152" w:type="pct"/>
                  <w:tcBorders>
                    <w:tl2br w:val="nil"/>
                    <w:tr2bl w:val="nil"/>
                  </w:tcBorders>
                  <w:vAlign w:val="center"/>
                </w:tcPr>
                <w:p w14:paraId="396ED64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18.3 </w:t>
                  </w:r>
                </w:p>
              </w:tc>
              <w:tc>
                <w:tcPr>
                  <w:tcW w:w="166" w:type="pct"/>
                  <w:tcBorders>
                    <w:tl2br w:val="nil"/>
                    <w:tr2bl w:val="nil"/>
                  </w:tcBorders>
                  <w:vAlign w:val="center"/>
                </w:tcPr>
                <w:p w14:paraId="283A083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22.5 </w:t>
                  </w:r>
                </w:p>
              </w:tc>
              <w:tc>
                <w:tcPr>
                  <w:tcW w:w="203" w:type="pct"/>
                  <w:tcBorders>
                    <w:tl2br w:val="nil"/>
                    <w:tr2bl w:val="nil"/>
                  </w:tcBorders>
                  <w:shd w:val="clear" w:color="auto" w:fill="auto"/>
                  <w:vAlign w:val="center"/>
                </w:tcPr>
                <w:p w14:paraId="43BA0DB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0DB583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F2E5C07">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F424EB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7324669D">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砂石分离器</w:t>
                  </w:r>
                </w:p>
              </w:tc>
              <w:tc>
                <w:tcPr>
                  <w:tcW w:w="403" w:type="pct"/>
                  <w:tcBorders>
                    <w:tl2br w:val="nil"/>
                    <w:tr2bl w:val="nil"/>
                  </w:tcBorders>
                  <w:shd w:val="clear" w:color="auto" w:fill="auto"/>
                  <w:vAlign w:val="center"/>
                </w:tcPr>
                <w:p w14:paraId="064BA69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Φ1200*2m</w:t>
                  </w:r>
                </w:p>
              </w:tc>
              <w:tc>
                <w:tcPr>
                  <w:tcW w:w="275" w:type="pct"/>
                  <w:tcBorders>
                    <w:tl2br w:val="nil"/>
                    <w:tr2bl w:val="nil"/>
                  </w:tcBorders>
                  <w:shd w:val="clear" w:color="auto" w:fill="auto"/>
                  <w:vAlign w:val="center"/>
                </w:tcPr>
                <w:p w14:paraId="0C855B62">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690300BD">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vAlign w:val="center"/>
                </w:tcPr>
                <w:p w14:paraId="686862D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36A42FD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46.5</w:t>
                  </w:r>
                </w:p>
              </w:tc>
              <w:tc>
                <w:tcPr>
                  <w:tcW w:w="159" w:type="pct"/>
                  <w:tcBorders>
                    <w:tl2br w:val="nil"/>
                    <w:tr2bl w:val="nil"/>
                  </w:tcBorders>
                  <w:vAlign w:val="center"/>
                </w:tcPr>
                <w:p w14:paraId="3384190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w:t>
                  </w:r>
                </w:p>
              </w:tc>
              <w:tc>
                <w:tcPr>
                  <w:tcW w:w="126" w:type="pct"/>
                  <w:tcBorders>
                    <w:tl2br w:val="nil"/>
                    <w:tr2bl w:val="nil"/>
                  </w:tcBorders>
                  <w:shd w:val="clear" w:color="auto" w:fill="auto"/>
                  <w:vAlign w:val="center"/>
                </w:tcPr>
                <w:p w14:paraId="4EF3011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477EC36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69</w:t>
                  </w:r>
                </w:p>
              </w:tc>
              <w:tc>
                <w:tcPr>
                  <w:tcW w:w="147" w:type="pct"/>
                  <w:tcBorders>
                    <w:tl2br w:val="nil"/>
                    <w:tr2bl w:val="nil"/>
                  </w:tcBorders>
                  <w:shd w:val="clear" w:color="auto" w:fill="auto"/>
                  <w:vAlign w:val="center"/>
                </w:tcPr>
                <w:p w14:paraId="70C0F4EB">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3</w:t>
                  </w:r>
                </w:p>
              </w:tc>
              <w:tc>
                <w:tcPr>
                  <w:tcW w:w="159" w:type="pct"/>
                  <w:tcBorders>
                    <w:tl2br w:val="nil"/>
                    <w:tr2bl w:val="nil"/>
                  </w:tcBorders>
                  <w:vAlign w:val="center"/>
                </w:tcPr>
                <w:p w14:paraId="2922D90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46.5</w:t>
                  </w:r>
                </w:p>
              </w:tc>
              <w:tc>
                <w:tcPr>
                  <w:tcW w:w="154" w:type="pct"/>
                  <w:tcBorders>
                    <w:tl2br w:val="nil"/>
                    <w:tr2bl w:val="nil"/>
                  </w:tcBorders>
                  <w:vAlign w:val="center"/>
                </w:tcPr>
                <w:p w14:paraId="273F8F9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w:t>
                  </w:r>
                </w:p>
              </w:tc>
              <w:tc>
                <w:tcPr>
                  <w:tcW w:w="185" w:type="pct"/>
                  <w:tcBorders>
                    <w:tl2br w:val="nil"/>
                    <w:tr2bl w:val="nil"/>
                  </w:tcBorders>
                  <w:vAlign w:val="center"/>
                </w:tcPr>
                <w:p w14:paraId="22CCFF1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38.2 </w:t>
                  </w:r>
                </w:p>
              </w:tc>
              <w:tc>
                <w:tcPr>
                  <w:tcW w:w="174" w:type="pct"/>
                  <w:tcBorders>
                    <w:tl2br w:val="nil"/>
                    <w:tr2bl w:val="nil"/>
                  </w:tcBorders>
                  <w:vAlign w:val="center"/>
                </w:tcPr>
                <w:p w14:paraId="03B7A5E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65.5 </w:t>
                  </w:r>
                </w:p>
              </w:tc>
              <w:tc>
                <w:tcPr>
                  <w:tcW w:w="163" w:type="pct"/>
                  <w:tcBorders>
                    <w:tl2br w:val="nil"/>
                    <w:tr2bl w:val="nil"/>
                  </w:tcBorders>
                  <w:vAlign w:val="center"/>
                </w:tcPr>
                <w:p w14:paraId="3029308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41.7 </w:t>
                  </w:r>
                </w:p>
              </w:tc>
              <w:tc>
                <w:tcPr>
                  <w:tcW w:w="182" w:type="pct"/>
                  <w:tcBorders>
                    <w:tl2br w:val="nil"/>
                    <w:tr2bl w:val="nil"/>
                  </w:tcBorders>
                  <w:vAlign w:val="center"/>
                </w:tcPr>
                <w:p w14:paraId="3A5EA13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42.7 </w:t>
                  </w:r>
                </w:p>
              </w:tc>
              <w:tc>
                <w:tcPr>
                  <w:tcW w:w="181" w:type="pct"/>
                  <w:vMerge w:val="continue"/>
                  <w:tcBorders>
                    <w:tl2br w:val="nil"/>
                    <w:tr2bl w:val="nil"/>
                  </w:tcBorders>
                  <w:vAlign w:val="center"/>
                </w:tcPr>
                <w:p w14:paraId="57AC0BE7">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EE9B5FE">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22AC692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39371FA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6BA90FB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052A7B9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28.2 </w:t>
                  </w:r>
                </w:p>
              </w:tc>
              <w:tc>
                <w:tcPr>
                  <w:tcW w:w="159" w:type="pct"/>
                  <w:tcBorders>
                    <w:tl2br w:val="nil"/>
                    <w:tr2bl w:val="nil"/>
                  </w:tcBorders>
                  <w:vAlign w:val="center"/>
                </w:tcPr>
                <w:p w14:paraId="2C5443B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55.5 </w:t>
                  </w:r>
                </w:p>
              </w:tc>
              <w:tc>
                <w:tcPr>
                  <w:tcW w:w="152" w:type="pct"/>
                  <w:tcBorders>
                    <w:tl2br w:val="nil"/>
                    <w:tr2bl w:val="nil"/>
                  </w:tcBorders>
                  <w:vAlign w:val="center"/>
                </w:tcPr>
                <w:p w14:paraId="0B380AF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31.7 </w:t>
                  </w:r>
                </w:p>
              </w:tc>
              <w:tc>
                <w:tcPr>
                  <w:tcW w:w="166" w:type="pct"/>
                  <w:tcBorders>
                    <w:tl2br w:val="nil"/>
                    <w:tr2bl w:val="nil"/>
                  </w:tcBorders>
                  <w:vAlign w:val="center"/>
                </w:tcPr>
                <w:p w14:paraId="21B1CB2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32.7 </w:t>
                  </w:r>
                </w:p>
              </w:tc>
              <w:tc>
                <w:tcPr>
                  <w:tcW w:w="203" w:type="pct"/>
                  <w:tcBorders>
                    <w:tl2br w:val="nil"/>
                    <w:tr2bl w:val="nil"/>
                  </w:tcBorders>
                  <w:shd w:val="clear" w:color="auto" w:fill="auto"/>
                  <w:vAlign w:val="center"/>
                </w:tcPr>
                <w:p w14:paraId="2D7EA2F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0570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331C883">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20A0B2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5B8D225A">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217895E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YPSJ80B</w:t>
                  </w:r>
                </w:p>
              </w:tc>
              <w:tc>
                <w:tcPr>
                  <w:tcW w:w="275" w:type="pct"/>
                  <w:tcBorders>
                    <w:tl2br w:val="nil"/>
                    <w:tr2bl w:val="nil"/>
                  </w:tcBorders>
                  <w:shd w:val="clear" w:color="auto" w:fill="auto"/>
                  <w:vAlign w:val="center"/>
                </w:tcPr>
                <w:p w14:paraId="7D12FCC1">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45991CB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3A1DFBA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0AD3B58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w:t>
                  </w:r>
                </w:p>
              </w:tc>
              <w:tc>
                <w:tcPr>
                  <w:tcW w:w="159" w:type="pct"/>
                  <w:tcBorders>
                    <w:tl2br w:val="nil"/>
                    <w:tr2bl w:val="nil"/>
                  </w:tcBorders>
                  <w:vAlign w:val="center"/>
                </w:tcPr>
                <w:p w14:paraId="445A409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62</w:t>
                  </w:r>
                </w:p>
              </w:tc>
              <w:tc>
                <w:tcPr>
                  <w:tcW w:w="126" w:type="pct"/>
                  <w:tcBorders>
                    <w:tl2br w:val="nil"/>
                    <w:tr2bl w:val="nil"/>
                  </w:tcBorders>
                  <w:shd w:val="clear" w:color="auto" w:fill="auto"/>
                  <w:vAlign w:val="center"/>
                </w:tcPr>
                <w:p w14:paraId="6B74DBC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540CBB4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72</w:t>
                  </w:r>
                </w:p>
              </w:tc>
              <w:tc>
                <w:tcPr>
                  <w:tcW w:w="147" w:type="pct"/>
                  <w:tcBorders>
                    <w:tl2br w:val="nil"/>
                    <w:tr2bl w:val="nil"/>
                  </w:tcBorders>
                  <w:vAlign w:val="center"/>
                </w:tcPr>
                <w:p w14:paraId="0AE6FA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62</w:t>
                  </w:r>
                </w:p>
              </w:tc>
              <w:tc>
                <w:tcPr>
                  <w:tcW w:w="159" w:type="pct"/>
                  <w:tcBorders>
                    <w:tl2br w:val="nil"/>
                    <w:tr2bl w:val="nil"/>
                  </w:tcBorders>
                  <w:shd w:val="clear" w:color="auto" w:fill="auto"/>
                  <w:vAlign w:val="center"/>
                </w:tcPr>
                <w:p w14:paraId="105FAD6D">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44</w:t>
                  </w:r>
                </w:p>
              </w:tc>
              <w:tc>
                <w:tcPr>
                  <w:tcW w:w="154" w:type="pct"/>
                  <w:tcBorders>
                    <w:tl2br w:val="nil"/>
                    <w:tr2bl w:val="nil"/>
                  </w:tcBorders>
                  <w:vAlign w:val="center"/>
                </w:tcPr>
                <w:p w14:paraId="732A013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41.5</w:t>
                  </w:r>
                </w:p>
              </w:tc>
              <w:tc>
                <w:tcPr>
                  <w:tcW w:w="185" w:type="pct"/>
                  <w:tcBorders>
                    <w:tl2br w:val="nil"/>
                    <w:tr2bl w:val="nil"/>
                  </w:tcBorders>
                  <w:vAlign w:val="center"/>
                </w:tcPr>
                <w:p w14:paraId="1935DCB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22.9 </w:t>
                  </w:r>
                </w:p>
              </w:tc>
              <w:tc>
                <w:tcPr>
                  <w:tcW w:w="174" w:type="pct"/>
                  <w:tcBorders>
                    <w:tl2br w:val="nil"/>
                    <w:tr2bl w:val="nil"/>
                  </w:tcBorders>
                  <w:vAlign w:val="center"/>
                </w:tcPr>
                <w:p w14:paraId="62934CA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24.2 </w:t>
                  </w:r>
                </w:p>
              </w:tc>
              <w:tc>
                <w:tcPr>
                  <w:tcW w:w="163" w:type="pct"/>
                  <w:tcBorders>
                    <w:tl2br w:val="nil"/>
                    <w:tr2bl w:val="nil"/>
                  </w:tcBorders>
                  <w:vAlign w:val="center"/>
                </w:tcPr>
                <w:p w14:paraId="6CE3B42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27.1 </w:t>
                  </w:r>
                </w:p>
              </w:tc>
              <w:tc>
                <w:tcPr>
                  <w:tcW w:w="182" w:type="pct"/>
                  <w:tcBorders>
                    <w:tl2br w:val="nil"/>
                    <w:tr2bl w:val="nil"/>
                  </w:tcBorders>
                  <w:vAlign w:val="center"/>
                </w:tcPr>
                <w:p w14:paraId="0E4E9F0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27.6 </w:t>
                  </w:r>
                </w:p>
              </w:tc>
              <w:tc>
                <w:tcPr>
                  <w:tcW w:w="181" w:type="pct"/>
                  <w:vMerge w:val="continue"/>
                  <w:tcBorders>
                    <w:tl2br w:val="nil"/>
                    <w:tr2bl w:val="nil"/>
                  </w:tcBorders>
                  <w:vAlign w:val="center"/>
                </w:tcPr>
                <w:p w14:paraId="7EB7744A">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4999B851">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1A5E454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17F42A1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3B6659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0F8E1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12.9 </w:t>
                  </w:r>
                </w:p>
              </w:tc>
              <w:tc>
                <w:tcPr>
                  <w:tcW w:w="159" w:type="pct"/>
                  <w:tcBorders>
                    <w:tl2br w:val="nil"/>
                    <w:tr2bl w:val="nil"/>
                  </w:tcBorders>
                  <w:vAlign w:val="center"/>
                </w:tcPr>
                <w:p w14:paraId="04D8080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14.2 </w:t>
                  </w:r>
                </w:p>
              </w:tc>
              <w:tc>
                <w:tcPr>
                  <w:tcW w:w="152" w:type="pct"/>
                  <w:tcBorders>
                    <w:tl2br w:val="nil"/>
                    <w:tr2bl w:val="nil"/>
                  </w:tcBorders>
                  <w:vAlign w:val="center"/>
                </w:tcPr>
                <w:p w14:paraId="61E9AAE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17.1 </w:t>
                  </w:r>
                </w:p>
              </w:tc>
              <w:tc>
                <w:tcPr>
                  <w:tcW w:w="166" w:type="pct"/>
                  <w:tcBorders>
                    <w:tl2br w:val="nil"/>
                    <w:tr2bl w:val="nil"/>
                  </w:tcBorders>
                  <w:vAlign w:val="center"/>
                </w:tcPr>
                <w:p w14:paraId="51D9D9A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17.6 </w:t>
                  </w:r>
                </w:p>
              </w:tc>
              <w:tc>
                <w:tcPr>
                  <w:tcW w:w="203" w:type="pct"/>
                  <w:tcBorders>
                    <w:tl2br w:val="nil"/>
                    <w:tr2bl w:val="nil"/>
                  </w:tcBorders>
                  <w:shd w:val="clear" w:color="auto" w:fill="auto"/>
                  <w:vAlign w:val="center"/>
                </w:tcPr>
                <w:p w14:paraId="41FDE1D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DDC2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041A7006">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8DA13A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6A63A7EA">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3DD5AF6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YPSJ80B</w:t>
                  </w:r>
                </w:p>
              </w:tc>
              <w:tc>
                <w:tcPr>
                  <w:tcW w:w="275" w:type="pct"/>
                  <w:tcBorders>
                    <w:tl2br w:val="nil"/>
                    <w:tr2bl w:val="nil"/>
                  </w:tcBorders>
                  <w:shd w:val="clear" w:color="auto" w:fill="auto"/>
                  <w:vAlign w:val="center"/>
                </w:tcPr>
                <w:p w14:paraId="5FA0251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0185CDC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7E3A937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0230168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28.5</w:t>
                  </w:r>
                </w:p>
              </w:tc>
              <w:tc>
                <w:tcPr>
                  <w:tcW w:w="159" w:type="pct"/>
                  <w:tcBorders>
                    <w:tl2br w:val="nil"/>
                    <w:tr2bl w:val="nil"/>
                  </w:tcBorders>
                  <w:vAlign w:val="center"/>
                </w:tcPr>
                <w:p w14:paraId="778601A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w:t>
                  </w:r>
                </w:p>
              </w:tc>
              <w:tc>
                <w:tcPr>
                  <w:tcW w:w="126" w:type="pct"/>
                  <w:tcBorders>
                    <w:tl2br w:val="nil"/>
                    <w:tr2bl w:val="nil"/>
                  </w:tcBorders>
                  <w:shd w:val="clear" w:color="auto" w:fill="auto"/>
                  <w:vAlign w:val="center"/>
                </w:tcPr>
                <w:p w14:paraId="36C274C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38F1517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81</w:t>
                  </w:r>
                </w:p>
              </w:tc>
              <w:tc>
                <w:tcPr>
                  <w:tcW w:w="147" w:type="pct"/>
                  <w:tcBorders>
                    <w:tl2br w:val="nil"/>
                    <w:tr2bl w:val="nil"/>
                  </w:tcBorders>
                  <w:vAlign w:val="center"/>
                </w:tcPr>
                <w:p w14:paraId="2722F5A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w:t>
                  </w:r>
                </w:p>
              </w:tc>
              <w:tc>
                <w:tcPr>
                  <w:tcW w:w="159" w:type="pct"/>
                  <w:tcBorders>
                    <w:tl2br w:val="nil"/>
                    <w:tr2bl w:val="nil"/>
                  </w:tcBorders>
                  <w:shd w:val="clear" w:color="auto" w:fill="auto"/>
                  <w:vAlign w:val="center"/>
                </w:tcPr>
                <w:p w14:paraId="76909077">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28.5</w:t>
                  </w:r>
                </w:p>
              </w:tc>
              <w:tc>
                <w:tcPr>
                  <w:tcW w:w="154" w:type="pct"/>
                  <w:tcBorders>
                    <w:tl2br w:val="nil"/>
                    <w:tr2bl w:val="nil"/>
                  </w:tcBorders>
                  <w:vAlign w:val="center"/>
                </w:tcPr>
                <w:p w14:paraId="464F3B9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40.5</w:t>
                  </w:r>
                </w:p>
              </w:tc>
              <w:tc>
                <w:tcPr>
                  <w:tcW w:w="185" w:type="pct"/>
                  <w:tcBorders>
                    <w:tl2br w:val="nil"/>
                    <w:tr2bl w:val="nil"/>
                  </w:tcBorders>
                  <w:vAlign w:val="center"/>
                </w:tcPr>
                <w:p w14:paraId="4317BE3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21.8 </w:t>
                  </w:r>
                </w:p>
              </w:tc>
              <w:tc>
                <w:tcPr>
                  <w:tcW w:w="174" w:type="pct"/>
                  <w:tcBorders>
                    <w:tl2br w:val="nil"/>
                    <w:tr2bl w:val="nil"/>
                  </w:tcBorders>
                  <w:vAlign w:val="center"/>
                </w:tcPr>
                <w:p w14:paraId="668CBFC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43.1 </w:t>
                  </w:r>
                </w:p>
              </w:tc>
              <w:tc>
                <w:tcPr>
                  <w:tcW w:w="163" w:type="pct"/>
                  <w:tcBorders>
                    <w:tl2br w:val="nil"/>
                    <w:tr2bl w:val="nil"/>
                  </w:tcBorders>
                  <w:vAlign w:val="center"/>
                </w:tcPr>
                <w:p w14:paraId="60BC726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82" w:type="pct"/>
                  <w:tcBorders>
                    <w:tl2br w:val="nil"/>
                    <w:tr2bl w:val="nil"/>
                  </w:tcBorders>
                  <w:vAlign w:val="center"/>
                </w:tcPr>
                <w:p w14:paraId="2FFD1F0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27.9 </w:t>
                  </w:r>
                </w:p>
              </w:tc>
              <w:tc>
                <w:tcPr>
                  <w:tcW w:w="181" w:type="pct"/>
                  <w:vMerge w:val="continue"/>
                  <w:tcBorders>
                    <w:tl2br w:val="nil"/>
                    <w:tr2bl w:val="nil"/>
                  </w:tcBorders>
                  <w:vAlign w:val="center"/>
                </w:tcPr>
                <w:p w14:paraId="5DA70AF2">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BD4E28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5E059DA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0D12D48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000729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53A24B0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11.8 </w:t>
                  </w:r>
                </w:p>
              </w:tc>
              <w:tc>
                <w:tcPr>
                  <w:tcW w:w="159" w:type="pct"/>
                  <w:tcBorders>
                    <w:tl2br w:val="nil"/>
                    <w:tr2bl w:val="nil"/>
                  </w:tcBorders>
                  <w:vAlign w:val="center"/>
                </w:tcPr>
                <w:p w14:paraId="7CC99AF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33.1 </w:t>
                  </w:r>
                </w:p>
              </w:tc>
              <w:tc>
                <w:tcPr>
                  <w:tcW w:w="152" w:type="pct"/>
                  <w:tcBorders>
                    <w:tl2br w:val="nil"/>
                    <w:tr2bl w:val="nil"/>
                  </w:tcBorders>
                  <w:vAlign w:val="center"/>
                </w:tcPr>
                <w:p w14:paraId="5A0D4F5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66" w:type="pct"/>
                  <w:tcBorders>
                    <w:tl2br w:val="nil"/>
                    <w:tr2bl w:val="nil"/>
                  </w:tcBorders>
                  <w:vAlign w:val="center"/>
                </w:tcPr>
                <w:p w14:paraId="79F4972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17.9 </w:t>
                  </w:r>
                </w:p>
              </w:tc>
              <w:tc>
                <w:tcPr>
                  <w:tcW w:w="203" w:type="pct"/>
                  <w:tcBorders>
                    <w:tl2br w:val="nil"/>
                    <w:tr2bl w:val="nil"/>
                  </w:tcBorders>
                  <w:shd w:val="clear" w:color="auto" w:fill="auto"/>
                  <w:vAlign w:val="center"/>
                </w:tcPr>
                <w:p w14:paraId="1535FEE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1C1693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7DA98E4A">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729AAFFD">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42506A9C">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47AF19A3">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3B0FD290">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19290BF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53155FB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1DB234B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2F4A7BA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9.5</w:t>
                  </w:r>
                </w:p>
              </w:tc>
              <w:tc>
                <w:tcPr>
                  <w:tcW w:w="126" w:type="pct"/>
                  <w:tcBorders>
                    <w:tl2br w:val="nil"/>
                    <w:tr2bl w:val="nil"/>
                  </w:tcBorders>
                  <w:shd w:val="clear" w:color="auto" w:fill="auto"/>
                  <w:vAlign w:val="center"/>
                </w:tcPr>
                <w:p w14:paraId="0B132F1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7E12F8D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vAlign w:val="center"/>
                </w:tcPr>
                <w:p w14:paraId="4AF1768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9.5</w:t>
                  </w:r>
                </w:p>
              </w:tc>
              <w:tc>
                <w:tcPr>
                  <w:tcW w:w="159" w:type="pct"/>
                  <w:tcBorders>
                    <w:tl2br w:val="nil"/>
                    <w:tr2bl w:val="nil"/>
                  </w:tcBorders>
                  <w:shd w:val="clear" w:color="auto" w:fill="auto"/>
                  <w:vAlign w:val="center"/>
                </w:tcPr>
                <w:p w14:paraId="06B7D1A0">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4C89C3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35.5</w:t>
                  </w:r>
                </w:p>
              </w:tc>
              <w:tc>
                <w:tcPr>
                  <w:tcW w:w="185" w:type="pct"/>
                  <w:tcBorders>
                    <w:tl2br w:val="nil"/>
                    <w:tr2bl w:val="nil"/>
                  </w:tcBorders>
                  <w:vAlign w:val="center"/>
                </w:tcPr>
                <w:p w14:paraId="2DB088C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166C223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50.4 </w:t>
                  </w:r>
                </w:p>
              </w:tc>
              <w:tc>
                <w:tcPr>
                  <w:tcW w:w="163" w:type="pct"/>
                  <w:tcBorders>
                    <w:tl2br w:val="nil"/>
                    <w:tr2bl w:val="nil"/>
                  </w:tcBorders>
                  <w:vAlign w:val="center"/>
                </w:tcPr>
                <w:p w14:paraId="2E6775E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0AE7E1B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39.0 </w:t>
                  </w:r>
                </w:p>
              </w:tc>
              <w:tc>
                <w:tcPr>
                  <w:tcW w:w="181" w:type="pct"/>
                  <w:vMerge w:val="continue"/>
                  <w:tcBorders>
                    <w:tl2br w:val="nil"/>
                    <w:tr2bl w:val="nil"/>
                  </w:tcBorders>
                  <w:vAlign w:val="center"/>
                </w:tcPr>
                <w:p w14:paraId="75E58882">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23728142">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721200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5D39A58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07339F6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29A2F5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4398BCB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40.4 </w:t>
                  </w:r>
                </w:p>
              </w:tc>
              <w:tc>
                <w:tcPr>
                  <w:tcW w:w="152" w:type="pct"/>
                  <w:tcBorders>
                    <w:tl2br w:val="nil"/>
                    <w:tr2bl w:val="nil"/>
                  </w:tcBorders>
                  <w:vAlign w:val="center"/>
                </w:tcPr>
                <w:p w14:paraId="09610FA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65954BB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29.0 </w:t>
                  </w:r>
                </w:p>
              </w:tc>
              <w:tc>
                <w:tcPr>
                  <w:tcW w:w="203" w:type="pct"/>
                  <w:tcBorders>
                    <w:tl2br w:val="nil"/>
                    <w:tr2bl w:val="nil"/>
                  </w:tcBorders>
                  <w:shd w:val="clear" w:color="auto" w:fill="auto"/>
                  <w:vAlign w:val="center"/>
                </w:tcPr>
                <w:p w14:paraId="52444DE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1B31F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204496FE">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E32536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63409E07">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4B99C2A0">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182FA137">
                  <w:pPr>
                    <w:pStyle w:val="43"/>
                    <w:adjustRightInd/>
                    <w:snapToGrid w:val="0"/>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80</w:t>
                  </w:r>
                  <w:r>
                    <w:rPr>
                      <w:rFonts w:hint="eastAsia" w:eastAsiaTheme="minorEastAsia"/>
                      <w:color w:val="000000" w:themeColor="text1"/>
                      <w:sz w:val="18"/>
                      <w:szCs w:val="18"/>
                      <w:lang w:eastAsia="en-US"/>
                    </w:rPr>
                    <w:t>/1m</w:t>
                  </w:r>
                </w:p>
              </w:tc>
              <w:tc>
                <w:tcPr>
                  <w:tcW w:w="185" w:type="pct"/>
                  <w:vMerge w:val="continue"/>
                  <w:tcBorders>
                    <w:tl2br w:val="nil"/>
                    <w:tr2bl w:val="nil"/>
                  </w:tcBorders>
                  <w:vAlign w:val="center"/>
                </w:tcPr>
                <w:p w14:paraId="63A045F2">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7D67763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121F42B3">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1DAA8DE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6.5</w:t>
                  </w:r>
                </w:p>
              </w:tc>
              <w:tc>
                <w:tcPr>
                  <w:tcW w:w="126" w:type="pct"/>
                  <w:tcBorders>
                    <w:tl2br w:val="nil"/>
                    <w:tr2bl w:val="nil"/>
                  </w:tcBorders>
                  <w:shd w:val="clear" w:color="auto" w:fill="auto"/>
                  <w:vAlign w:val="center"/>
                </w:tcPr>
                <w:p w14:paraId="5927C46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FB90B6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vAlign w:val="center"/>
                </w:tcPr>
                <w:p w14:paraId="20459FC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6.5</w:t>
                  </w:r>
                </w:p>
              </w:tc>
              <w:tc>
                <w:tcPr>
                  <w:tcW w:w="159" w:type="pct"/>
                  <w:tcBorders>
                    <w:tl2br w:val="nil"/>
                    <w:tr2bl w:val="nil"/>
                  </w:tcBorders>
                  <w:shd w:val="clear" w:color="auto" w:fill="auto"/>
                  <w:vAlign w:val="center"/>
                </w:tcPr>
                <w:p w14:paraId="45C82351">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34606EF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38.5</w:t>
                  </w:r>
                </w:p>
              </w:tc>
              <w:tc>
                <w:tcPr>
                  <w:tcW w:w="185" w:type="pct"/>
                  <w:tcBorders>
                    <w:tl2br w:val="nil"/>
                    <w:tr2bl w:val="nil"/>
                  </w:tcBorders>
                  <w:vAlign w:val="center"/>
                </w:tcPr>
                <w:p w14:paraId="24B851D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2A18B9F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53.7 </w:t>
                  </w:r>
                </w:p>
              </w:tc>
              <w:tc>
                <w:tcPr>
                  <w:tcW w:w="163" w:type="pct"/>
                  <w:tcBorders>
                    <w:tl2br w:val="nil"/>
                    <w:tr2bl w:val="nil"/>
                  </w:tcBorders>
                  <w:vAlign w:val="center"/>
                </w:tcPr>
                <w:p w14:paraId="6E4AF22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7D8EFFE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38.3 </w:t>
                  </w:r>
                </w:p>
              </w:tc>
              <w:tc>
                <w:tcPr>
                  <w:tcW w:w="181" w:type="pct"/>
                  <w:vMerge w:val="continue"/>
                  <w:tcBorders>
                    <w:tl2br w:val="nil"/>
                    <w:tr2bl w:val="nil"/>
                  </w:tcBorders>
                  <w:vAlign w:val="center"/>
                </w:tcPr>
                <w:p w14:paraId="2E5FC5AB">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44E74F86">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540F3F7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42BD7EE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33D251D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3E00B8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6358EF8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43.7 </w:t>
                  </w:r>
                </w:p>
              </w:tc>
              <w:tc>
                <w:tcPr>
                  <w:tcW w:w="152" w:type="pct"/>
                  <w:tcBorders>
                    <w:tl2br w:val="nil"/>
                    <w:tr2bl w:val="nil"/>
                  </w:tcBorders>
                  <w:vAlign w:val="center"/>
                </w:tcPr>
                <w:p w14:paraId="48D2DB8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253BFA3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28.3 </w:t>
                  </w:r>
                </w:p>
              </w:tc>
              <w:tc>
                <w:tcPr>
                  <w:tcW w:w="203" w:type="pct"/>
                  <w:tcBorders>
                    <w:tl2br w:val="nil"/>
                    <w:tr2bl w:val="nil"/>
                  </w:tcBorders>
                  <w:shd w:val="clear" w:color="auto" w:fill="auto"/>
                  <w:vAlign w:val="center"/>
                </w:tcPr>
                <w:p w14:paraId="5F438D2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21F53E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73B9E9E">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A0D3ABA">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0E5E7C77">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3F3A4C23">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322DD13D">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582A8F9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3992B7A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6F6F5259">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08B410C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w:t>
                  </w:r>
                </w:p>
              </w:tc>
              <w:tc>
                <w:tcPr>
                  <w:tcW w:w="126" w:type="pct"/>
                  <w:tcBorders>
                    <w:tl2br w:val="nil"/>
                    <w:tr2bl w:val="nil"/>
                  </w:tcBorders>
                  <w:shd w:val="clear" w:color="auto" w:fill="auto"/>
                  <w:vAlign w:val="center"/>
                </w:tcPr>
                <w:p w14:paraId="233AFAE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42FB1EB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vAlign w:val="center"/>
                </w:tcPr>
                <w:p w14:paraId="11C5338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w:t>
                  </w:r>
                </w:p>
              </w:tc>
              <w:tc>
                <w:tcPr>
                  <w:tcW w:w="159" w:type="pct"/>
                  <w:tcBorders>
                    <w:tl2br w:val="nil"/>
                    <w:tr2bl w:val="nil"/>
                  </w:tcBorders>
                  <w:shd w:val="clear" w:color="auto" w:fill="auto"/>
                  <w:vAlign w:val="center"/>
                </w:tcPr>
                <w:p w14:paraId="67E68374">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653943C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41.5</w:t>
                  </w:r>
                </w:p>
              </w:tc>
              <w:tc>
                <w:tcPr>
                  <w:tcW w:w="185" w:type="pct"/>
                  <w:tcBorders>
                    <w:tl2br w:val="nil"/>
                    <w:tr2bl w:val="nil"/>
                  </w:tcBorders>
                  <w:vAlign w:val="center"/>
                </w:tcPr>
                <w:p w14:paraId="5187D29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488034E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59.1 </w:t>
                  </w:r>
                </w:p>
              </w:tc>
              <w:tc>
                <w:tcPr>
                  <w:tcW w:w="163" w:type="pct"/>
                  <w:tcBorders>
                    <w:tl2br w:val="nil"/>
                    <w:tr2bl w:val="nil"/>
                  </w:tcBorders>
                  <w:vAlign w:val="center"/>
                </w:tcPr>
                <w:p w14:paraId="13F1A11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4A4A52C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37.6 </w:t>
                  </w:r>
                </w:p>
              </w:tc>
              <w:tc>
                <w:tcPr>
                  <w:tcW w:w="181" w:type="pct"/>
                  <w:vMerge w:val="continue"/>
                  <w:tcBorders>
                    <w:tl2br w:val="nil"/>
                    <w:tr2bl w:val="nil"/>
                  </w:tcBorders>
                  <w:vAlign w:val="center"/>
                </w:tcPr>
                <w:p w14:paraId="0F093433">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59B00CD2">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1DED4F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7E255D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26A993E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EEE1B2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49FEE95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49.1 </w:t>
                  </w:r>
                </w:p>
              </w:tc>
              <w:tc>
                <w:tcPr>
                  <w:tcW w:w="152" w:type="pct"/>
                  <w:tcBorders>
                    <w:tl2br w:val="nil"/>
                    <w:tr2bl w:val="nil"/>
                  </w:tcBorders>
                  <w:vAlign w:val="center"/>
                </w:tcPr>
                <w:p w14:paraId="7F1B9CB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1B34E55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27.6 </w:t>
                  </w:r>
                </w:p>
              </w:tc>
              <w:tc>
                <w:tcPr>
                  <w:tcW w:w="203" w:type="pct"/>
                  <w:tcBorders>
                    <w:tl2br w:val="nil"/>
                    <w:tr2bl w:val="nil"/>
                  </w:tcBorders>
                  <w:shd w:val="clear" w:color="auto" w:fill="auto"/>
                  <w:vAlign w:val="center"/>
                </w:tcPr>
                <w:p w14:paraId="4EFBCCF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06561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5269293">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79C3347F">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5271E7A5">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生物质颗粒机</w:t>
                  </w:r>
                </w:p>
              </w:tc>
              <w:tc>
                <w:tcPr>
                  <w:tcW w:w="403" w:type="pct"/>
                  <w:tcBorders>
                    <w:tl2br w:val="nil"/>
                    <w:tr2bl w:val="nil"/>
                  </w:tcBorders>
                  <w:shd w:val="clear" w:color="auto" w:fill="auto"/>
                  <w:vAlign w:val="center"/>
                </w:tcPr>
                <w:p w14:paraId="63E17CE7">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YMPJ560Pro</w:t>
                  </w:r>
                </w:p>
              </w:tc>
              <w:tc>
                <w:tcPr>
                  <w:tcW w:w="275" w:type="pct"/>
                  <w:tcBorders>
                    <w:tl2br w:val="nil"/>
                    <w:tr2bl w:val="nil"/>
                  </w:tcBorders>
                  <w:shd w:val="clear" w:color="auto" w:fill="auto"/>
                  <w:vAlign w:val="center"/>
                </w:tcPr>
                <w:p w14:paraId="39DD9F38">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1B1EDC3F">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5A5171F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46F0C68">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25.5</w:t>
                  </w:r>
                </w:p>
              </w:tc>
              <w:tc>
                <w:tcPr>
                  <w:tcW w:w="159" w:type="pct"/>
                  <w:tcBorders>
                    <w:tl2br w:val="nil"/>
                    <w:tr2bl w:val="nil"/>
                  </w:tcBorders>
                  <w:vAlign w:val="center"/>
                </w:tcPr>
                <w:p w14:paraId="3C46D07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0.5</w:t>
                  </w:r>
                </w:p>
              </w:tc>
              <w:tc>
                <w:tcPr>
                  <w:tcW w:w="126" w:type="pct"/>
                  <w:tcBorders>
                    <w:tl2br w:val="nil"/>
                    <w:tr2bl w:val="nil"/>
                  </w:tcBorders>
                  <w:shd w:val="clear" w:color="auto" w:fill="auto"/>
                  <w:vAlign w:val="center"/>
                </w:tcPr>
                <w:p w14:paraId="335AECB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77069CC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90</w:t>
                  </w:r>
                </w:p>
              </w:tc>
              <w:tc>
                <w:tcPr>
                  <w:tcW w:w="147" w:type="pct"/>
                  <w:tcBorders>
                    <w:tl2br w:val="nil"/>
                    <w:tr2bl w:val="nil"/>
                  </w:tcBorders>
                  <w:shd w:val="clear" w:color="auto" w:fill="auto"/>
                  <w:vAlign w:val="center"/>
                </w:tcPr>
                <w:p w14:paraId="45C44456">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0.5</w:t>
                  </w:r>
                </w:p>
              </w:tc>
              <w:tc>
                <w:tcPr>
                  <w:tcW w:w="159" w:type="pct"/>
                  <w:tcBorders>
                    <w:tl2br w:val="nil"/>
                    <w:tr2bl w:val="nil"/>
                  </w:tcBorders>
                  <w:shd w:val="clear" w:color="auto" w:fill="auto"/>
                  <w:vAlign w:val="center"/>
                </w:tcPr>
                <w:p w14:paraId="69B61C26">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25.5</w:t>
                  </w:r>
                </w:p>
              </w:tc>
              <w:tc>
                <w:tcPr>
                  <w:tcW w:w="154" w:type="pct"/>
                  <w:tcBorders>
                    <w:tl2br w:val="nil"/>
                    <w:tr2bl w:val="nil"/>
                  </w:tcBorders>
                  <w:vAlign w:val="center"/>
                </w:tcPr>
                <w:p w14:paraId="375EC1A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44.5</w:t>
                  </w:r>
                </w:p>
              </w:tc>
              <w:tc>
                <w:tcPr>
                  <w:tcW w:w="185" w:type="pct"/>
                  <w:tcBorders>
                    <w:tl2br w:val="nil"/>
                    <w:tr2bl w:val="nil"/>
                  </w:tcBorders>
                  <w:vAlign w:val="center"/>
                </w:tcPr>
                <w:p w14:paraId="2D4BC2C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30.9 </w:t>
                  </w:r>
                </w:p>
              </w:tc>
              <w:tc>
                <w:tcPr>
                  <w:tcW w:w="174" w:type="pct"/>
                  <w:tcBorders>
                    <w:tl2br w:val="nil"/>
                    <w:tr2bl w:val="nil"/>
                  </w:tcBorders>
                  <w:vAlign w:val="center"/>
                </w:tcPr>
                <w:p w14:paraId="01903EF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76.0 </w:t>
                  </w:r>
                </w:p>
              </w:tc>
              <w:tc>
                <w:tcPr>
                  <w:tcW w:w="163" w:type="pct"/>
                  <w:tcBorders>
                    <w:tl2br w:val="nil"/>
                    <w:tr2bl w:val="nil"/>
                  </w:tcBorders>
                  <w:vAlign w:val="center"/>
                </w:tcPr>
                <w:p w14:paraId="19A2696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2" w:type="pct"/>
                  <w:tcBorders>
                    <w:tl2br w:val="nil"/>
                    <w:tr2bl w:val="nil"/>
                  </w:tcBorders>
                  <w:vAlign w:val="center"/>
                </w:tcPr>
                <w:p w14:paraId="31229AA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37.0 </w:t>
                  </w:r>
                </w:p>
              </w:tc>
              <w:tc>
                <w:tcPr>
                  <w:tcW w:w="181" w:type="pct"/>
                  <w:vMerge w:val="continue"/>
                  <w:tcBorders>
                    <w:tl2br w:val="nil"/>
                    <w:tr2bl w:val="nil"/>
                  </w:tcBorders>
                  <w:vAlign w:val="center"/>
                </w:tcPr>
                <w:p w14:paraId="04113A8B">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5E22B921">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58D2C9C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1EE442F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0C3963D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DEF74A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20.9 </w:t>
                  </w:r>
                </w:p>
              </w:tc>
              <w:tc>
                <w:tcPr>
                  <w:tcW w:w="159" w:type="pct"/>
                  <w:tcBorders>
                    <w:tl2br w:val="nil"/>
                    <w:tr2bl w:val="nil"/>
                  </w:tcBorders>
                  <w:vAlign w:val="center"/>
                </w:tcPr>
                <w:p w14:paraId="0D76E50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66.0 </w:t>
                  </w:r>
                </w:p>
              </w:tc>
              <w:tc>
                <w:tcPr>
                  <w:tcW w:w="152" w:type="pct"/>
                  <w:tcBorders>
                    <w:tl2br w:val="nil"/>
                    <w:tr2bl w:val="nil"/>
                  </w:tcBorders>
                  <w:vAlign w:val="center"/>
                </w:tcPr>
                <w:p w14:paraId="17BBE75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166" w:type="pct"/>
                  <w:tcBorders>
                    <w:tl2br w:val="nil"/>
                    <w:tr2bl w:val="nil"/>
                  </w:tcBorders>
                  <w:vAlign w:val="center"/>
                </w:tcPr>
                <w:p w14:paraId="3DBAC14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27.0 </w:t>
                  </w:r>
                </w:p>
              </w:tc>
              <w:tc>
                <w:tcPr>
                  <w:tcW w:w="203" w:type="pct"/>
                  <w:tcBorders>
                    <w:tl2br w:val="nil"/>
                    <w:tr2bl w:val="nil"/>
                  </w:tcBorders>
                  <w:shd w:val="clear" w:color="auto" w:fill="auto"/>
                  <w:vAlign w:val="center"/>
                </w:tcPr>
                <w:p w14:paraId="647FE14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0C4E82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7C37F348">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562C0938">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733CA02E">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1017B265">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shd w:val="clear" w:color="auto" w:fill="auto"/>
                  <w:vAlign w:val="center"/>
                </w:tcPr>
                <w:p w14:paraId="0CB85F4C">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261A8152">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23CCB44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E8A5CA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1E396CC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11.5</w:t>
                  </w:r>
                </w:p>
              </w:tc>
              <w:tc>
                <w:tcPr>
                  <w:tcW w:w="126" w:type="pct"/>
                  <w:tcBorders>
                    <w:tl2br w:val="nil"/>
                    <w:tr2bl w:val="nil"/>
                  </w:tcBorders>
                  <w:shd w:val="clear" w:color="auto" w:fill="auto"/>
                  <w:vAlign w:val="center"/>
                </w:tcPr>
                <w:p w14:paraId="4DED82F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7AAB255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1435720A">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11.5</w:t>
                  </w:r>
                </w:p>
              </w:tc>
              <w:tc>
                <w:tcPr>
                  <w:tcW w:w="159" w:type="pct"/>
                  <w:tcBorders>
                    <w:tl2br w:val="nil"/>
                    <w:tr2bl w:val="nil"/>
                  </w:tcBorders>
                  <w:shd w:val="clear" w:color="auto" w:fill="auto"/>
                  <w:vAlign w:val="center"/>
                </w:tcPr>
                <w:p w14:paraId="314BB5EB">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54703C5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35.5</w:t>
                  </w:r>
                </w:p>
              </w:tc>
              <w:tc>
                <w:tcPr>
                  <w:tcW w:w="185" w:type="pct"/>
                  <w:tcBorders>
                    <w:tl2br w:val="nil"/>
                    <w:tr2bl w:val="nil"/>
                  </w:tcBorders>
                  <w:vAlign w:val="center"/>
                </w:tcPr>
                <w:p w14:paraId="4C3D95F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2BBE9E3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48.8 </w:t>
                  </w:r>
                </w:p>
              </w:tc>
              <w:tc>
                <w:tcPr>
                  <w:tcW w:w="163" w:type="pct"/>
                  <w:tcBorders>
                    <w:tl2br w:val="nil"/>
                    <w:tr2bl w:val="nil"/>
                  </w:tcBorders>
                  <w:vAlign w:val="center"/>
                </w:tcPr>
                <w:p w14:paraId="774EE8C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297B944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39.0 </w:t>
                  </w:r>
                </w:p>
              </w:tc>
              <w:tc>
                <w:tcPr>
                  <w:tcW w:w="181" w:type="pct"/>
                  <w:vMerge w:val="continue"/>
                  <w:tcBorders>
                    <w:tl2br w:val="nil"/>
                    <w:tr2bl w:val="nil"/>
                  </w:tcBorders>
                  <w:vAlign w:val="center"/>
                </w:tcPr>
                <w:p w14:paraId="3236ABE0">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0A349564">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228972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CDE14F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B928DE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726CEE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24B5F9C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38.8 </w:t>
                  </w:r>
                </w:p>
              </w:tc>
              <w:tc>
                <w:tcPr>
                  <w:tcW w:w="152" w:type="pct"/>
                  <w:tcBorders>
                    <w:tl2br w:val="nil"/>
                    <w:tr2bl w:val="nil"/>
                  </w:tcBorders>
                  <w:vAlign w:val="center"/>
                </w:tcPr>
                <w:p w14:paraId="24BEA61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3E635B6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29.0 </w:t>
                  </w:r>
                </w:p>
              </w:tc>
              <w:tc>
                <w:tcPr>
                  <w:tcW w:w="203" w:type="pct"/>
                  <w:tcBorders>
                    <w:tl2br w:val="nil"/>
                    <w:tr2bl w:val="nil"/>
                  </w:tcBorders>
                  <w:shd w:val="clear" w:color="auto" w:fill="auto"/>
                  <w:vAlign w:val="center"/>
                </w:tcPr>
                <w:p w14:paraId="1DCE663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1F2FD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4BB9D7F">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0095B18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242E49C7">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5DC7C8B7">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shd w:val="clear" w:color="auto" w:fill="auto"/>
                  <w:vAlign w:val="center"/>
                </w:tcPr>
                <w:p w14:paraId="51A78869">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664F5DC3">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6D2A4C3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03BEC46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554E5AD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7.5</w:t>
                  </w:r>
                </w:p>
              </w:tc>
              <w:tc>
                <w:tcPr>
                  <w:tcW w:w="126" w:type="pct"/>
                  <w:tcBorders>
                    <w:tl2br w:val="nil"/>
                    <w:tr2bl w:val="nil"/>
                  </w:tcBorders>
                  <w:shd w:val="clear" w:color="auto" w:fill="auto"/>
                  <w:vAlign w:val="center"/>
                </w:tcPr>
                <w:p w14:paraId="61C2CE2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32545A4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17B0242C">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7.5</w:t>
                  </w:r>
                </w:p>
              </w:tc>
              <w:tc>
                <w:tcPr>
                  <w:tcW w:w="159" w:type="pct"/>
                  <w:tcBorders>
                    <w:tl2br w:val="nil"/>
                    <w:tr2bl w:val="nil"/>
                  </w:tcBorders>
                  <w:shd w:val="clear" w:color="auto" w:fill="auto"/>
                  <w:vAlign w:val="center"/>
                </w:tcPr>
                <w:p w14:paraId="1CC4AB1C">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1AF1050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39</w:t>
                  </w:r>
                </w:p>
              </w:tc>
              <w:tc>
                <w:tcPr>
                  <w:tcW w:w="185" w:type="pct"/>
                  <w:tcBorders>
                    <w:tl2br w:val="nil"/>
                    <w:tr2bl w:val="nil"/>
                  </w:tcBorders>
                  <w:vAlign w:val="center"/>
                </w:tcPr>
                <w:p w14:paraId="7B9962B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206C703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52.5 </w:t>
                  </w:r>
                </w:p>
              </w:tc>
              <w:tc>
                <w:tcPr>
                  <w:tcW w:w="163" w:type="pct"/>
                  <w:tcBorders>
                    <w:tl2br w:val="nil"/>
                    <w:tr2bl w:val="nil"/>
                  </w:tcBorders>
                  <w:vAlign w:val="center"/>
                </w:tcPr>
                <w:p w14:paraId="006060A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563537B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38.2 </w:t>
                  </w:r>
                </w:p>
              </w:tc>
              <w:tc>
                <w:tcPr>
                  <w:tcW w:w="181" w:type="pct"/>
                  <w:vMerge w:val="continue"/>
                  <w:tcBorders>
                    <w:tl2br w:val="nil"/>
                    <w:tr2bl w:val="nil"/>
                  </w:tcBorders>
                  <w:vAlign w:val="center"/>
                </w:tcPr>
                <w:p w14:paraId="403AB0FE">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2991407">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11CE108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7C12BB4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6A65D42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26ADB4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11E540C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42.5 </w:t>
                  </w:r>
                </w:p>
              </w:tc>
              <w:tc>
                <w:tcPr>
                  <w:tcW w:w="152" w:type="pct"/>
                  <w:tcBorders>
                    <w:tl2br w:val="nil"/>
                    <w:tr2bl w:val="nil"/>
                  </w:tcBorders>
                  <w:vAlign w:val="center"/>
                </w:tcPr>
                <w:p w14:paraId="6D01EF9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0EA414B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28.2 </w:t>
                  </w:r>
                </w:p>
              </w:tc>
              <w:tc>
                <w:tcPr>
                  <w:tcW w:w="203" w:type="pct"/>
                  <w:tcBorders>
                    <w:tl2br w:val="nil"/>
                    <w:tr2bl w:val="nil"/>
                  </w:tcBorders>
                  <w:shd w:val="clear" w:color="auto" w:fill="auto"/>
                  <w:vAlign w:val="center"/>
                </w:tcPr>
                <w:p w14:paraId="7B02785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1A2C1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6230D0EB">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0CA9C55">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2E21A3C6">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31D3EAB4">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shd w:val="clear" w:color="auto" w:fill="auto"/>
                  <w:vAlign w:val="center"/>
                </w:tcPr>
                <w:p w14:paraId="3088AEA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7D61286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1A12A2E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4C8180A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21DF8FA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26" w:type="pct"/>
                  <w:tcBorders>
                    <w:tl2br w:val="nil"/>
                    <w:tr2bl w:val="nil"/>
                  </w:tcBorders>
                  <w:shd w:val="clear" w:color="auto" w:fill="auto"/>
                  <w:vAlign w:val="center"/>
                </w:tcPr>
                <w:p w14:paraId="10DF9D1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1C58F93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52D3719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4.5</w:t>
                  </w:r>
                </w:p>
              </w:tc>
              <w:tc>
                <w:tcPr>
                  <w:tcW w:w="159" w:type="pct"/>
                  <w:tcBorders>
                    <w:tl2br w:val="nil"/>
                    <w:tr2bl w:val="nil"/>
                  </w:tcBorders>
                  <w:shd w:val="clear" w:color="auto" w:fill="auto"/>
                  <w:vAlign w:val="center"/>
                </w:tcPr>
                <w:p w14:paraId="61CF6A48">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2695E6B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42</w:t>
                  </w:r>
                </w:p>
              </w:tc>
              <w:tc>
                <w:tcPr>
                  <w:tcW w:w="185" w:type="pct"/>
                  <w:tcBorders>
                    <w:tl2br w:val="nil"/>
                    <w:tr2bl w:val="nil"/>
                  </w:tcBorders>
                  <w:vAlign w:val="center"/>
                </w:tcPr>
                <w:p w14:paraId="14623A1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0EE0D1C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56.9 </w:t>
                  </w:r>
                </w:p>
              </w:tc>
              <w:tc>
                <w:tcPr>
                  <w:tcW w:w="163" w:type="pct"/>
                  <w:tcBorders>
                    <w:tl2br w:val="nil"/>
                    <w:tr2bl w:val="nil"/>
                  </w:tcBorders>
                  <w:vAlign w:val="center"/>
                </w:tcPr>
                <w:p w14:paraId="5DA92A9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4C32325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37.5 </w:t>
                  </w:r>
                </w:p>
              </w:tc>
              <w:tc>
                <w:tcPr>
                  <w:tcW w:w="181" w:type="pct"/>
                  <w:vMerge w:val="continue"/>
                  <w:tcBorders>
                    <w:tl2br w:val="nil"/>
                    <w:tr2bl w:val="nil"/>
                  </w:tcBorders>
                  <w:vAlign w:val="center"/>
                </w:tcPr>
                <w:p w14:paraId="5CA87E44">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5E5FA205">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A8A377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2AA6CF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9EE45B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35761D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0C26C08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46.9 </w:t>
                  </w:r>
                </w:p>
              </w:tc>
              <w:tc>
                <w:tcPr>
                  <w:tcW w:w="152" w:type="pct"/>
                  <w:tcBorders>
                    <w:tl2br w:val="nil"/>
                    <w:tr2bl w:val="nil"/>
                  </w:tcBorders>
                  <w:vAlign w:val="center"/>
                </w:tcPr>
                <w:p w14:paraId="03E7EEB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134D33E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27.5 </w:t>
                  </w:r>
                </w:p>
              </w:tc>
              <w:tc>
                <w:tcPr>
                  <w:tcW w:w="203" w:type="pct"/>
                  <w:tcBorders>
                    <w:tl2br w:val="nil"/>
                    <w:tr2bl w:val="nil"/>
                  </w:tcBorders>
                  <w:shd w:val="clear" w:color="auto" w:fill="auto"/>
                  <w:vAlign w:val="center"/>
                </w:tcPr>
                <w:p w14:paraId="7B85118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0E54C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C75CC50">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4DD2A877">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47722ABB">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制粒旋风除尘器风机</w:t>
                  </w:r>
                </w:p>
              </w:tc>
              <w:tc>
                <w:tcPr>
                  <w:tcW w:w="403" w:type="pct"/>
                  <w:tcBorders>
                    <w:tl2br w:val="nil"/>
                    <w:tr2bl w:val="nil"/>
                  </w:tcBorders>
                  <w:shd w:val="clear" w:color="auto" w:fill="auto"/>
                  <w:vAlign w:val="center"/>
                </w:tcPr>
                <w:p w14:paraId="5752C7FA">
                  <w:pPr>
                    <w:pStyle w:val="35"/>
                    <w:autoSpaceDE/>
                    <w:autoSpaceDN/>
                    <w:ind w:left="0" w:leftChars="0" w:right="0" w:rightChars="0"/>
                    <w:rPr>
                      <w:rFonts w:eastAsiaTheme="minorEastAsia"/>
                      <w:color w:val="000000" w:themeColor="text1"/>
                      <w:sz w:val="18"/>
                      <w:szCs w:val="18"/>
                      <w:lang w:eastAsia="en-US"/>
                    </w:rPr>
                  </w:pPr>
                  <w:r>
                    <w:rPr>
                      <w:rFonts w:hint="eastAsia"/>
                      <w:color w:val="000000" w:themeColor="text1"/>
                      <w:kern w:val="2"/>
                      <w:sz w:val="18"/>
                      <w:szCs w:val="18"/>
                      <w:lang w:eastAsia="en-US"/>
                    </w:rPr>
                    <w:t>风机风量2000m</w:t>
                  </w:r>
                  <w:r>
                    <w:rPr>
                      <w:rFonts w:hint="eastAsia"/>
                      <w:color w:val="000000" w:themeColor="text1"/>
                      <w:kern w:val="2"/>
                      <w:sz w:val="18"/>
                      <w:szCs w:val="18"/>
                      <w:vertAlign w:val="superscript"/>
                      <w:lang w:eastAsia="en-US"/>
                    </w:rPr>
                    <w:t>3</w:t>
                  </w:r>
                  <w:r>
                    <w:rPr>
                      <w:rFonts w:hint="eastAsia"/>
                      <w:color w:val="000000" w:themeColor="text1"/>
                      <w:kern w:val="2"/>
                      <w:sz w:val="18"/>
                      <w:szCs w:val="18"/>
                      <w:lang w:eastAsia="en-US"/>
                    </w:rPr>
                    <w:t>/h</w:t>
                  </w:r>
                </w:p>
              </w:tc>
              <w:tc>
                <w:tcPr>
                  <w:tcW w:w="275" w:type="pct"/>
                  <w:tcBorders>
                    <w:tl2br w:val="nil"/>
                    <w:tr2bl w:val="nil"/>
                  </w:tcBorders>
                  <w:vAlign w:val="center"/>
                </w:tcPr>
                <w:p w14:paraId="53DFBBFE">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4FB7FB3D">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635EA59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3380400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24.5</w:t>
                  </w:r>
                </w:p>
              </w:tc>
              <w:tc>
                <w:tcPr>
                  <w:tcW w:w="159" w:type="pct"/>
                  <w:tcBorders>
                    <w:tl2br w:val="nil"/>
                    <w:tr2bl w:val="nil"/>
                  </w:tcBorders>
                  <w:vAlign w:val="center"/>
                </w:tcPr>
                <w:p w14:paraId="098E150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26" w:type="pct"/>
                  <w:tcBorders>
                    <w:tl2br w:val="nil"/>
                    <w:tr2bl w:val="nil"/>
                  </w:tcBorders>
                  <w:shd w:val="clear" w:color="auto" w:fill="auto"/>
                  <w:vAlign w:val="center"/>
                </w:tcPr>
                <w:p w14:paraId="7998E98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55C12C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93</w:t>
                  </w:r>
                </w:p>
              </w:tc>
              <w:tc>
                <w:tcPr>
                  <w:tcW w:w="147" w:type="pct"/>
                  <w:tcBorders>
                    <w:tl2br w:val="nil"/>
                    <w:tr2bl w:val="nil"/>
                  </w:tcBorders>
                  <w:shd w:val="clear" w:color="auto" w:fill="auto"/>
                  <w:vAlign w:val="center"/>
                </w:tcPr>
                <w:p w14:paraId="7320D8ED">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1.5</w:t>
                  </w:r>
                </w:p>
              </w:tc>
              <w:tc>
                <w:tcPr>
                  <w:tcW w:w="159" w:type="pct"/>
                  <w:tcBorders>
                    <w:tl2br w:val="nil"/>
                    <w:tr2bl w:val="nil"/>
                  </w:tcBorders>
                  <w:shd w:val="clear" w:color="auto" w:fill="auto"/>
                  <w:vAlign w:val="center"/>
                </w:tcPr>
                <w:p w14:paraId="10903BC6">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24.5</w:t>
                  </w:r>
                </w:p>
              </w:tc>
              <w:tc>
                <w:tcPr>
                  <w:tcW w:w="154" w:type="pct"/>
                  <w:tcBorders>
                    <w:tl2br w:val="nil"/>
                    <w:tr2bl w:val="nil"/>
                  </w:tcBorders>
                  <w:vAlign w:val="center"/>
                </w:tcPr>
                <w:p w14:paraId="0F8F05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85" w:type="pct"/>
                  <w:tcBorders>
                    <w:tl2br w:val="nil"/>
                    <w:tr2bl w:val="nil"/>
                  </w:tcBorders>
                  <w:vAlign w:val="center"/>
                </w:tcPr>
                <w:p w14:paraId="2AFC210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30.6 </w:t>
                  </w:r>
                </w:p>
              </w:tc>
              <w:tc>
                <w:tcPr>
                  <w:tcW w:w="174" w:type="pct"/>
                  <w:tcBorders>
                    <w:tl2br w:val="nil"/>
                    <w:tr2bl w:val="nil"/>
                  </w:tcBorders>
                  <w:vAlign w:val="center"/>
                </w:tcPr>
                <w:p w14:paraId="118E368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66.5 </w:t>
                  </w:r>
                </w:p>
              </w:tc>
              <w:tc>
                <w:tcPr>
                  <w:tcW w:w="163" w:type="pct"/>
                  <w:tcBorders>
                    <w:tl2br w:val="nil"/>
                    <w:tr2bl w:val="nil"/>
                  </w:tcBorders>
                  <w:vAlign w:val="center"/>
                </w:tcPr>
                <w:p w14:paraId="448F571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42.2 </w:t>
                  </w:r>
                </w:p>
              </w:tc>
              <w:tc>
                <w:tcPr>
                  <w:tcW w:w="182" w:type="pct"/>
                  <w:tcBorders>
                    <w:tl2br w:val="nil"/>
                    <w:tr2bl w:val="nil"/>
                  </w:tcBorders>
                  <w:vAlign w:val="center"/>
                </w:tcPr>
                <w:p w14:paraId="659E158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36.9 </w:t>
                  </w:r>
                </w:p>
              </w:tc>
              <w:tc>
                <w:tcPr>
                  <w:tcW w:w="181" w:type="pct"/>
                  <w:vMerge w:val="continue"/>
                  <w:tcBorders>
                    <w:tl2br w:val="nil"/>
                    <w:tr2bl w:val="nil"/>
                  </w:tcBorders>
                  <w:vAlign w:val="center"/>
                </w:tcPr>
                <w:p w14:paraId="35235961">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4B2B93DA">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3CB93E6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E91D91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55B7519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3CE7CD5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20.6 </w:t>
                  </w:r>
                </w:p>
              </w:tc>
              <w:tc>
                <w:tcPr>
                  <w:tcW w:w="159" w:type="pct"/>
                  <w:tcBorders>
                    <w:tl2br w:val="nil"/>
                    <w:tr2bl w:val="nil"/>
                  </w:tcBorders>
                  <w:vAlign w:val="center"/>
                </w:tcPr>
                <w:p w14:paraId="60177E7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56.5 </w:t>
                  </w:r>
                </w:p>
              </w:tc>
              <w:tc>
                <w:tcPr>
                  <w:tcW w:w="152" w:type="pct"/>
                  <w:tcBorders>
                    <w:tl2br w:val="nil"/>
                    <w:tr2bl w:val="nil"/>
                  </w:tcBorders>
                  <w:vAlign w:val="center"/>
                </w:tcPr>
                <w:p w14:paraId="449BAE6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32.2 </w:t>
                  </w:r>
                </w:p>
              </w:tc>
              <w:tc>
                <w:tcPr>
                  <w:tcW w:w="166" w:type="pct"/>
                  <w:tcBorders>
                    <w:tl2br w:val="nil"/>
                    <w:tr2bl w:val="nil"/>
                  </w:tcBorders>
                  <w:vAlign w:val="center"/>
                </w:tcPr>
                <w:p w14:paraId="697AC75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26.9 </w:t>
                  </w:r>
                </w:p>
              </w:tc>
              <w:tc>
                <w:tcPr>
                  <w:tcW w:w="203" w:type="pct"/>
                  <w:tcBorders>
                    <w:tl2br w:val="nil"/>
                    <w:tr2bl w:val="nil"/>
                  </w:tcBorders>
                  <w:shd w:val="clear" w:color="auto" w:fill="auto"/>
                  <w:vAlign w:val="center"/>
                </w:tcPr>
                <w:p w14:paraId="1630228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AC03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08E28B10">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2FA5823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135E092B">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振筛</w:t>
                  </w:r>
                </w:p>
              </w:tc>
              <w:tc>
                <w:tcPr>
                  <w:tcW w:w="403" w:type="pct"/>
                  <w:tcBorders>
                    <w:tl2br w:val="nil"/>
                    <w:tr2bl w:val="nil"/>
                  </w:tcBorders>
                  <w:shd w:val="clear" w:color="auto" w:fill="auto"/>
                  <w:vAlign w:val="center"/>
                </w:tcPr>
                <w:p w14:paraId="032B2B08">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1.7m*0.8m*0.8m</w:t>
                  </w:r>
                </w:p>
              </w:tc>
              <w:tc>
                <w:tcPr>
                  <w:tcW w:w="275" w:type="pct"/>
                  <w:tcBorders>
                    <w:tl2br w:val="nil"/>
                    <w:tr2bl w:val="nil"/>
                  </w:tcBorders>
                  <w:vAlign w:val="center"/>
                </w:tcPr>
                <w:p w14:paraId="6AA67655">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50E32AD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51D094E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209F60C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20</w:t>
                  </w:r>
                </w:p>
              </w:tc>
              <w:tc>
                <w:tcPr>
                  <w:tcW w:w="159" w:type="pct"/>
                  <w:tcBorders>
                    <w:tl2br w:val="nil"/>
                    <w:tr2bl w:val="nil"/>
                  </w:tcBorders>
                  <w:vAlign w:val="center"/>
                </w:tcPr>
                <w:p w14:paraId="7992A82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2.2</w:t>
                  </w:r>
                </w:p>
              </w:tc>
              <w:tc>
                <w:tcPr>
                  <w:tcW w:w="126" w:type="pct"/>
                  <w:tcBorders>
                    <w:tl2br w:val="nil"/>
                    <w:tr2bl w:val="nil"/>
                  </w:tcBorders>
                  <w:shd w:val="clear" w:color="auto" w:fill="auto"/>
                  <w:vAlign w:val="center"/>
                </w:tcPr>
                <w:p w14:paraId="3EA69F5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53DF289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97</w:t>
                  </w:r>
                </w:p>
              </w:tc>
              <w:tc>
                <w:tcPr>
                  <w:tcW w:w="147" w:type="pct"/>
                  <w:tcBorders>
                    <w:tl2br w:val="nil"/>
                    <w:tr2bl w:val="nil"/>
                  </w:tcBorders>
                  <w:shd w:val="clear" w:color="auto" w:fill="auto"/>
                  <w:vAlign w:val="center"/>
                </w:tcPr>
                <w:p w14:paraId="6A460B99">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2.2</w:t>
                  </w:r>
                </w:p>
              </w:tc>
              <w:tc>
                <w:tcPr>
                  <w:tcW w:w="159" w:type="pct"/>
                  <w:tcBorders>
                    <w:tl2br w:val="nil"/>
                    <w:tr2bl w:val="nil"/>
                  </w:tcBorders>
                  <w:vAlign w:val="center"/>
                </w:tcPr>
                <w:p w14:paraId="770F6CC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20</w:t>
                  </w:r>
                </w:p>
              </w:tc>
              <w:tc>
                <w:tcPr>
                  <w:tcW w:w="154" w:type="pct"/>
                  <w:tcBorders>
                    <w:tl2br w:val="nil"/>
                    <w:tr2bl w:val="nil"/>
                  </w:tcBorders>
                  <w:vAlign w:val="center"/>
                </w:tcPr>
                <w:p w14:paraId="7CE964D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85" w:type="pct"/>
                  <w:tcBorders>
                    <w:tl2br w:val="nil"/>
                    <w:tr2bl w:val="nil"/>
                  </w:tcBorders>
                  <w:vAlign w:val="center"/>
                </w:tcPr>
                <w:p w14:paraId="748B2A8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35.3 </w:t>
                  </w:r>
                </w:p>
              </w:tc>
              <w:tc>
                <w:tcPr>
                  <w:tcW w:w="174" w:type="pct"/>
                  <w:tcBorders>
                    <w:tl2br w:val="nil"/>
                    <w:tr2bl w:val="nil"/>
                  </w:tcBorders>
                  <w:vAlign w:val="center"/>
                </w:tcPr>
                <w:p w14:paraId="09E3EF1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68.2 </w:t>
                  </w:r>
                </w:p>
              </w:tc>
              <w:tc>
                <w:tcPr>
                  <w:tcW w:w="163" w:type="pct"/>
                  <w:tcBorders>
                    <w:tl2br w:val="nil"/>
                    <w:tr2bl w:val="nil"/>
                  </w:tcBorders>
                  <w:vAlign w:val="center"/>
                </w:tcPr>
                <w:p w14:paraId="5C7A922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49.0 </w:t>
                  </w:r>
                </w:p>
              </w:tc>
              <w:tc>
                <w:tcPr>
                  <w:tcW w:w="182" w:type="pct"/>
                  <w:tcBorders>
                    <w:tl2br w:val="nil"/>
                    <w:tr2bl w:val="nil"/>
                  </w:tcBorders>
                  <w:vAlign w:val="center"/>
                </w:tcPr>
                <w:p w14:paraId="4FAE14E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41.9 </w:t>
                  </w:r>
                </w:p>
              </w:tc>
              <w:tc>
                <w:tcPr>
                  <w:tcW w:w="181" w:type="pct"/>
                  <w:vMerge w:val="continue"/>
                  <w:tcBorders>
                    <w:tl2br w:val="nil"/>
                    <w:tr2bl w:val="nil"/>
                  </w:tcBorders>
                  <w:vAlign w:val="center"/>
                </w:tcPr>
                <w:p w14:paraId="0D74979F">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30E5FB24">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63C0527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411EA3F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2046F81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3C2F7AF">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25.3 </w:t>
                  </w:r>
                </w:p>
              </w:tc>
              <w:tc>
                <w:tcPr>
                  <w:tcW w:w="159" w:type="pct"/>
                  <w:tcBorders>
                    <w:tl2br w:val="nil"/>
                    <w:tr2bl w:val="nil"/>
                  </w:tcBorders>
                  <w:vAlign w:val="center"/>
                </w:tcPr>
                <w:p w14:paraId="33BD5E9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58.2 </w:t>
                  </w:r>
                </w:p>
              </w:tc>
              <w:tc>
                <w:tcPr>
                  <w:tcW w:w="152" w:type="pct"/>
                  <w:tcBorders>
                    <w:tl2br w:val="nil"/>
                    <w:tr2bl w:val="nil"/>
                  </w:tcBorders>
                  <w:vAlign w:val="center"/>
                </w:tcPr>
                <w:p w14:paraId="588374A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39.0 </w:t>
                  </w:r>
                </w:p>
              </w:tc>
              <w:tc>
                <w:tcPr>
                  <w:tcW w:w="166" w:type="pct"/>
                  <w:tcBorders>
                    <w:tl2br w:val="nil"/>
                    <w:tr2bl w:val="nil"/>
                  </w:tcBorders>
                  <w:vAlign w:val="center"/>
                </w:tcPr>
                <w:p w14:paraId="61ECADDC">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31.9 </w:t>
                  </w:r>
                </w:p>
              </w:tc>
              <w:tc>
                <w:tcPr>
                  <w:tcW w:w="203" w:type="pct"/>
                  <w:tcBorders>
                    <w:tl2br w:val="nil"/>
                    <w:tr2bl w:val="nil"/>
                  </w:tcBorders>
                  <w:shd w:val="clear" w:color="auto" w:fill="auto"/>
                  <w:vAlign w:val="center"/>
                </w:tcPr>
                <w:p w14:paraId="2CEE9C5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E423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568123F2">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2216C3E">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2155A771">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134B5369">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YPSJ80B</w:t>
                  </w:r>
                </w:p>
              </w:tc>
              <w:tc>
                <w:tcPr>
                  <w:tcW w:w="275" w:type="pct"/>
                  <w:tcBorders>
                    <w:tl2br w:val="nil"/>
                    <w:tr2bl w:val="nil"/>
                  </w:tcBorders>
                  <w:vAlign w:val="center"/>
                </w:tcPr>
                <w:p w14:paraId="2FF763CA">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12D05E11">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104751A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678B101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13.5</w:t>
                  </w:r>
                </w:p>
              </w:tc>
              <w:tc>
                <w:tcPr>
                  <w:tcW w:w="159" w:type="pct"/>
                  <w:tcBorders>
                    <w:tl2br w:val="nil"/>
                    <w:tr2bl w:val="nil"/>
                  </w:tcBorders>
                  <w:vAlign w:val="center"/>
                </w:tcPr>
                <w:p w14:paraId="78944D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2.5</w:t>
                  </w:r>
                </w:p>
              </w:tc>
              <w:tc>
                <w:tcPr>
                  <w:tcW w:w="126" w:type="pct"/>
                  <w:tcBorders>
                    <w:tl2br w:val="nil"/>
                    <w:tr2bl w:val="nil"/>
                  </w:tcBorders>
                  <w:shd w:val="clear" w:color="auto" w:fill="auto"/>
                  <w:vAlign w:val="center"/>
                </w:tcPr>
                <w:p w14:paraId="246F1CD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0D5E401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98.5</w:t>
                  </w:r>
                </w:p>
              </w:tc>
              <w:tc>
                <w:tcPr>
                  <w:tcW w:w="147" w:type="pct"/>
                  <w:tcBorders>
                    <w:tl2br w:val="nil"/>
                    <w:tr2bl w:val="nil"/>
                  </w:tcBorders>
                  <w:shd w:val="clear" w:color="auto" w:fill="auto"/>
                  <w:vAlign w:val="center"/>
                </w:tcPr>
                <w:p w14:paraId="224D6495">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2.5</w:t>
                  </w:r>
                </w:p>
              </w:tc>
              <w:tc>
                <w:tcPr>
                  <w:tcW w:w="159" w:type="pct"/>
                  <w:tcBorders>
                    <w:tl2br w:val="nil"/>
                    <w:tr2bl w:val="nil"/>
                  </w:tcBorders>
                  <w:vAlign w:val="center"/>
                </w:tcPr>
                <w:p w14:paraId="4F1514A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13.5</w:t>
                  </w:r>
                </w:p>
              </w:tc>
              <w:tc>
                <w:tcPr>
                  <w:tcW w:w="154" w:type="pct"/>
                  <w:tcBorders>
                    <w:tl2br w:val="nil"/>
                    <w:tr2bl w:val="nil"/>
                  </w:tcBorders>
                  <w:vAlign w:val="center"/>
                </w:tcPr>
                <w:p w14:paraId="3CCEB58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85" w:type="pct"/>
                  <w:tcBorders>
                    <w:tl2br w:val="nil"/>
                    <w:tr2bl w:val="nil"/>
                  </w:tcBorders>
                  <w:vAlign w:val="center"/>
                </w:tcPr>
                <w:p w14:paraId="631B3E3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20.1 </w:t>
                  </w:r>
                </w:p>
              </w:tc>
              <w:tc>
                <w:tcPr>
                  <w:tcW w:w="174" w:type="pct"/>
                  <w:tcBorders>
                    <w:tl2br w:val="nil"/>
                    <w:tr2bl w:val="nil"/>
                  </w:tcBorders>
                  <w:vAlign w:val="center"/>
                </w:tcPr>
                <w:p w14:paraId="56B0FE5D">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52.0 </w:t>
                  </w:r>
                </w:p>
              </w:tc>
              <w:tc>
                <w:tcPr>
                  <w:tcW w:w="163" w:type="pct"/>
                  <w:tcBorders>
                    <w:tl2br w:val="nil"/>
                    <w:tr2bl w:val="nil"/>
                  </w:tcBorders>
                  <w:vAlign w:val="center"/>
                </w:tcPr>
                <w:p w14:paraId="2E96D0E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37.4 </w:t>
                  </w:r>
                </w:p>
              </w:tc>
              <w:tc>
                <w:tcPr>
                  <w:tcW w:w="182" w:type="pct"/>
                  <w:tcBorders>
                    <w:tl2br w:val="nil"/>
                    <w:tr2bl w:val="nil"/>
                  </w:tcBorders>
                  <w:vAlign w:val="center"/>
                </w:tcPr>
                <w:p w14:paraId="0866B11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26.9 </w:t>
                  </w:r>
                </w:p>
              </w:tc>
              <w:tc>
                <w:tcPr>
                  <w:tcW w:w="181" w:type="pct"/>
                  <w:vMerge w:val="continue"/>
                  <w:tcBorders>
                    <w:tl2br w:val="nil"/>
                    <w:tr2bl w:val="nil"/>
                  </w:tcBorders>
                  <w:vAlign w:val="center"/>
                </w:tcPr>
                <w:p w14:paraId="39C21D37">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46882BC">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6DE59D1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EF95DF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63CBA71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1FB5902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10.1 </w:t>
                  </w:r>
                </w:p>
              </w:tc>
              <w:tc>
                <w:tcPr>
                  <w:tcW w:w="159" w:type="pct"/>
                  <w:tcBorders>
                    <w:tl2br w:val="nil"/>
                    <w:tr2bl w:val="nil"/>
                  </w:tcBorders>
                  <w:vAlign w:val="center"/>
                </w:tcPr>
                <w:p w14:paraId="765EA5F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42.0 </w:t>
                  </w:r>
                </w:p>
              </w:tc>
              <w:tc>
                <w:tcPr>
                  <w:tcW w:w="152" w:type="pct"/>
                  <w:tcBorders>
                    <w:tl2br w:val="nil"/>
                    <w:tr2bl w:val="nil"/>
                  </w:tcBorders>
                  <w:vAlign w:val="center"/>
                </w:tcPr>
                <w:p w14:paraId="398D8EA6">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27.4 </w:t>
                  </w:r>
                </w:p>
              </w:tc>
              <w:tc>
                <w:tcPr>
                  <w:tcW w:w="166" w:type="pct"/>
                  <w:tcBorders>
                    <w:tl2br w:val="nil"/>
                    <w:tr2bl w:val="nil"/>
                  </w:tcBorders>
                  <w:vAlign w:val="center"/>
                </w:tcPr>
                <w:p w14:paraId="45CBAB2A">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16.9 </w:t>
                  </w:r>
                </w:p>
              </w:tc>
              <w:tc>
                <w:tcPr>
                  <w:tcW w:w="203" w:type="pct"/>
                  <w:tcBorders>
                    <w:tl2br w:val="nil"/>
                    <w:tr2bl w:val="nil"/>
                  </w:tcBorders>
                  <w:shd w:val="clear" w:color="auto" w:fill="auto"/>
                  <w:vAlign w:val="center"/>
                </w:tcPr>
                <w:p w14:paraId="4F466E1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6A1B3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4737E4BD">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1247676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67DDF8D6">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皮带输送机</w:t>
                  </w:r>
                </w:p>
              </w:tc>
              <w:tc>
                <w:tcPr>
                  <w:tcW w:w="403" w:type="pct"/>
                  <w:tcBorders>
                    <w:tl2br w:val="nil"/>
                    <w:tr2bl w:val="nil"/>
                  </w:tcBorders>
                  <w:shd w:val="clear" w:color="auto" w:fill="auto"/>
                  <w:vAlign w:val="center"/>
                </w:tcPr>
                <w:p w14:paraId="40405194">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3000*600</w:t>
                  </w:r>
                </w:p>
              </w:tc>
              <w:tc>
                <w:tcPr>
                  <w:tcW w:w="275" w:type="pct"/>
                  <w:tcBorders>
                    <w:tl2br w:val="nil"/>
                    <w:tr2bl w:val="nil"/>
                  </w:tcBorders>
                  <w:vAlign w:val="center"/>
                </w:tcPr>
                <w:p w14:paraId="0663EE97">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70/1m</w:t>
                  </w:r>
                </w:p>
              </w:tc>
              <w:tc>
                <w:tcPr>
                  <w:tcW w:w="185" w:type="pct"/>
                  <w:vMerge w:val="continue"/>
                  <w:tcBorders>
                    <w:tl2br w:val="nil"/>
                    <w:tr2bl w:val="nil"/>
                  </w:tcBorders>
                  <w:vAlign w:val="center"/>
                </w:tcPr>
                <w:p w14:paraId="6AFA7440">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0E8E6388">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BB43E1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12</w:t>
                  </w:r>
                </w:p>
              </w:tc>
              <w:tc>
                <w:tcPr>
                  <w:tcW w:w="159" w:type="pct"/>
                  <w:tcBorders>
                    <w:tl2br w:val="nil"/>
                    <w:tr2bl w:val="nil"/>
                  </w:tcBorders>
                  <w:vAlign w:val="center"/>
                </w:tcPr>
                <w:p w14:paraId="1203986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w:t>
                  </w:r>
                </w:p>
              </w:tc>
              <w:tc>
                <w:tcPr>
                  <w:tcW w:w="126" w:type="pct"/>
                  <w:tcBorders>
                    <w:tl2br w:val="nil"/>
                    <w:tr2bl w:val="nil"/>
                  </w:tcBorders>
                  <w:shd w:val="clear" w:color="auto" w:fill="auto"/>
                  <w:vAlign w:val="center"/>
                </w:tcPr>
                <w:p w14:paraId="000E502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544D47C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105</w:t>
                  </w:r>
                </w:p>
              </w:tc>
              <w:tc>
                <w:tcPr>
                  <w:tcW w:w="147" w:type="pct"/>
                  <w:tcBorders>
                    <w:tl2br w:val="nil"/>
                    <w:tr2bl w:val="nil"/>
                  </w:tcBorders>
                  <w:shd w:val="clear" w:color="auto" w:fill="auto"/>
                  <w:vAlign w:val="center"/>
                </w:tcPr>
                <w:p w14:paraId="7FF4C53E">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w:t>
                  </w:r>
                </w:p>
              </w:tc>
              <w:tc>
                <w:tcPr>
                  <w:tcW w:w="159" w:type="pct"/>
                  <w:tcBorders>
                    <w:tl2br w:val="nil"/>
                    <w:tr2bl w:val="nil"/>
                  </w:tcBorders>
                  <w:vAlign w:val="center"/>
                </w:tcPr>
                <w:p w14:paraId="7D5D095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12</w:t>
                  </w:r>
                </w:p>
              </w:tc>
              <w:tc>
                <w:tcPr>
                  <w:tcW w:w="154" w:type="pct"/>
                  <w:tcBorders>
                    <w:tl2br w:val="nil"/>
                    <w:tr2bl w:val="nil"/>
                  </w:tcBorders>
                  <w:vAlign w:val="center"/>
                </w:tcPr>
                <w:p w14:paraId="0587DEB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w:t>
                  </w:r>
                </w:p>
              </w:tc>
              <w:tc>
                <w:tcPr>
                  <w:tcW w:w="185" w:type="pct"/>
                  <w:tcBorders>
                    <w:tl2br w:val="nil"/>
                    <w:tr2bl w:val="nil"/>
                  </w:tcBorders>
                  <w:vAlign w:val="center"/>
                </w:tcPr>
                <w:p w14:paraId="0053193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29.6 </w:t>
                  </w:r>
                </w:p>
              </w:tc>
              <w:tc>
                <w:tcPr>
                  <w:tcW w:w="174" w:type="pct"/>
                  <w:tcBorders>
                    <w:tl2br w:val="nil"/>
                    <w:tr2bl w:val="nil"/>
                  </w:tcBorders>
                  <w:vAlign w:val="center"/>
                </w:tcPr>
                <w:p w14:paraId="34781800">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58.0 </w:t>
                  </w:r>
                </w:p>
              </w:tc>
              <w:tc>
                <w:tcPr>
                  <w:tcW w:w="163" w:type="pct"/>
                  <w:tcBorders>
                    <w:tl2br w:val="nil"/>
                    <w:tr2bl w:val="nil"/>
                  </w:tcBorders>
                  <w:vAlign w:val="center"/>
                </w:tcPr>
                <w:p w14:paraId="72268D6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48.4 </w:t>
                  </w:r>
                </w:p>
              </w:tc>
              <w:tc>
                <w:tcPr>
                  <w:tcW w:w="182" w:type="pct"/>
                  <w:tcBorders>
                    <w:tl2br w:val="nil"/>
                    <w:tr2bl w:val="nil"/>
                  </w:tcBorders>
                  <w:vAlign w:val="center"/>
                </w:tcPr>
                <w:p w14:paraId="5E3B4722">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37.7 </w:t>
                  </w:r>
                </w:p>
              </w:tc>
              <w:tc>
                <w:tcPr>
                  <w:tcW w:w="181" w:type="pct"/>
                  <w:vMerge w:val="continue"/>
                  <w:tcBorders>
                    <w:tl2br w:val="nil"/>
                    <w:tr2bl w:val="nil"/>
                  </w:tcBorders>
                  <w:vAlign w:val="center"/>
                </w:tcPr>
                <w:p w14:paraId="78E0FCA0">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1E46BD02">
                  <w:pPr>
                    <w:autoSpaceDE w:val="0"/>
                    <w:autoSpaceDN w:val="0"/>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76B8719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2C6DF61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70656A37">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6118609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19.6 </w:t>
                  </w:r>
                </w:p>
              </w:tc>
              <w:tc>
                <w:tcPr>
                  <w:tcW w:w="159" w:type="pct"/>
                  <w:tcBorders>
                    <w:tl2br w:val="nil"/>
                    <w:tr2bl w:val="nil"/>
                  </w:tcBorders>
                  <w:vAlign w:val="center"/>
                </w:tcPr>
                <w:p w14:paraId="499276E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48.0 </w:t>
                  </w:r>
                </w:p>
              </w:tc>
              <w:tc>
                <w:tcPr>
                  <w:tcW w:w="152" w:type="pct"/>
                  <w:tcBorders>
                    <w:tl2br w:val="nil"/>
                    <w:tr2bl w:val="nil"/>
                  </w:tcBorders>
                  <w:vAlign w:val="center"/>
                </w:tcPr>
                <w:p w14:paraId="7D79909C">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38.4 </w:t>
                  </w:r>
                </w:p>
              </w:tc>
              <w:tc>
                <w:tcPr>
                  <w:tcW w:w="166" w:type="pct"/>
                  <w:tcBorders>
                    <w:tl2br w:val="nil"/>
                    <w:tr2bl w:val="nil"/>
                  </w:tcBorders>
                  <w:vAlign w:val="center"/>
                </w:tcPr>
                <w:p w14:paraId="6E9586DE">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27.7 </w:t>
                  </w:r>
                </w:p>
              </w:tc>
              <w:tc>
                <w:tcPr>
                  <w:tcW w:w="203" w:type="pct"/>
                  <w:tcBorders>
                    <w:tl2br w:val="nil"/>
                    <w:tr2bl w:val="nil"/>
                  </w:tcBorders>
                  <w:shd w:val="clear" w:color="auto" w:fill="auto"/>
                  <w:vAlign w:val="center"/>
                </w:tcPr>
                <w:p w14:paraId="5E3653E5">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r>
            <w:tr w14:paraId="7CF9D4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70E6C55">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31A26BC">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38ADE0A3">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打包机</w:t>
                  </w:r>
                </w:p>
              </w:tc>
              <w:tc>
                <w:tcPr>
                  <w:tcW w:w="403" w:type="pct"/>
                  <w:tcBorders>
                    <w:tl2br w:val="nil"/>
                    <w:tr2bl w:val="nil"/>
                  </w:tcBorders>
                  <w:shd w:val="clear" w:color="auto" w:fill="auto"/>
                  <w:vAlign w:val="center"/>
                </w:tcPr>
                <w:p w14:paraId="16062CAE">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RF801-C</w:t>
                  </w:r>
                </w:p>
              </w:tc>
              <w:tc>
                <w:tcPr>
                  <w:tcW w:w="275" w:type="pct"/>
                  <w:tcBorders>
                    <w:tl2br w:val="nil"/>
                    <w:tr2bl w:val="nil"/>
                  </w:tcBorders>
                  <w:vAlign w:val="center"/>
                </w:tcPr>
                <w:p w14:paraId="7FFED961">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80/1m</w:t>
                  </w:r>
                </w:p>
              </w:tc>
              <w:tc>
                <w:tcPr>
                  <w:tcW w:w="185" w:type="pct"/>
                  <w:vMerge w:val="continue"/>
                  <w:tcBorders>
                    <w:tl2br w:val="nil"/>
                    <w:tr2bl w:val="nil"/>
                  </w:tcBorders>
                  <w:vAlign w:val="center"/>
                </w:tcPr>
                <w:p w14:paraId="63F44898">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4204205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5DD7A7F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59" w:type="pct"/>
                  <w:tcBorders>
                    <w:tl2br w:val="nil"/>
                    <w:tr2bl w:val="nil"/>
                  </w:tcBorders>
                  <w:vAlign w:val="center"/>
                </w:tcPr>
                <w:p w14:paraId="3E68C0F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26" w:type="pct"/>
                  <w:tcBorders>
                    <w:tl2br w:val="nil"/>
                    <w:tr2bl w:val="nil"/>
                  </w:tcBorders>
                  <w:shd w:val="clear" w:color="auto" w:fill="auto"/>
                  <w:vAlign w:val="center"/>
                </w:tcPr>
                <w:p w14:paraId="61E42000">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60DA5B4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105</w:t>
                  </w:r>
                </w:p>
              </w:tc>
              <w:tc>
                <w:tcPr>
                  <w:tcW w:w="147" w:type="pct"/>
                  <w:tcBorders>
                    <w:tl2br w:val="nil"/>
                    <w:tr2bl w:val="nil"/>
                  </w:tcBorders>
                  <w:shd w:val="clear" w:color="auto" w:fill="auto"/>
                  <w:vAlign w:val="center"/>
                </w:tcPr>
                <w:p w14:paraId="56A8CC27">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4.5</w:t>
                  </w:r>
                </w:p>
              </w:tc>
              <w:tc>
                <w:tcPr>
                  <w:tcW w:w="159" w:type="pct"/>
                  <w:tcBorders>
                    <w:tl2br w:val="nil"/>
                    <w:tr2bl w:val="nil"/>
                  </w:tcBorders>
                  <w:vAlign w:val="center"/>
                </w:tcPr>
                <w:p w14:paraId="0DD2E94B">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9</w:t>
                  </w:r>
                </w:p>
              </w:tc>
              <w:tc>
                <w:tcPr>
                  <w:tcW w:w="154" w:type="pct"/>
                  <w:tcBorders>
                    <w:tl2br w:val="nil"/>
                    <w:tr2bl w:val="nil"/>
                  </w:tcBorders>
                  <w:vAlign w:val="center"/>
                </w:tcPr>
                <w:p w14:paraId="1C06CA0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41.5</w:t>
                  </w:r>
                </w:p>
              </w:tc>
              <w:tc>
                <w:tcPr>
                  <w:tcW w:w="185" w:type="pct"/>
                  <w:tcBorders>
                    <w:tl2br w:val="nil"/>
                    <w:tr2bl w:val="nil"/>
                  </w:tcBorders>
                  <w:vAlign w:val="center"/>
                </w:tcPr>
                <w:p w14:paraId="16D05B1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29.6 </w:t>
                  </w:r>
                </w:p>
              </w:tc>
              <w:tc>
                <w:tcPr>
                  <w:tcW w:w="174" w:type="pct"/>
                  <w:tcBorders>
                    <w:tl2br w:val="nil"/>
                    <w:tr2bl w:val="nil"/>
                  </w:tcBorders>
                  <w:vAlign w:val="center"/>
                </w:tcPr>
                <w:p w14:paraId="09A867A5">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56.9 </w:t>
                  </w:r>
                </w:p>
              </w:tc>
              <w:tc>
                <w:tcPr>
                  <w:tcW w:w="163" w:type="pct"/>
                  <w:tcBorders>
                    <w:tl2br w:val="nil"/>
                    <w:tr2bl w:val="nil"/>
                  </w:tcBorders>
                  <w:vAlign w:val="center"/>
                </w:tcPr>
                <w:p w14:paraId="5061E7C3">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50.9 </w:t>
                  </w:r>
                </w:p>
              </w:tc>
              <w:tc>
                <w:tcPr>
                  <w:tcW w:w="182" w:type="pct"/>
                  <w:tcBorders>
                    <w:tl2br w:val="nil"/>
                    <w:tr2bl w:val="nil"/>
                  </w:tcBorders>
                  <w:vAlign w:val="center"/>
                </w:tcPr>
                <w:p w14:paraId="750BC53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color w:val="000000" w:themeColor="text1"/>
                      <w:kern w:val="0"/>
                      <w:sz w:val="18"/>
                      <w:szCs w:val="18"/>
                      <w:lang w:eastAsia="en-US"/>
                    </w:rPr>
                    <w:t xml:space="preserve">37.6 </w:t>
                  </w:r>
                </w:p>
              </w:tc>
              <w:tc>
                <w:tcPr>
                  <w:tcW w:w="181" w:type="pct"/>
                  <w:vMerge w:val="continue"/>
                  <w:tcBorders>
                    <w:tl2br w:val="nil"/>
                    <w:tr2bl w:val="nil"/>
                  </w:tcBorders>
                  <w:vAlign w:val="center"/>
                </w:tcPr>
                <w:p w14:paraId="68D0ED47">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136" w:type="pct"/>
                  <w:tcBorders>
                    <w:tl2br w:val="nil"/>
                    <w:tr2bl w:val="nil"/>
                  </w:tcBorders>
                  <w:shd w:val="clear" w:color="auto" w:fill="auto"/>
                  <w:vAlign w:val="center"/>
                </w:tcPr>
                <w:p w14:paraId="6A38E009">
                  <w:pPr>
                    <w:autoSpaceDE w:val="0"/>
                    <w:autoSpaceDN w:val="0"/>
                    <w:snapToGrid w:val="0"/>
                    <w:spacing w:line="240" w:lineRule="auto"/>
                    <w:ind w:firstLine="0" w:firstLineChars="0"/>
                    <w:jc w:val="center"/>
                    <w:rPr>
                      <w:rFonts w:eastAsiaTheme="minorEastAsia"/>
                      <w:iCs/>
                      <w:color w:val="000000" w:themeColor="text1"/>
                      <w:kern w:val="0"/>
                      <w:sz w:val="18"/>
                      <w:szCs w:val="18"/>
                      <w:lang w:eastAsia="en-US"/>
                    </w:rPr>
                  </w:pPr>
                  <w:r>
                    <w:rPr>
                      <w:rFonts w:hint="eastAsia" w:eastAsiaTheme="minorEastAsia"/>
                      <w:iCs/>
                      <w:color w:val="000000" w:themeColor="text1"/>
                      <w:sz w:val="18"/>
                      <w:szCs w:val="18"/>
                      <w:lang w:eastAsia="en-US"/>
                    </w:rPr>
                    <w:t>10</w:t>
                  </w:r>
                </w:p>
              </w:tc>
              <w:tc>
                <w:tcPr>
                  <w:tcW w:w="141" w:type="pct"/>
                  <w:tcBorders>
                    <w:tl2br w:val="nil"/>
                    <w:tr2bl w:val="nil"/>
                  </w:tcBorders>
                  <w:shd w:val="clear" w:color="auto" w:fill="auto"/>
                  <w:vAlign w:val="center"/>
                </w:tcPr>
                <w:p w14:paraId="082368AA">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6" w:type="pct"/>
                  <w:tcBorders>
                    <w:tl2br w:val="nil"/>
                    <w:tr2bl w:val="nil"/>
                  </w:tcBorders>
                  <w:shd w:val="clear" w:color="auto" w:fill="auto"/>
                  <w:vAlign w:val="center"/>
                </w:tcPr>
                <w:p w14:paraId="0BC92AC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43" w:type="pct"/>
                  <w:tcBorders>
                    <w:tl2br w:val="nil"/>
                    <w:tr2bl w:val="nil"/>
                  </w:tcBorders>
                  <w:shd w:val="clear" w:color="auto" w:fill="auto"/>
                  <w:vAlign w:val="center"/>
                </w:tcPr>
                <w:p w14:paraId="1830AC5D">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63" w:type="pct"/>
                  <w:tcBorders>
                    <w:tl2br w:val="nil"/>
                    <w:tr2bl w:val="nil"/>
                  </w:tcBorders>
                  <w:vAlign w:val="center"/>
                </w:tcPr>
                <w:p w14:paraId="72DA1569">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19.6 </w:t>
                  </w:r>
                </w:p>
              </w:tc>
              <w:tc>
                <w:tcPr>
                  <w:tcW w:w="159" w:type="pct"/>
                  <w:tcBorders>
                    <w:tl2br w:val="nil"/>
                    <w:tr2bl w:val="nil"/>
                  </w:tcBorders>
                  <w:vAlign w:val="center"/>
                </w:tcPr>
                <w:p w14:paraId="5DCE557B">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46.9 </w:t>
                  </w:r>
                </w:p>
              </w:tc>
              <w:tc>
                <w:tcPr>
                  <w:tcW w:w="152" w:type="pct"/>
                  <w:tcBorders>
                    <w:tl2br w:val="nil"/>
                    <w:tr2bl w:val="nil"/>
                  </w:tcBorders>
                  <w:vAlign w:val="center"/>
                </w:tcPr>
                <w:p w14:paraId="423AA486">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40.9 </w:t>
                  </w:r>
                </w:p>
              </w:tc>
              <w:tc>
                <w:tcPr>
                  <w:tcW w:w="166" w:type="pct"/>
                  <w:tcBorders>
                    <w:tl2br w:val="nil"/>
                    <w:tr2bl w:val="nil"/>
                  </w:tcBorders>
                  <w:vAlign w:val="center"/>
                </w:tcPr>
                <w:p w14:paraId="6B97DFD4">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27.6 </w:t>
                  </w:r>
                </w:p>
              </w:tc>
              <w:tc>
                <w:tcPr>
                  <w:tcW w:w="203" w:type="pct"/>
                  <w:tcBorders>
                    <w:tl2br w:val="nil"/>
                    <w:tr2bl w:val="nil"/>
                  </w:tcBorders>
                  <w:shd w:val="clear" w:color="auto" w:fill="auto"/>
                  <w:vAlign w:val="center"/>
                </w:tcPr>
                <w:p w14:paraId="18B61ED3">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1</w:t>
                  </w:r>
                </w:p>
              </w:tc>
            </w:tr>
            <w:tr w14:paraId="5E83BA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44" w:type="pct"/>
                  <w:tcBorders>
                    <w:tl2br w:val="nil"/>
                    <w:tr2bl w:val="nil"/>
                  </w:tcBorders>
                  <w:vAlign w:val="center"/>
                </w:tcPr>
                <w:p w14:paraId="37ED354C">
                  <w:pPr>
                    <w:pStyle w:val="43"/>
                    <w:numPr>
                      <w:ilvl w:val="0"/>
                      <w:numId w:val="8"/>
                    </w:numPr>
                    <w:adjustRightInd/>
                    <w:snapToGrid w:val="0"/>
                    <w:spacing w:line="240" w:lineRule="auto"/>
                    <w:ind w:firstLineChars="0"/>
                    <w:jc w:val="center"/>
                    <w:rPr>
                      <w:rFonts w:eastAsiaTheme="minorEastAsia"/>
                      <w:color w:val="000000" w:themeColor="text1"/>
                      <w:sz w:val="18"/>
                      <w:szCs w:val="18"/>
                      <w:lang w:eastAsia="en-US"/>
                    </w:rPr>
                  </w:pPr>
                </w:p>
              </w:tc>
              <w:tc>
                <w:tcPr>
                  <w:tcW w:w="156" w:type="pct"/>
                  <w:vMerge w:val="continue"/>
                  <w:tcBorders>
                    <w:tl2br w:val="nil"/>
                    <w:tr2bl w:val="nil"/>
                  </w:tcBorders>
                  <w:vAlign w:val="center"/>
                </w:tcPr>
                <w:p w14:paraId="69EA0074">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316" w:type="pct"/>
                  <w:tcBorders>
                    <w:tl2br w:val="nil"/>
                    <w:tr2bl w:val="nil"/>
                  </w:tcBorders>
                  <w:shd w:val="clear" w:color="auto" w:fill="auto"/>
                  <w:vAlign w:val="center"/>
                </w:tcPr>
                <w:p w14:paraId="79191E91">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空压机</w:t>
                  </w:r>
                </w:p>
              </w:tc>
              <w:tc>
                <w:tcPr>
                  <w:tcW w:w="403" w:type="pct"/>
                  <w:tcBorders>
                    <w:tl2br w:val="nil"/>
                    <w:tr2bl w:val="nil"/>
                  </w:tcBorders>
                  <w:shd w:val="clear" w:color="auto" w:fill="auto"/>
                  <w:vAlign w:val="center"/>
                </w:tcPr>
                <w:p w14:paraId="159E4CDD">
                  <w:pPr>
                    <w:widowControl/>
                    <w:kinsoku w:val="0"/>
                    <w:autoSpaceDE w:val="0"/>
                    <w:autoSpaceDN w:val="0"/>
                    <w:adjustRightInd w:val="0"/>
                    <w:snapToGrid w:val="0"/>
                    <w:spacing w:line="240" w:lineRule="auto"/>
                    <w:ind w:firstLine="0" w:firstLineChars="0"/>
                    <w:jc w:val="center"/>
                    <w:textAlignment w:val="baseline"/>
                    <w:rPr>
                      <w:color w:val="000000" w:themeColor="text1"/>
                      <w:sz w:val="18"/>
                      <w:szCs w:val="18"/>
                      <w:lang w:eastAsia="en-US"/>
                    </w:rPr>
                  </w:pPr>
                  <w:r>
                    <w:rPr>
                      <w:rFonts w:hint="eastAsia"/>
                      <w:color w:val="000000" w:themeColor="text1"/>
                      <w:sz w:val="18"/>
                      <w:szCs w:val="18"/>
                      <w:lang w:eastAsia="en-US"/>
                    </w:rPr>
                    <w:t>/</w:t>
                  </w:r>
                </w:p>
              </w:tc>
              <w:tc>
                <w:tcPr>
                  <w:tcW w:w="275" w:type="pct"/>
                  <w:tcBorders>
                    <w:tl2br w:val="nil"/>
                    <w:tr2bl w:val="nil"/>
                  </w:tcBorders>
                  <w:vAlign w:val="center"/>
                </w:tcPr>
                <w:p w14:paraId="6592EC01">
                  <w:pPr>
                    <w:pStyle w:val="43"/>
                    <w:adjustRightInd/>
                    <w:snapToGrid w:val="0"/>
                    <w:spacing w:line="240" w:lineRule="auto"/>
                    <w:ind w:firstLine="0" w:firstLineChars="0"/>
                    <w:jc w:val="center"/>
                    <w:rPr>
                      <w:rFonts w:eastAsiaTheme="minorEastAsia"/>
                      <w:color w:val="000000" w:themeColor="text1"/>
                      <w:sz w:val="18"/>
                      <w:szCs w:val="18"/>
                      <w:lang w:eastAsia="en-US"/>
                    </w:rPr>
                  </w:pPr>
                  <w:r>
                    <w:rPr>
                      <w:rFonts w:hint="eastAsia" w:eastAsiaTheme="minorEastAsia"/>
                      <w:color w:val="000000" w:themeColor="text1"/>
                      <w:sz w:val="18"/>
                      <w:szCs w:val="18"/>
                      <w:lang w:eastAsia="en-US"/>
                    </w:rPr>
                    <w:t>85/1m</w:t>
                  </w:r>
                </w:p>
              </w:tc>
              <w:tc>
                <w:tcPr>
                  <w:tcW w:w="185" w:type="pct"/>
                  <w:vMerge w:val="continue"/>
                  <w:tcBorders>
                    <w:tl2br w:val="nil"/>
                    <w:tr2bl w:val="nil"/>
                  </w:tcBorders>
                  <w:vAlign w:val="center"/>
                </w:tcPr>
                <w:p w14:paraId="5F6F9E5E">
                  <w:pPr>
                    <w:pStyle w:val="43"/>
                    <w:adjustRightInd/>
                    <w:snapToGrid w:val="0"/>
                    <w:spacing w:line="240" w:lineRule="auto"/>
                    <w:ind w:firstLine="0" w:firstLineChars="0"/>
                    <w:jc w:val="center"/>
                    <w:rPr>
                      <w:rFonts w:eastAsiaTheme="minorEastAsia"/>
                      <w:color w:val="000000" w:themeColor="text1"/>
                      <w:sz w:val="18"/>
                      <w:szCs w:val="18"/>
                      <w:lang w:eastAsia="en-US"/>
                    </w:rPr>
                  </w:pPr>
                </w:p>
              </w:tc>
              <w:tc>
                <w:tcPr>
                  <w:tcW w:w="192" w:type="pct"/>
                  <w:tcBorders>
                    <w:tl2br w:val="nil"/>
                    <w:tr2bl w:val="nil"/>
                  </w:tcBorders>
                  <w:shd w:val="clear" w:color="auto" w:fill="auto"/>
                  <w:vAlign w:val="center"/>
                </w:tcPr>
                <w:p w14:paraId="6C02E382">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10</w:t>
                  </w:r>
                </w:p>
              </w:tc>
              <w:tc>
                <w:tcPr>
                  <w:tcW w:w="130" w:type="pct"/>
                  <w:tcBorders>
                    <w:tl2br w:val="nil"/>
                    <w:tr2bl w:val="nil"/>
                  </w:tcBorders>
                  <w:vAlign w:val="center"/>
                </w:tcPr>
                <w:p w14:paraId="7E06596F">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59" w:type="pct"/>
                  <w:tcBorders>
                    <w:tl2br w:val="nil"/>
                    <w:tr2bl w:val="nil"/>
                  </w:tcBorders>
                  <w:vAlign w:val="center"/>
                </w:tcPr>
                <w:p w14:paraId="05D7DF0E">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1.5</w:t>
                  </w:r>
                </w:p>
              </w:tc>
              <w:tc>
                <w:tcPr>
                  <w:tcW w:w="126" w:type="pct"/>
                  <w:tcBorders>
                    <w:tl2br w:val="nil"/>
                    <w:tr2bl w:val="nil"/>
                  </w:tcBorders>
                  <w:shd w:val="clear" w:color="auto" w:fill="auto"/>
                  <w:vAlign w:val="center"/>
                </w:tcPr>
                <w:p w14:paraId="4830DDC1">
                  <w:pPr>
                    <w:pStyle w:val="43"/>
                    <w:adjustRightInd/>
                    <w:snapToGrid w:val="0"/>
                    <w:spacing w:line="240" w:lineRule="auto"/>
                    <w:ind w:firstLine="0" w:firstLineChars="0"/>
                    <w:jc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w:t>
                  </w:r>
                </w:p>
              </w:tc>
              <w:tc>
                <w:tcPr>
                  <w:tcW w:w="152" w:type="pct"/>
                  <w:tcBorders>
                    <w:tl2br w:val="nil"/>
                    <w:tr2bl w:val="nil"/>
                  </w:tcBorders>
                  <w:vAlign w:val="center"/>
                </w:tcPr>
                <w:p w14:paraId="2D666724">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110</w:t>
                  </w:r>
                </w:p>
              </w:tc>
              <w:tc>
                <w:tcPr>
                  <w:tcW w:w="147" w:type="pct"/>
                  <w:tcBorders>
                    <w:tl2br w:val="nil"/>
                    <w:tr2bl w:val="nil"/>
                  </w:tcBorders>
                  <w:shd w:val="clear" w:color="auto" w:fill="auto"/>
                  <w:vAlign w:val="center"/>
                </w:tcPr>
                <w:p w14:paraId="3091F890">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hint="eastAsia" w:eastAsiaTheme="minorEastAsia"/>
                      <w:iCs/>
                      <w:color w:val="000000" w:themeColor="text1"/>
                      <w:kern w:val="0"/>
                      <w:sz w:val="18"/>
                      <w:szCs w:val="18"/>
                      <w:lang w:eastAsia="en-US"/>
                    </w:rPr>
                    <w:t>1.5</w:t>
                  </w:r>
                </w:p>
              </w:tc>
              <w:tc>
                <w:tcPr>
                  <w:tcW w:w="159" w:type="pct"/>
                  <w:tcBorders>
                    <w:tl2br w:val="nil"/>
                    <w:tr2bl w:val="nil"/>
                  </w:tcBorders>
                  <w:vAlign w:val="center"/>
                </w:tcPr>
                <w:p w14:paraId="3BB94CD8">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4.5</w:t>
                  </w:r>
                </w:p>
              </w:tc>
              <w:tc>
                <w:tcPr>
                  <w:tcW w:w="154" w:type="pct"/>
                  <w:tcBorders>
                    <w:tl2br w:val="nil"/>
                    <w:tr2bl w:val="nil"/>
                  </w:tcBorders>
                  <w:vAlign w:val="center"/>
                </w:tcPr>
                <w:p w14:paraId="576E5821">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hint="eastAsia" w:eastAsiaTheme="minorEastAsia"/>
                      <w:iCs/>
                      <w:color w:val="000000" w:themeColor="text1"/>
                      <w:sz w:val="18"/>
                      <w:szCs w:val="18"/>
                      <w:lang w:eastAsia="en-US"/>
                    </w:rPr>
                    <w:t>44</w:t>
                  </w:r>
                </w:p>
              </w:tc>
              <w:tc>
                <w:tcPr>
                  <w:tcW w:w="508" w:type="dxa"/>
                  <w:tcBorders>
                    <w:tl2br w:val="nil"/>
                    <w:tr2bl w:val="nil"/>
                  </w:tcBorders>
                  <w:vAlign w:val="center"/>
                </w:tcPr>
                <w:p w14:paraId="512CDD0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34.2 </w:t>
                  </w:r>
                </w:p>
              </w:tc>
              <w:tc>
                <w:tcPr>
                  <w:tcW w:w="478" w:type="dxa"/>
                  <w:tcBorders>
                    <w:tl2br w:val="nil"/>
                    <w:tr2bl w:val="nil"/>
                  </w:tcBorders>
                  <w:vAlign w:val="center"/>
                </w:tcPr>
                <w:p w14:paraId="1D83ECD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71.5 </w:t>
                  </w:r>
                </w:p>
              </w:tc>
              <w:tc>
                <w:tcPr>
                  <w:tcW w:w="448" w:type="dxa"/>
                  <w:tcBorders>
                    <w:tl2br w:val="nil"/>
                    <w:tr2bl w:val="nil"/>
                  </w:tcBorders>
                  <w:vAlign w:val="center"/>
                </w:tcPr>
                <w:p w14:paraId="7E1B48B9">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61.9 </w:t>
                  </w:r>
                </w:p>
              </w:tc>
              <w:tc>
                <w:tcPr>
                  <w:tcW w:w="500" w:type="dxa"/>
                  <w:tcBorders>
                    <w:tl2br w:val="nil"/>
                    <w:tr2bl w:val="nil"/>
                  </w:tcBorders>
                  <w:vAlign w:val="center"/>
                </w:tcPr>
                <w:p w14:paraId="65D50677">
                  <w:pPr>
                    <w:widowControl/>
                    <w:autoSpaceDE w:val="0"/>
                    <w:autoSpaceDN w:val="0"/>
                    <w:spacing w:line="240" w:lineRule="auto"/>
                    <w:ind w:firstLine="0" w:firstLineChars="0"/>
                    <w:jc w:val="center"/>
                    <w:textAlignment w:val="center"/>
                    <w:rPr>
                      <w:rFonts w:eastAsiaTheme="minorEastAsia"/>
                      <w:iCs/>
                      <w:color w:val="000000" w:themeColor="text1"/>
                      <w:sz w:val="18"/>
                      <w:szCs w:val="18"/>
                      <w:lang w:eastAsia="en-US"/>
                    </w:rPr>
                  </w:pPr>
                  <w:r>
                    <w:rPr>
                      <w:rFonts w:eastAsiaTheme="minorEastAsia"/>
                      <w:iCs/>
                      <w:color w:val="000000" w:themeColor="text1"/>
                      <w:sz w:val="18"/>
                      <w:szCs w:val="18"/>
                      <w:lang w:eastAsia="en-US"/>
                    </w:rPr>
                    <w:t xml:space="preserve">42.1 </w:t>
                  </w:r>
                </w:p>
              </w:tc>
              <w:tc>
                <w:tcPr>
                  <w:tcW w:w="181" w:type="pct"/>
                  <w:vMerge w:val="continue"/>
                  <w:tcBorders>
                    <w:tl2br w:val="nil"/>
                    <w:tr2bl w:val="nil"/>
                  </w:tcBorders>
                  <w:vAlign w:val="center"/>
                </w:tcPr>
                <w:p w14:paraId="19FA11FE">
                  <w:pPr>
                    <w:pStyle w:val="43"/>
                    <w:adjustRightInd/>
                    <w:snapToGrid w:val="0"/>
                    <w:spacing w:line="240" w:lineRule="auto"/>
                    <w:ind w:firstLine="0" w:firstLineChars="0"/>
                    <w:jc w:val="center"/>
                    <w:rPr>
                      <w:rFonts w:eastAsiaTheme="minorEastAsia"/>
                      <w:iCs/>
                      <w:color w:val="000000" w:themeColor="text1"/>
                      <w:sz w:val="18"/>
                      <w:szCs w:val="18"/>
                      <w:lang w:eastAsia="en-US"/>
                    </w:rPr>
                  </w:pPr>
                </w:p>
              </w:tc>
              <w:tc>
                <w:tcPr>
                  <w:tcW w:w="374" w:type="dxa"/>
                  <w:tcBorders>
                    <w:tl2br w:val="nil"/>
                    <w:tr2bl w:val="nil"/>
                  </w:tcBorders>
                  <w:shd w:val="clear" w:color="auto" w:fill="auto"/>
                  <w:vAlign w:val="center"/>
                </w:tcPr>
                <w:p w14:paraId="64D42329">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388" w:type="dxa"/>
                  <w:tcBorders>
                    <w:tl2br w:val="nil"/>
                    <w:tr2bl w:val="nil"/>
                  </w:tcBorders>
                  <w:shd w:val="clear" w:color="auto" w:fill="auto"/>
                  <w:vAlign w:val="center"/>
                </w:tcPr>
                <w:p w14:paraId="29C1E53E">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374" w:type="dxa"/>
                  <w:tcBorders>
                    <w:tl2br w:val="nil"/>
                    <w:tr2bl w:val="nil"/>
                  </w:tcBorders>
                  <w:shd w:val="clear" w:color="auto" w:fill="auto"/>
                  <w:vAlign w:val="center"/>
                </w:tcPr>
                <w:p w14:paraId="687E37C3">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391" w:type="dxa"/>
                  <w:tcBorders>
                    <w:tl2br w:val="nil"/>
                    <w:tr2bl w:val="nil"/>
                  </w:tcBorders>
                  <w:shd w:val="clear" w:color="auto" w:fill="auto"/>
                  <w:vAlign w:val="center"/>
                </w:tcPr>
                <w:p w14:paraId="034FC3AA">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10</w:t>
                  </w:r>
                </w:p>
              </w:tc>
              <w:tc>
                <w:tcPr>
                  <w:tcW w:w="448" w:type="dxa"/>
                  <w:tcBorders>
                    <w:tl2br w:val="nil"/>
                    <w:tr2bl w:val="nil"/>
                  </w:tcBorders>
                  <w:vAlign w:val="center"/>
                </w:tcPr>
                <w:p w14:paraId="72E9F908">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24.2 </w:t>
                  </w:r>
                </w:p>
              </w:tc>
              <w:tc>
                <w:tcPr>
                  <w:tcW w:w="435" w:type="dxa"/>
                  <w:tcBorders>
                    <w:tl2br w:val="nil"/>
                    <w:tr2bl w:val="nil"/>
                  </w:tcBorders>
                  <w:vAlign w:val="center"/>
                </w:tcPr>
                <w:p w14:paraId="5562C6C3">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61.5 </w:t>
                  </w:r>
                </w:p>
              </w:tc>
              <w:tc>
                <w:tcPr>
                  <w:tcW w:w="418" w:type="dxa"/>
                  <w:tcBorders>
                    <w:tl2br w:val="nil"/>
                    <w:tr2bl w:val="nil"/>
                  </w:tcBorders>
                  <w:vAlign w:val="center"/>
                </w:tcPr>
                <w:p w14:paraId="12D1FB38">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51.9 </w:t>
                  </w:r>
                </w:p>
              </w:tc>
              <w:tc>
                <w:tcPr>
                  <w:tcW w:w="454" w:type="dxa"/>
                  <w:tcBorders>
                    <w:tl2br w:val="nil"/>
                    <w:tr2bl w:val="nil"/>
                  </w:tcBorders>
                  <w:vAlign w:val="center"/>
                </w:tcPr>
                <w:p w14:paraId="52AC4282">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 xml:space="preserve">32.1 </w:t>
                  </w:r>
                </w:p>
              </w:tc>
              <w:tc>
                <w:tcPr>
                  <w:tcW w:w="556" w:type="dxa"/>
                  <w:tcBorders>
                    <w:tl2br w:val="nil"/>
                    <w:tr2bl w:val="nil"/>
                  </w:tcBorders>
                  <w:shd w:val="clear" w:color="auto" w:fill="auto"/>
                  <w:vAlign w:val="center"/>
                </w:tcPr>
                <w:p w14:paraId="51AFF468">
                  <w:pPr>
                    <w:widowControl/>
                    <w:autoSpaceDE w:val="0"/>
                    <w:autoSpaceDN w:val="0"/>
                    <w:spacing w:line="240" w:lineRule="auto"/>
                    <w:ind w:firstLine="0" w:firstLineChars="0"/>
                    <w:jc w:val="center"/>
                    <w:textAlignment w:val="center"/>
                    <w:rPr>
                      <w:rFonts w:eastAsiaTheme="minorEastAsia"/>
                      <w:iCs/>
                      <w:color w:val="000000" w:themeColor="text1"/>
                      <w:kern w:val="0"/>
                      <w:sz w:val="18"/>
                      <w:szCs w:val="18"/>
                      <w:lang w:eastAsia="en-US"/>
                    </w:rPr>
                  </w:pPr>
                  <w:r>
                    <w:rPr>
                      <w:rFonts w:eastAsiaTheme="minorEastAsia"/>
                      <w:iCs/>
                      <w:color w:val="000000" w:themeColor="text1"/>
                      <w:kern w:val="0"/>
                      <w:sz w:val="18"/>
                      <w:szCs w:val="18"/>
                      <w:lang w:eastAsia="en-US"/>
                    </w:rPr>
                    <w:t>1</w:t>
                  </w:r>
                </w:p>
              </w:tc>
            </w:tr>
            <w:tr w14:paraId="747B9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gridSpan w:val="28"/>
                  <w:tcBorders>
                    <w:tl2br w:val="nil"/>
                    <w:tr2bl w:val="nil"/>
                  </w:tcBorders>
                  <w:vAlign w:val="center"/>
                </w:tcPr>
                <w:p w14:paraId="1C77C01B">
                  <w:pPr>
                    <w:autoSpaceDE/>
                    <w:autoSpaceDN/>
                    <w:adjustRightInd w:val="0"/>
                    <w:spacing w:line="240" w:lineRule="auto"/>
                    <w:ind w:firstLine="0" w:firstLineChars="0"/>
                    <w:jc w:val="left"/>
                    <w:rPr>
                      <w:color w:val="000000" w:themeColor="text1"/>
                      <w:kern w:val="0"/>
                      <w:sz w:val="18"/>
                      <w:szCs w:val="18"/>
                      <w:lang w:eastAsia="en-US"/>
                    </w:rPr>
                  </w:pPr>
                  <w:r>
                    <w:rPr>
                      <w:rStyle w:val="53"/>
                      <w:rFonts w:hint="eastAsia"/>
                      <w:color w:val="000000" w:themeColor="text1"/>
                      <w:sz w:val="18"/>
                      <w:szCs w:val="18"/>
                      <w:lang w:eastAsia="en-US"/>
                    </w:rPr>
                    <w:t>注：厂房西南角坐标为（0,0,0）。</w:t>
                  </w:r>
                </w:p>
              </w:tc>
            </w:tr>
          </w:tbl>
          <w:p w14:paraId="6D0D8D44">
            <w:pPr>
              <w:spacing w:line="240" w:lineRule="auto"/>
              <w:ind w:firstLine="0" w:firstLineChars="0"/>
              <w:jc w:val="center"/>
              <w:rPr>
                <w:color w:val="000000" w:themeColor="text1"/>
              </w:rPr>
            </w:pPr>
            <w:r>
              <w:rPr>
                <w:rStyle w:val="53"/>
                <w:color w:val="000000" w:themeColor="text1"/>
              </w:rPr>
              <w:t>表</w:t>
            </w:r>
            <w:r>
              <w:rPr>
                <w:rStyle w:val="53"/>
                <w:rFonts w:hint="eastAsia"/>
                <w:color w:val="000000" w:themeColor="text1"/>
              </w:rPr>
              <w:t>46</w:t>
            </w:r>
            <w:r>
              <w:rPr>
                <w:rStyle w:val="53"/>
                <w:color w:val="000000" w:themeColor="text1"/>
              </w:rPr>
              <w:t xml:space="preserve">  </w:t>
            </w:r>
            <w:r>
              <w:rPr>
                <w:rStyle w:val="53"/>
                <w:rFonts w:hint="eastAsia"/>
                <w:color w:val="000000" w:themeColor="text1"/>
              </w:rPr>
              <w:t>本项目噪声源强调查清单（室外声源）</w:t>
            </w:r>
          </w:p>
          <w:tbl>
            <w:tblPr>
              <w:tblStyle w:val="57"/>
              <w:tblW w:w="5005"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3289"/>
              <w:gridCol w:w="988"/>
              <w:gridCol w:w="1064"/>
              <w:gridCol w:w="868"/>
              <w:gridCol w:w="1021"/>
              <w:gridCol w:w="2578"/>
              <w:gridCol w:w="1484"/>
              <w:gridCol w:w="1734"/>
            </w:tblGrid>
            <w:tr w14:paraId="63BA3A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c>
                <w:tcPr>
                  <w:tcW w:w="215" w:type="pct"/>
                  <w:vMerge w:val="restart"/>
                  <w:tcBorders>
                    <w:tl2br w:val="nil"/>
                    <w:tr2bl w:val="nil"/>
                  </w:tcBorders>
                  <w:vAlign w:val="center"/>
                </w:tcPr>
                <w:p w14:paraId="6EF7291E">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6"/>
                      <w:sz w:val="18"/>
                      <w:szCs w:val="18"/>
                    </w:rPr>
                    <w:t>序号</w:t>
                  </w:r>
                </w:p>
              </w:tc>
              <w:tc>
                <w:tcPr>
                  <w:tcW w:w="1208" w:type="pct"/>
                  <w:vMerge w:val="restart"/>
                  <w:tcBorders>
                    <w:tl2br w:val="nil"/>
                    <w:tr2bl w:val="nil"/>
                  </w:tcBorders>
                  <w:vAlign w:val="center"/>
                </w:tcPr>
                <w:p w14:paraId="7BAF7193">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声源名称</w:t>
                  </w:r>
                </w:p>
              </w:tc>
              <w:tc>
                <w:tcPr>
                  <w:tcW w:w="363" w:type="pct"/>
                  <w:vMerge w:val="restart"/>
                  <w:tcBorders>
                    <w:tl2br w:val="nil"/>
                    <w:tr2bl w:val="nil"/>
                  </w:tcBorders>
                  <w:vAlign w:val="center"/>
                </w:tcPr>
                <w:p w14:paraId="5D2248CD">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9"/>
                      <w:sz w:val="18"/>
                      <w:szCs w:val="18"/>
                    </w:rPr>
                    <w:t>型号</w:t>
                  </w:r>
                </w:p>
              </w:tc>
              <w:tc>
                <w:tcPr>
                  <w:tcW w:w="1085" w:type="pct"/>
                  <w:gridSpan w:val="3"/>
                  <w:tcBorders>
                    <w:tl2br w:val="nil"/>
                    <w:tr2bl w:val="nil"/>
                  </w:tcBorders>
                  <w:vAlign w:val="center"/>
                </w:tcPr>
                <w:p w14:paraId="6AAC8285">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空间相对位置</w:t>
                  </w:r>
                </w:p>
              </w:tc>
              <w:tc>
                <w:tcPr>
                  <w:tcW w:w="947" w:type="pct"/>
                  <w:vMerge w:val="restart"/>
                  <w:tcBorders>
                    <w:tl2br w:val="nil"/>
                    <w:tr2bl w:val="nil"/>
                  </w:tcBorders>
                  <w:vAlign w:val="center"/>
                </w:tcPr>
                <w:p w14:paraId="20392F4F">
                  <w:pPr>
                    <w:pStyle w:val="65"/>
                    <w:autoSpaceDE/>
                    <w:autoSpaceDN/>
                    <w:spacing w:line="240" w:lineRule="auto"/>
                    <w:ind w:firstLine="0" w:firstLineChars="0"/>
                    <w:jc w:val="center"/>
                    <w:rPr>
                      <w:rFonts w:ascii="Times New Roman" w:hAnsi="Times New Roman" w:eastAsia="Times New Roman" w:cs="Times New Roman"/>
                      <w:b/>
                      <w:bCs/>
                      <w:color w:val="000000" w:themeColor="text1"/>
                      <w:sz w:val="18"/>
                      <w:szCs w:val="18"/>
                    </w:rPr>
                  </w:pPr>
                  <w:r>
                    <w:rPr>
                      <w:rFonts w:ascii="Times New Roman" w:hAnsi="Times New Roman" w:cs="Times New Roman" w:eastAsiaTheme="minorEastAsia"/>
                      <w:b/>
                      <w:bCs/>
                      <w:color w:val="000000" w:themeColor="text1"/>
                      <w:sz w:val="18"/>
                      <w:szCs w:val="18"/>
                    </w:rPr>
                    <w:t>声源源强（声压级/距声源距离）/</w:t>
                  </w:r>
                  <w:r>
                    <w:rPr>
                      <w:rFonts w:ascii="Times New Roman" w:hAnsi="Times New Roman" w:cs="Times New Roman" w:eastAsiaTheme="minorEastAsia"/>
                      <w:b/>
                      <w:bCs/>
                      <w:color w:val="000000" w:themeColor="text1"/>
                      <w:sz w:val="18"/>
                      <w:szCs w:val="18"/>
                      <w:lang w:eastAsia="zh-CN"/>
                    </w:rPr>
                    <w:t>（</w:t>
                  </w:r>
                  <w:r>
                    <w:rPr>
                      <w:rFonts w:ascii="Times New Roman" w:hAnsi="Times New Roman" w:cs="Times New Roman" w:eastAsiaTheme="minorEastAsia"/>
                      <w:b/>
                      <w:bCs/>
                      <w:color w:val="000000" w:themeColor="text1"/>
                      <w:sz w:val="18"/>
                      <w:szCs w:val="18"/>
                    </w:rPr>
                    <w:t>dB(A)/m</w:t>
                  </w:r>
                  <w:r>
                    <w:rPr>
                      <w:rFonts w:ascii="Times New Roman" w:hAnsi="Times New Roman" w:cs="Times New Roman" w:eastAsiaTheme="minorEastAsia"/>
                      <w:b/>
                      <w:bCs/>
                      <w:color w:val="000000" w:themeColor="text1"/>
                      <w:sz w:val="18"/>
                      <w:szCs w:val="18"/>
                      <w:lang w:eastAsia="zh-CN"/>
                    </w:rPr>
                    <w:t>）</w:t>
                  </w:r>
                </w:p>
              </w:tc>
              <w:tc>
                <w:tcPr>
                  <w:tcW w:w="545" w:type="pct"/>
                  <w:vMerge w:val="restart"/>
                  <w:tcBorders>
                    <w:tl2br w:val="nil"/>
                    <w:tr2bl w:val="nil"/>
                  </w:tcBorders>
                  <w:vAlign w:val="center"/>
                </w:tcPr>
                <w:p w14:paraId="1181D004">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声源控制</w:t>
                  </w:r>
                  <w:r>
                    <w:rPr>
                      <w:rFonts w:ascii="Times New Roman" w:hAnsi="Times New Roman" w:cs="Times New Roman"/>
                      <w:b/>
                      <w:bCs/>
                      <w:color w:val="000000" w:themeColor="text1"/>
                      <w:spacing w:val="-6"/>
                      <w:sz w:val="18"/>
                      <w:szCs w:val="18"/>
                    </w:rPr>
                    <w:t>措施</w:t>
                  </w:r>
                </w:p>
              </w:tc>
              <w:tc>
                <w:tcPr>
                  <w:tcW w:w="633" w:type="pct"/>
                  <w:vMerge w:val="restart"/>
                  <w:tcBorders>
                    <w:tl2br w:val="nil"/>
                    <w:tr2bl w:val="nil"/>
                  </w:tcBorders>
                  <w:vAlign w:val="center"/>
                </w:tcPr>
                <w:p w14:paraId="38EEED95">
                  <w:pPr>
                    <w:pStyle w:val="65"/>
                    <w:autoSpaceDE/>
                    <w:autoSpaceDN/>
                    <w:spacing w:line="240" w:lineRule="auto"/>
                    <w:ind w:firstLine="0" w:firstLineChars="0"/>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pacing w:val="-4"/>
                      <w:sz w:val="18"/>
                      <w:szCs w:val="18"/>
                    </w:rPr>
                    <w:t>运行时段</w:t>
                  </w:r>
                </w:p>
              </w:tc>
            </w:tr>
            <w:tr w14:paraId="5CF4F05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vMerge w:val="continue"/>
                  <w:tcBorders>
                    <w:tl2br w:val="nil"/>
                    <w:tr2bl w:val="nil"/>
                  </w:tcBorders>
                  <w:vAlign w:val="center"/>
                </w:tcPr>
                <w:p w14:paraId="66011F30">
                  <w:pPr>
                    <w:autoSpaceDE/>
                    <w:autoSpaceDN/>
                    <w:spacing w:line="240" w:lineRule="auto"/>
                    <w:ind w:firstLine="0" w:firstLineChars="0"/>
                    <w:jc w:val="center"/>
                    <w:rPr>
                      <w:b/>
                      <w:bCs/>
                      <w:color w:val="000000" w:themeColor="text1"/>
                      <w:sz w:val="18"/>
                      <w:szCs w:val="18"/>
                      <w:lang w:eastAsia="en-US"/>
                    </w:rPr>
                  </w:pPr>
                </w:p>
              </w:tc>
              <w:tc>
                <w:tcPr>
                  <w:tcW w:w="1208" w:type="pct"/>
                  <w:vMerge w:val="continue"/>
                  <w:tcBorders>
                    <w:tl2br w:val="nil"/>
                    <w:tr2bl w:val="nil"/>
                  </w:tcBorders>
                  <w:vAlign w:val="center"/>
                </w:tcPr>
                <w:p w14:paraId="369BD475">
                  <w:pPr>
                    <w:autoSpaceDE/>
                    <w:autoSpaceDN/>
                    <w:spacing w:line="240" w:lineRule="auto"/>
                    <w:ind w:firstLine="0" w:firstLineChars="0"/>
                    <w:jc w:val="center"/>
                    <w:rPr>
                      <w:b/>
                      <w:bCs/>
                      <w:color w:val="000000" w:themeColor="text1"/>
                      <w:sz w:val="18"/>
                      <w:szCs w:val="18"/>
                      <w:lang w:eastAsia="en-US"/>
                    </w:rPr>
                  </w:pPr>
                </w:p>
              </w:tc>
              <w:tc>
                <w:tcPr>
                  <w:tcW w:w="363" w:type="pct"/>
                  <w:vMerge w:val="continue"/>
                  <w:tcBorders>
                    <w:tl2br w:val="nil"/>
                    <w:tr2bl w:val="nil"/>
                  </w:tcBorders>
                  <w:vAlign w:val="center"/>
                </w:tcPr>
                <w:p w14:paraId="4B5AE302">
                  <w:pPr>
                    <w:autoSpaceDE/>
                    <w:autoSpaceDN/>
                    <w:spacing w:line="240" w:lineRule="auto"/>
                    <w:ind w:firstLine="0" w:firstLineChars="0"/>
                    <w:jc w:val="center"/>
                    <w:rPr>
                      <w:b/>
                      <w:bCs/>
                      <w:color w:val="000000" w:themeColor="text1"/>
                      <w:sz w:val="18"/>
                      <w:szCs w:val="18"/>
                      <w:lang w:eastAsia="en-US"/>
                    </w:rPr>
                  </w:pPr>
                </w:p>
              </w:tc>
              <w:tc>
                <w:tcPr>
                  <w:tcW w:w="391" w:type="pct"/>
                  <w:tcBorders>
                    <w:tl2br w:val="nil"/>
                    <w:tr2bl w:val="nil"/>
                  </w:tcBorders>
                  <w:vAlign w:val="center"/>
                </w:tcPr>
                <w:p w14:paraId="3A46F363">
                  <w:pPr>
                    <w:autoSpaceDE/>
                    <w:autoSpaceDN/>
                    <w:spacing w:line="240" w:lineRule="auto"/>
                    <w:ind w:firstLine="0" w:firstLineChars="0"/>
                    <w:jc w:val="center"/>
                    <w:rPr>
                      <w:rFonts w:eastAsia="Times New Roman"/>
                      <w:b/>
                      <w:bCs/>
                      <w:color w:val="000000" w:themeColor="text1"/>
                      <w:sz w:val="18"/>
                      <w:szCs w:val="18"/>
                      <w:lang w:eastAsia="en-US"/>
                    </w:rPr>
                  </w:pPr>
                  <w:r>
                    <w:rPr>
                      <w:rFonts w:eastAsia="Times New Roman"/>
                      <w:b/>
                      <w:bCs/>
                      <w:color w:val="000000" w:themeColor="text1"/>
                      <w:sz w:val="18"/>
                      <w:szCs w:val="18"/>
                      <w:lang w:eastAsia="en-US"/>
                    </w:rPr>
                    <w:t>X</w:t>
                  </w:r>
                </w:p>
              </w:tc>
              <w:tc>
                <w:tcPr>
                  <w:tcW w:w="319" w:type="pct"/>
                  <w:tcBorders>
                    <w:tl2br w:val="nil"/>
                    <w:tr2bl w:val="nil"/>
                  </w:tcBorders>
                  <w:vAlign w:val="center"/>
                </w:tcPr>
                <w:p w14:paraId="306C2152">
                  <w:pPr>
                    <w:autoSpaceDE/>
                    <w:autoSpaceDN/>
                    <w:spacing w:line="240" w:lineRule="auto"/>
                    <w:ind w:firstLine="0" w:firstLineChars="0"/>
                    <w:jc w:val="center"/>
                    <w:rPr>
                      <w:rFonts w:eastAsia="Times New Roman"/>
                      <w:b/>
                      <w:bCs/>
                      <w:color w:val="000000" w:themeColor="text1"/>
                      <w:sz w:val="18"/>
                      <w:szCs w:val="18"/>
                      <w:lang w:eastAsia="en-US"/>
                    </w:rPr>
                  </w:pPr>
                  <w:r>
                    <w:rPr>
                      <w:rFonts w:eastAsia="Times New Roman"/>
                      <w:b/>
                      <w:bCs/>
                      <w:color w:val="000000" w:themeColor="text1"/>
                      <w:sz w:val="18"/>
                      <w:szCs w:val="18"/>
                      <w:lang w:eastAsia="en-US"/>
                    </w:rPr>
                    <w:t>Y</w:t>
                  </w:r>
                </w:p>
              </w:tc>
              <w:tc>
                <w:tcPr>
                  <w:tcW w:w="374" w:type="pct"/>
                  <w:tcBorders>
                    <w:tl2br w:val="nil"/>
                    <w:tr2bl w:val="nil"/>
                  </w:tcBorders>
                  <w:vAlign w:val="center"/>
                </w:tcPr>
                <w:p w14:paraId="394BB5D8">
                  <w:pPr>
                    <w:autoSpaceDE/>
                    <w:autoSpaceDN/>
                    <w:spacing w:line="240" w:lineRule="auto"/>
                    <w:ind w:firstLine="0" w:firstLineChars="0"/>
                    <w:jc w:val="center"/>
                    <w:rPr>
                      <w:rFonts w:eastAsia="Times New Roman"/>
                      <w:b/>
                      <w:bCs/>
                      <w:color w:val="000000" w:themeColor="text1"/>
                      <w:sz w:val="18"/>
                      <w:szCs w:val="18"/>
                      <w:lang w:eastAsia="en-US"/>
                    </w:rPr>
                  </w:pPr>
                  <w:r>
                    <w:rPr>
                      <w:rFonts w:eastAsia="Times New Roman"/>
                      <w:b/>
                      <w:bCs/>
                      <w:color w:val="000000" w:themeColor="text1"/>
                      <w:sz w:val="18"/>
                      <w:szCs w:val="18"/>
                      <w:lang w:eastAsia="en-US"/>
                    </w:rPr>
                    <w:t>Z</w:t>
                  </w:r>
                </w:p>
              </w:tc>
              <w:tc>
                <w:tcPr>
                  <w:tcW w:w="947" w:type="pct"/>
                  <w:vMerge w:val="continue"/>
                  <w:tcBorders>
                    <w:tl2br w:val="nil"/>
                    <w:tr2bl w:val="nil"/>
                  </w:tcBorders>
                  <w:vAlign w:val="center"/>
                </w:tcPr>
                <w:p w14:paraId="4AF043F0">
                  <w:pPr>
                    <w:autoSpaceDE/>
                    <w:autoSpaceDN/>
                    <w:spacing w:line="240" w:lineRule="auto"/>
                    <w:ind w:firstLine="0" w:firstLineChars="0"/>
                    <w:jc w:val="center"/>
                    <w:rPr>
                      <w:b/>
                      <w:bCs/>
                      <w:color w:val="000000" w:themeColor="text1"/>
                      <w:sz w:val="18"/>
                      <w:szCs w:val="18"/>
                      <w:lang w:eastAsia="en-US"/>
                    </w:rPr>
                  </w:pPr>
                </w:p>
              </w:tc>
              <w:tc>
                <w:tcPr>
                  <w:tcW w:w="545" w:type="pct"/>
                  <w:vMerge w:val="continue"/>
                  <w:tcBorders>
                    <w:tl2br w:val="nil"/>
                    <w:tr2bl w:val="nil"/>
                  </w:tcBorders>
                  <w:vAlign w:val="center"/>
                </w:tcPr>
                <w:p w14:paraId="5663F099">
                  <w:pPr>
                    <w:autoSpaceDE/>
                    <w:autoSpaceDN/>
                    <w:spacing w:line="240" w:lineRule="auto"/>
                    <w:ind w:firstLine="0" w:firstLineChars="0"/>
                    <w:jc w:val="center"/>
                    <w:rPr>
                      <w:b/>
                      <w:bCs/>
                      <w:color w:val="000000" w:themeColor="text1"/>
                      <w:sz w:val="18"/>
                      <w:szCs w:val="18"/>
                      <w:lang w:eastAsia="en-US"/>
                    </w:rPr>
                  </w:pPr>
                </w:p>
              </w:tc>
              <w:tc>
                <w:tcPr>
                  <w:tcW w:w="633" w:type="pct"/>
                  <w:vMerge w:val="continue"/>
                  <w:tcBorders>
                    <w:tl2br w:val="nil"/>
                    <w:tr2bl w:val="nil"/>
                  </w:tcBorders>
                  <w:vAlign w:val="center"/>
                </w:tcPr>
                <w:p w14:paraId="0F18E515">
                  <w:pPr>
                    <w:autoSpaceDE/>
                    <w:autoSpaceDN/>
                    <w:spacing w:line="240" w:lineRule="auto"/>
                    <w:ind w:firstLine="0" w:firstLineChars="0"/>
                    <w:jc w:val="center"/>
                    <w:rPr>
                      <w:b/>
                      <w:bCs/>
                      <w:color w:val="000000" w:themeColor="text1"/>
                      <w:sz w:val="18"/>
                      <w:szCs w:val="18"/>
                      <w:lang w:eastAsia="en-US"/>
                    </w:rPr>
                  </w:pPr>
                </w:p>
              </w:tc>
            </w:tr>
            <w:tr w14:paraId="2061B22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tcBorders>
                    <w:tl2br w:val="nil"/>
                    <w:tr2bl w:val="nil"/>
                  </w:tcBorders>
                  <w:vAlign w:val="center"/>
                </w:tcPr>
                <w:p w14:paraId="73184028">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1</w:t>
                  </w:r>
                </w:p>
              </w:tc>
              <w:tc>
                <w:tcPr>
                  <w:tcW w:w="1208" w:type="pct"/>
                  <w:tcBorders>
                    <w:tl2br w:val="nil"/>
                    <w:tr2bl w:val="nil"/>
                  </w:tcBorders>
                  <w:vAlign w:val="center"/>
                </w:tcPr>
                <w:p w14:paraId="169FEA38">
                  <w:pPr>
                    <w:pStyle w:val="65"/>
                    <w:widowControl/>
                    <w:autoSpaceDE w:val="0"/>
                    <w:autoSpaceDN w:val="0"/>
                    <w:spacing w:line="240" w:lineRule="auto"/>
                    <w:ind w:firstLine="0" w:firstLineChars="0"/>
                    <w:jc w:val="center"/>
                    <w:textAlignment w:val="baseline"/>
                    <w:rPr>
                      <w:rFonts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lang w:eastAsia="zh-CN"/>
                    </w:rPr>
                    <w:t>沙克龙除尘器+布袋除尘器风机</w:t>
                  </w:r>
                </w:p>
              </w:tc>
              <w:tc>
                <w:tcPr>
                  <w:tcW w:w="363" w:type="pct"/>
                  <w:tcBorders>
                    <w:tl2br w:val="nil"/>
                    <w:tr2bl w:val="nil"/>
                  </w:tcBorders>
                  <w:vAlign w:val="center"/>
                </w:tcPr>
                <w:p w14:paraId="339C7DF0">
                  <w:pPr>
                    <w:widowControl/>
                    <w:kinsoku w:val="0"/>
                    <w:autoSpaceDE w:val="0"/>
                    <w:autoSpaceDN w:val="0"/>
                    <w:adjustRightInd w:val="0"/>
                    <w:snapToGrid w:val="0"/>
                    <w:spacing w:line="240" w:lineRule="auto"/>
                    <w:ind w:firstLine="0" w:firstLineChars="0"/>
                    <w:jc w:val="center"/>
                    <w:textAlignment w:val="baseline"/>
                    <w:rPr>
                      <w:rFonts w:eastAsia="Times New Roman"/>
                      <w:color w:val="000000" w:themeColor="text1"/>
                      <w:sz w:val="18"/>
                      <w:szCs w:val="18"/>
                      <w:lang w:eastAsia="en-US"/>
                    </w:rPr>
                  </w:pPr>
                  <w:r>
                    <w:rPr>
                      <w:rFonts w:hint="eastAsia"/>
                      <w:color w:val="000000" w:themeColor="text1"/>
                      <w:sz w:val="18"/>
                      <w:szCs w:val="18"/>
                      <w:lang w:eastAsia="en-US"/>
                    </w:rPr>
                    <w:t>20000m</w:t>
                  </w:r>
                  <w:r>
                    <w:rPr>
                      <w:rFonts w:hint="eastAsia"/>
                      <w:color w:val="000000" w:themeColor="text1"/>
                      <w:sz w:val="18"/>
                      <w:szCs w:val="18"/>
                      <w:vertAlign w:val="superscript"/>
                      <w:lang w:eastAsia="en-US"/>
                    </w:rPr>
                    <w:t>3</w:t>
                  </w:r>
                  <w:r>
                    <w:rPr>
                      <w:rFonts w:hint="eastAsia"/>
                      <w:color w:val="000000" w:themeColor="text1"/>
                      <w:sz w:val="18"/>
                      <w:szCs w:val="18"/>
                      <w:lang w:eastAsia="en-US"/>
                    </w:rPr>
                    <w:t>/h</w:t>
                  </w:r>
                </w:p>
              </w:tc>
              <w:tc>
                <w:tcPr>
                  <w:tcW w:w="391" w:type="pct"/>
                  <w:tcBorders>
                    <w:tl2br w:val="nil"/>
                    <w:tr2bl w:val="nil"/>
                  </w:tcBorders>
                  <w:vAlign w:val="center"/>
                </w:tcPr>
                <w:p w14:paraId="6628355D">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76</w:t>
                  </w:r>
                </w:p>
              </w:tc>
              <w:tc>
                <w:tcPr>
                  <w:tcW w:w="319" w:type="pct"/>
                  <w:tcBorders>
                    <w:tl2br w:val="nil"/>
                    <w:tr2bl w:val="nil"/>
                  </w:tcBorders>
                  <w:vAlign w:val="center"/>
                </w:tcPr>
                <w:p w14:paraId="22530D21">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8.8</w:t>
                  </w:r>
                </w:p>
              </w:tc>
              <w:tc>
                <w:tcPr>
                  <w:tcW w:w="374" w:type="pct"/>
                  <w:tcBorders>
                    <w:tl2br w:val="nil"/>
                    <w:tr2bl w:val="nil"/>
                  </w:tcBorders>
                  <w:vAlign w:val="center"/>
                </w:tcPr>
                <w:p w14:paraId="26A83FE6">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1</w:t>
                  </w:r>
                </w:p>
              </w:tc>
              <w:tc>
                <w:tcPr>
                  <w:tcW w:w="947" w:type="pct"/>
                  <w:tcBorders>
                    <w:tl2br w:val="nil"/>
                    <w:tr2bl w:val="nil"/>
                  </w:tcBorders>
                  <w:vAlign w:val="center"/>
                </w:tcPr>
                <w:p w14:paraId="3274191F">
                  <w:pPr>
                    <w:autoSpaceDE/>
                    <w:autoSpaceDN/>
                    <w:spacing w:line="240" w:lineRule="auto"/>
                    <w:ind w:firstLine="0" w:firstLineChars="0"/>
                    <w:jc w:val="center"/>
                    <w:rPr>
                      <w:color w:val="000000" w:themeColor="text1"/>
                      <w:sz w:val="18"/>
                      <w:szCs w:val="18"/>
                      <w:lang w:eastAsia="en-US"/>
                    </w:rPr>
                  </w:pPr>
                  <w:r>
                    <w:rPr>
                      <w:rFonts w:hint="eastAsia"/>
                      <w:color w:val="000000" w:themeColor="text1"/>
                      <w:spacing w:val="-4"/>
                      <w:sz w:val="18"/>
                      <w:szCs w:val="18"/>
                      <w:lang w:eastAsia="en-US"/>
                    </w:rPr>
                    <w:t>85/1m</w:t>
                  </w:r>
                </w:p>
              </w:tc>
              <w:tc>
                <w:tcPr>
                  <w:tcW w:w="545" w:type="pct"/>
                  <w:vMerge w:val="restart"/>
                  <w:tcBorders>
                    <w:tl2br w:val="nil"/>
                    <w:tr2bl w:val="nil"/>
                  </w:tcBorders>
                  <w:vAlign w:val="center"/>
                </w:tcPr>
                <w:p w14:paraId="598C2981">
                  <w:pPr>
                    <w:pStyle w:val="65"/>
                    <w:autoSpaceDE/>
                    <w:autoSpaceDN/>
                    <w:spacing w:line="240" w:lineRule="auto"/>
                    <w:ind w:firstLine="0" w:firstLineChars="0"/>
                    <w:jc w:val="center"/>
                    <w:rPr>
                      <w:rFonts w:ascii="Times New Roman" w:hAnsi="Times New Roman" w:cs="Times New Roman"/>
                      <w:color w:val="000000" w:themeColor="text1"/>
                      <w:sz w:val="18"/>
                      <w:szCs w:val="18"/>
                    </w:rPr>
                  </w:pPr>
                  <w:r>
                    <w:rPr>
                      <w:rFonts w:ascii="Times New Roman" w:hAnsi="Times New Roman" w:cs="Times New Roman" w:eastAsiaTheme="minorEastAsia"/>
                      <w:color w:val="000000" w:themeColor="text1"/>
                      <w:sz w:val="18"/>
                      <w:szCs w:val="18"/>
                      <w:lang w:eastAsia="zh-CN"/>
                    </w:rPr>
                    <w:t>选用低噪声设备、设置基础减振</w:t>
                  </w:r>
                  <w:r>
                    <w:rPr>
                      <w:rFonts w:hint="eastAsia" w:ascii="Times New Roman" w:hAnsi="Times New Roman" w:cs="Times New Roman" w:eastAsiaTheme="minorEastAsia"/>
                      <w:color w:val="000000" w:themeColor="text1"/>
                      <w:sz w:val="18"/>
                      <w:szCs w:val="18"/>
                      <w:lang w:eastAsia="zh-CN"/>
                    </w:rPr>
                    <w:t>、风机设置隔声罩，可有效降噪15dB(A)</w:t>
                  </w:r>
                </w:p>
              </w:tc>
              <w:tc>
                <w:tcPr>
                  <w:tcW w:w="633" w:type="pct"/>
                  <w:vMerge w:val="restart"/>
                  <w:tcBorders>
                    <w:tl2br w:val="nil"/>
                    <w:tr2bl w:val="nil"/>
                  </w:tcBorders>
                  <w:vAlign w:val="center"/>
                </w:tcPr>
                <w:p w14:paraId="4947A0C5">
                  <w:pPr>
                    <w:autoSpaceDE/>
                    <w:autoSpaceDN/>
                    <w:spacing w:line="240" w:lineRule="auto"/>
                    <w:ind w:firstLine="0" w:firstLineChars="0"/>
                    <w:jc w:val="center"/>
                    <w:rPr>
                      <w:rFonts w:eastAsia="Times New Roman"/>
                      <w:color w:val="000000" w:themeColor="text1"/>
                      <w:sz w:val="18"/>
                      <w:szCs w:val="18"/>
                      <w:lang w:eastAsia="en-US"/>
                    </w:rPr>
                  </w:pPr>
                  <w:r>
                    <w:rPr>
                      <w:rFonts w:hint="eastAsia"/>
                      <w:snapToGrid w:val="0"/>
                      <w:color w:val="000000" w:themeColor="text1"/>
                      <w:sz w:val="18"/>
                      <w:szCs w:val="18"/>
                      <w:lang w:eastAsia="en-US"/>
                    </w:rPr>
                    <w:t>24h/d</w:t>
                  </w:r>
                </w:p>
              </w:tc>
            </w:tr>
            <w:tr w14:paraId="28A8E87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215" w:type="pct"/>
                  <w:tcBorders>
                    <w:tl2br w:val="nil"/>
                    <w:tr2bl w:val="nil"/>
                  </w:tcBorders>
                  <w:vAlign w:val="center"/>
                </w:tcPr>
                <w:p w14:paraId="1A0E7FE6">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2</w:t>
                  </w:r>
                </w:p>
              </w:tc>
              <w:tc>
                <w:tcPr>
                  <w:tcW w:w="1208" w:type="pct"/>
                  <w:tcBorders>
                    <w:tl2br w:val="nil"/>
                    <w:tr2bl w:val="nil"/>
                  </w:tcBorders>
                  <w:vAlign w:val="center"/>
                </w:tcPr>
                <w:p w14:paraId="0C2335CA">
                  <w:pPr>
                    <w:pStyle w:val="65"/>
                    <w:autoSpaceDE/>
                    <w:autoSpaceDN/>
                    <w:spacing w:line="240" w:lineRule="auto"/>
                    <w:ind w:firstLine="0" w:firstLineChars="0"/>
                    <w:jc w:val="center"/>
                    <w:rPr>
                      <w:rFonts w:ascii="Times New Roman" w:hAnsi="Times New Roman" w:cs="Times New Roman"/>
                      <w:color w:val="000000" w:themeColor="text1"/>
                      <w:sz w:val="18"/>
                      <w:szCs w:val="18"/>
                      <w:lang w:eastAsia="zh-CN"/>
                    </w:rPr>
                  </w:pPr>
                  <w:r>
                    <w:rPr>
                      <w:rFonts w:hint="eastAsia" w:ascii="Times New Roman" w:hAnsi="Times New Roman" w:cs="Times New Roman"/>
                      <w:color w:val="000000" w:themeColor="text1"/>
                      <w:sz w:val="18"/>
                      <w:szCs w:val="18"/>
                      <w:lang w:eastAsia="zh-CN"/>
                    </w:rPr>
                    <w:t>布袋除尘器风机</w:t>
                  </w:r>
                </w:p>
              </w:tc>
              <w:tc>
                <w:tcPr>
                  <w:tcW w:w="363" w:type="pct"/>
                  <w:tcBorders>
                    <w:tl2br w:val="nil"/>
                    <w:tr2bl w:val="nil"/>
                  </w:tcBorders>
                  <w:vAlign w:val="center"/>
                </w:tcPr>
                <w:p w14:paraId="253231F3">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35000m</w:t>
                  </w:r>
                  <w:r>
                    <w:rPr>
                      <w:rFonts w:hint="eastAsia"/>
                      <w:color w:val="000000" w:themeColor="text1"/>
                      <w:sz w:val="18"/>
                      <w:szCs w:val="18"/>
                      <w:vertAlign w:val="superscript"/>
                      <w:lang w:eastAsia="en-US"/>
                    </w:rPr>
                    <w:t>3</w:t>
                  </w:r>
                  <w:r>
                    <w:rPr>
                      <w:rFonts w:hint="eastAsia"/>
                      <w:color w:val="000000" w:themeColor="text1"/>
                      <w:sz w:val="18"/>
                      <w:szCs w:val="18"/>
                      <w:lang w:eastAsia="en-US"/>
                    </w:rPr>
                    <w:t>/h</w:t>
                  </w:r>
                </w:p>
              </w:tc>
              <w:tc>
                <w:tcPr>
                  <w:tcW w:w="391" w:type="pct"/>
                  <w:tcBorders>
                    <w:tl2br w:val="nil"/>
                    <w:tr2bl w:val="nil"/>
                  </w:tcBorders>
                  <w:vAlign w:val="center"/>
                </w:tcPr>
                <w:p w14:paraId="09E2D9EF">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18</w:t>
                  </w:r>
                </w:p>
              </w:tc>
              <w:tc>
                <w:tcPr>
                  <w:tcW w:w="319" w:type="pct"/>
                  <w:tcBorders>
                    <w:tl2br w:val="nil"/>
                    <w:tr2bl w:val="nil"/>
                  </w:tcBorders>
                  <w:vAlign w:val="center"/>
                </w:tcPr>
                <w:p w14:paraId="7B7A0E49">
                  <w:pPr>
                    <w:autoSpaceDE/>
                    <w:autoSpaceDN/>
                    <w:spacing w:line="240" w:lineRule="auto"/>
                    <w:ind w:firstLine="0" w:firstLineChars="0"/>
                    <w:jc w:val="center"/>
                    <w:rPr>
                      <w:color w:val="000000" w:themeColor="text1"/>
                      <w:sz w:val="18"/>
                      <w:szCs w:val="18"/>
                      <w:lang w:eastAsia="en-US"/>
                    </w:rPr>
                  </w:pPr>
                  <w:r>
                    <w:rPr>
                      <w:rFonts w:hint="eastAsia"/>
                      <w:color w:val="000000" w:themeColor="text1"/>
                      <w:sz w:val="18"/>
                      <w:szCs w:val="18"/>
                      <w:lang w:eastAsia="en-US"/>
                    </w:rPr>
                    <w:t>8.8</w:t>
                  </w:r>
                </w:p>
              </w:tc>
              <w:tc>
                <w:tcPr>
                  <w:tcW w:w="374" w:type="pct"/>
                  <w:tcBorders>
                    <w:tl2br w:val="nil"/>
                    <w:tr2bl w:val="nil"/>
                  </w:tcBorders>
                  <w:vAlign w:val="center"/>
                </w:tcPr>
                <w:p w14:paraId="26E40FBD">
                  <w:pPr>
                    <w:autoSpaceDE/>
                    <w:autoSpaceDN/>
                    <w:spacing w:line="240" w:lineRule="auto"/>
                    <w:ind w:firstLine="0" w:firstLineChars="0"/>
                    <w:jc w:val="center"/>
                    <w:rPr>
                      <w:rFonts w:eastAsia="Times New Roman"/>
                      <w:color w:val="000000" w:themeColor="text1"/>
                      <w:sz w:val="18"/>
                      <w:szCs w:val="18"/>
                      <w:lang w:eastAsia="en-US"/>
                    </w:rPr>
                  </w:pPr>
                  <w:r>
                    <w:rPr>
                      <w:rFonts w:eastAsia="Times New Roman"/>
                      <w:color w:val="000000" w:themeColor="text1"/>
                      <w:sz w:val="18"/>
                      <w:szCs w:val="18"/>
                      <w:lang w:eastAsia="en-US"/>
                    </w:rPr>
                    <w:t>1</w:t>
                  </w:r>
                </w:p>
              </w:tc>
              <w:tc>
                <w:tcPr>
                  <w:tcW w:w="947" w:type="pct"/>
                  <w:tcBorders>
                    <w:tl2br w:val="nil"/>
                    <w:tr2bl w:val="nil"/>
                  </w:tcBorders>
                  <w:vAlign w:val="center"/>
                </w:tcPr>
                <w:p w14:paraId="7376B402">
                  <w:pPr>
                    <w:autoSpaceDE/>
                    <w:autoSpaceDN/>
                    <w:spacing w:line="240" w:lineRule="auto"/>
                    <w:ind w:firstLine="0" w:firstLineChars="0"/>
                    <w:jc w:val="center"/>
                    <w:rPr>
                      <w:rFonts w:eastAsia="Times New Roman"/>
                      <w:color w:val="000000" w:themeColor="text1"/>
                      <w:sz w:val="18"/>
                      <w:szCs w:val="18"/>
                      <w:lang w:eastAsia="en-US"/>
                    </w:rPr>
                  </w:pPr>
                  <w:r>
                    <w:rPr>
                      <w:rFonts w:hint="eastAsia"/>
                      <w:color w:val="000000" w:themeColor="text1"/>
                      <w:spacing w:val="-4"/>
                      <w:sz w:val="18"/>
                      <w:szCs w:val="18"/>
                      <w:lang w:eastAsia="en-US"/>
                    </w:rPr>
                    <w:t>85/1m</w:t>
                  </w:r>
                </w:p>
              </w:tc>
              <w:tc>
                <w:tcPr>
                  <w:tcW w:w="545" w:type="pct"/>
                  <w:vMerge w:val="continue"/>
                  <w:tcBorders>
                    <w:tl2br w:val="nil"/>
                    <w:tr2bl w:val="nil"/>
                  </w:tcBorders>
                  <w:vAlign w:val="center"/>
                </w:tcPr>
                <w:p w14:paraId="2DAD0FF5">
                  <w:pPr>
                    <w:autoSpaceDE/>
                    <w:autoSpaceDN/>
                    <w:spacing w:line="240" w:lineRule="auto"/>
                    <w:ind w:firstLine="0" w:firstLineChars="0"/>
                    <w:jc w:val="center"/>
                    <w:rPr>
                      <w:color w:val="000000" w:themeColor="text1"/>
                      <w:sz w:val="18"/>
                      <w:szCs w:val="18"/>
                      <w:lang w:eastAsia="en-US"/>
                    </w:rPr>
                  </w:pPr>
                </w:p>
              </w:tc>
              <w:tc>
                <w:tcPr>
                  <w:tcW w:w="633" w:type="pct"/>
                  <w:vMerge w:val="continue"/>
                  <w:tcBorders>
                    <w:tl2br w:val="nil"/>
                    <w:tr2bl w:val="nil"/>
                  </w:tcBorders>
                  <w:vAlign w:val="center"/>
                </w:tcPr>
                <w:p w14:paraId="11F32C05">
                  <w:pPr>
                    <w:autoSpaceDE/>
                    <w:autoSpaceDN/>
                    <w:spacing w:line="240" w:lineRule="auto"/>
                    <w:ind w:firstLine="0" w:firstLineChars="0"/>
                    <w:jc w:val="center"/>
                    <w:rPr>
                      <w:color w:val="000000" w:themeColor="text1"/>
                      <w:sz w:val="18"/>
                      <w:szCs w:val="18"/>
                      <w:lang w:eastAsia="en-US"/>
                    </w:rPr>
                  </w:pPr>
                </w:p>
              </w:tc>
            </w:tr>
            <w:tr w14:paraId="3DA5AA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c>
                <w:tcPr>
                  <w:tcW w:w="5000" w:type="pct"/>
                  <w:gridSpan w:val="9"/>
                  <w:tcBorders>
                    <w:tl2br w:val="nil"/>
                    <w:tr2bl w:val="nil"/>
                  </w:tcBorders>
                  <w:vAlign w:val="center"/>
                </w:tcPr>
                <w:p w14:paraId="0877BB97">
                  <w:pPr>
                    <w:autoSpaceDE/>
                    <w:autoSpaceDN/>
                    <w:spacing w:line="240" w:lineRule="auto"/>
                    <w:ind w:firstLine="0" w:firstLineChars="0"/>
                    <w:jc w:val="left"/>
                    <w:rPr>
                      <w:color w:val="000000" w:themeColor="text1"/>
                      <w:sz w:val="18"/>
                      <w:szCs w:val="18"/>
                      <w:lang w:eastAsia="en-US"/>
                    </w:rPr>
                  </w:pPr>
                  <w:r>
                    <w:rPr>
                      <w:rFonts w:hint="eastAsia"/>
                      <w:b/>
                      <w:bCs/>
                      <w:color w:val="000000" w:themeColor="text1"/>
                      <w:sz w:val="18"/>
                      <w:szCs w:val="18"/>
                      <w:lang w:eastAsia="en-US"/>
                    </w:rPr>
                    <w:t>注：厂界（堆场）西</w:t>
                  </w:r>
                  <w:r>
                    <w:rPr>
                      <w:rStyle w:val="53"/>
                      <w:rFonts w:hint="eastAsia"/>
                      <w:color w:val="000000" w:themeColor="text1"/>
                      <w:sz w:val="18"/>
                      <w:szCs w:val="18"/>
                      <w:lang w:eastAsia="en-US"/>
                    </w:rPr>
                    <w:t>南角坐标为（0,0,0）</w:t>
                  </w:r>
                </w:p>
              </w:tc>
            </w:tr>
          </w:tbl>
          <w:p w14:paraId="57376B81">
            <w:pPr>
              <w:ind w:firstLine="0" w:firstLineChars="0"/>
              <w:rPr>
                <w:color w:val="000000" w:themeColor="text1"/>
              </w:rPr>
            </w:pPr>
          </w:p>
          <w:p w14:paraId="23BD724F">
            <w:pPr>
              <w:ind w:firstLine="0" w:firstLineChars="0"/>
              <w:rPr>
                <w:color w:val="000000" w:themeColor="text1"/>
              </w:rPr>
            </w:pPr>
          </w:p>
          <w:p w14:paraId="08726DB6">
            <w:pPr>
              <w:ind w:firstLine="0" w:firstLineChars="0"/>
              <w:rPr>
                <w:color w:val="000000" w:themeColor="text1"/>
              </w:rPr>
            </w:pPr>
          </w:p>
          <w:p w14:paraId="100B942F">
            <w:pPr>
              <w:ind w:firstLine="0" w:firstLineChars="0"/>
              <w:rPr>
                <w:color w:val="000000" w:themeColor="text1"/>
              </w:rPr>
            </w:pPr>
          </w:p>
          <w:p w14:paraId="21ED028A">
            <w:pPr>
              <w:ind w:firstLine="0" w:firstLineChars="0"/>
              <w:rPr>
                <w:color w:val="000000" w:themeColor="text1"/>
              </w:rPr>
            </w:pPr>
          </w:p>
        </w:tc>
      </w:tr>
    </w:tbl>
    <w:p w14:paraId="60E29B7D">
      <w:pPr>
        <w:pStyle w:val="15"/>
        <w:spacing w:line="320" w:lineRule="exact"/>
        <w:ind w:left="1680" w:right="1680" w:firstLine="480"/>
        <w:rPr>
          <w:color w:val="000000" w:themeColor="text1"/>
        </w:rPr>
        <w:sectPr>
          <w:pgSz w:w="16838" w:h="11906" w:orient="landscape"/>
          <w:pgMar w:top="1417" w:right="1440" w:bottom="1247" w:left="1440" w:header="851" w:footer="992" w:gutter="0"/>
          <w:cols w:space="425" w:num="1"/>
          <w:docGrid w:type="lines" w:linePitch="312" w:charSpace="0"/>
        </w:sectPr>
      </w:pPr>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321"/>
      </w:tblGrid>
      <w:tr w14:paraId="1D2ED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Borders>
              <w:tl2br w:val="nil"/>
              <w:tr2bl w:val="nil"/>
            </w:tcBorders>
          </w:tcPr>
          <w:p w14:paraId="7E3F3BE6">
            <w:pPr>
              <w:ind w:firstLine="480"/>
              <w:rPr>
                <w:color w:val="000000" w:themeColor="text1"/>
              </w:rPr>
            </w:pPr>
          </w:p>
        </w:tc>
        <w:tc>
          <w:tcPr>
            <w:tcW w:w="8321" w:type="dxa"/>
            <w:tcBorders>
              <w:tl2br w:val="nil"/>
              <w:tr2bl w:val="nil"/>
            </w:tcBorders>
          </w:tcPr>
          <w:p w14:paraId="6815FE97">
            <w:pPr>
              <w:autoSpaceDE w:val="0"/>
              <w:autoSpaceDN w:val="0"/>
              <w:adjustRightInd w:val="0"/>
              <w:spacing w:line="360" w:lineRule="auto"/>
              <w:ind w:firstLine="482"/>
              <w:rPr>
                <w:b/>
                <w:bCs/>
                <w:color w:val="000000" w:themeColor="text1"/>
                <w:lang w:val="zh-CN"/>
              </w:rPr>
            </w:pPr>
            <w:r>
              <w:rPr>
                <w:b/>
                <w:bCs/>
                <w:color w:val="000000" w:themeColor="text1"/>
                <w:lang w:val="zh-CN"/>
              </w:rPr>
              <w:t>3.2 噪声</w:t>
            </w:r>
            <w:r>
              <w:rPr>
                <w:rFonts w:hint="eastAsia"/>
                <w:b/>
                <w:bCs/>
                <w:color w:val="000000" w:themeColor="text1"/>
              </w:rPr>
              <w:t>影响预测</w:t>
            </w:r>
            <w:r>
              <w:rPr>
                <w:b/>
                <w:bCs/>
                <w:color w:val="000000" w:themeColor="text1"/>
                <w:lang w:val="zh-CN"/>
              </w:rPr>
              <w:t>及达标分析</w:t>
            </w:r>
          </w:p>
          <w:p w14:paraId="7CE8CC7F">
            <w:pPr>
              <w:autoSpaceDE w:val="0"/>
              <w:autoSpaceDN w:val="0"/>
              <w:adjustRightInd w:val="0"/>
              <w:spacing w:line="360" w:lineRule="auto"/>
              <w:ind w:firstLine="480"/>
              <w:rPr>
                <w:color w:val="000000" w:themeColor="text1"/>
                <w:lang w:val="zh-CN"/>
              </w:rPr>
            </w:pPr>
            <w:r>
              <w:rPr>
                <w:rFonts w:hint="eastAsia"/>
                <w:color w:val="000000" w:themeColor="text1"/>
                <w:lang w:val="zh-CN"/>
              </w:rPr>
              <w:t>（</w:t>
            </w:r>
            <w:r>
              <w:rPr>
                <w:rFonts w:hint="eastAsia"/>
                <w:color w:val="000000" w:themeColor="text1"/>
              </w:rPr>
              <w:t>1</w:t>
            </w:r>
            <w:r>
              <w:rPr>
                <w:rFonts w:hint="eastAsia"/>
                <w:color w:val="000000" w:themeColor="text1"/>
                <w:lang w:val="zh-CN"/>
              </w:rPr>
              <w:t>）</w:t>
            </w:r>
            <w:r>
              <w:rPr>
                <w:color w:val="000000" w:themeColor="text1"/>
                <w:lang w:val="zh-CN"/>
              </w:rPr>
              <w:t>噪声预测</w:t>
            </w:r>
          </w:p>
          <w:p w14:paraId="778E80C4">
            <w:pPr>
              <w:spacing w:line="360" w:lineRule="auto"/>
              <w:ind w:firstLine="480"/>
              <w:rPr>
                <w:color w:val="000000" w:themeColor="text1"/>
              </w:rPr>
            </w:pPr>
            <w:r>
              <w:rPr>
                <w:color w:val="000000" w:themeColor="text1"/>
              </w:rPr>
              <w:t>预测模型采用《环境影响评价技术导则 声环境》（HJ2.4-2021）中附录A和附录B推荐的工业噪声预测模型。预测计算只考虑工程各声源所在厂房围护结构的屏蔽效应和声源至受声点的几何发散衰减，不考虑空气吸收及影响较小的附加衰减。</w:t>
            </w:r>
          </w:p>
          <w:p w14:paraId="716964CA">
            <w:pPr>
              <w:spacing w:line="360" w:lineRule="auto"/>
              <w:ind w:firstLine="480"/>
              <w:rPr>
                <w:color w:val="000000" w:themeColor="text1"/>
              </w:rPr>
            </w:pPr>
            <w:r>
              <w:rPr>
                <w:color w:val="000000" w:themeColor="text1"/>
              </w:rPr>
              <w:t>采用预测模式如下：</w:t>
            </w:r>
          </w:p>
          <w:p w14:paraId="33040A77">
            <w:pPr>
              <w:spacing w:line="360" w:lineRule="auto"/>
              <w:ind w:firstLine="480"/>
              <w:rPr>
                <w:snapToGrid w:val="0"/>
                <w:color w:val="000000" w:themeColor="text1"/>
              </w:rPr>
            </w:pPr>
            <w:r>
              <w:rPr>
                <w:snapToGrid w:val="0"/>
                <w:color w:val="000000" w:themeColor="text1"/>
              </w:rPr>
              <w:t>①室外声源在预测点产生的声级计算模型</w:t>
            </w:r>
          </w:p>
          <w:p w14:paraId="5E1F8074">
            <w:pPr>
              <w:spacing w:line="360" w:lineRule="auto"/>
              <w:ind w:firstLine="480"/>
              <w:rPr>
                <w:color w:val="000000" w:themeColor="text1"/>
              </w:rPr>
            </w:pPr>
            <w:r>
              <w:rPr>
                <w:color w:val="000000" w:themeColor="text1"/>
              </w:rPr>
              <w:t>室外声源在预测点产生的声级计算模型参照导则附录 A：</w:t>
            </w:r>
          </w:p>
          <w:p w14:paraId="251EB8A4">
            <w:pPr>
              <w:pStyle w:val="62"/>
              <w:spacing w:line="360" w:lineRule="auto"/>
              <w:ind w:firstLine="480" w:firstLineChars="200"/>
              <w:rPr>
                <w:color w:val="000000" w:themeColor="text1"/>
                <w:sz w:val="24"/>
              </w:rPr>
            </w:pPr>
            <w:r>
              <w:rPr>
                <w:color w:val="000000" w:themeColor="text1"/>
                <w:position w:val="-14"/>
                <w:sz w:val="24"/>
              </w:rPr>
              <w:pict>
                <v:shape id="_x0000_i1026" o:spt="75" type="#_x0000_t75" style="height:20.25pt;width:268.5pt;" filled="f" o:preferrelative="t" stroked="f" coordsize="21600,21600">
                  <v:path/>
                  <v:fill on="f" focussize="0,0"/>
                  <v:stroke on="f" joinstyle="miter"/>
                  <v:imagedata r:id="rId22" o:title=""/>
                  <o:lock v:ext="edit" aspectratio="t"/>
                  <w10:wrap type="none"/>
                  <w10:anchorlock/>
                </v:shape>
              </w:pict>
            </w:r>
          </w:p>
          <w:p w14:paraId="40C59919">
            <w:pPr>
              <w:spacing w:line="360" w:lineRule="auto"/>
              <w:ind w:firstLine="480"/>
              <w:rPr>
                <w:color w:val="000000" w:themeColor="text1"/>
              </w:rPr>
            </w:pPr>
            <w:r>
              <w:rPr>
                <w:color w:val="000000" w:themeColor="text1"/>
              </w:rPr>
              <w:t>式中：</w:t>
            </w:r>
            <w:r>
              <w:rPr>
                <w:i/>
                <w:iCs/>
                <w:color w:val="000000" w:themeColor="text1"/>
              </w:rPr>
              <w:t>L</w:t>
            </w:r>
            <w:r>
              <w:rPr>
                <w:i/>
                <w:iCs/>
                <w:color w:val="000000" w:themeColor="text1"/>
                <w:vertAlign w:val="subscript"/>
              </w:rPr>
              <w:t>p</w:t>
            </w:r>
            <w:r>
              <w:rPr>
                <w:i/>
                <w:iCs/>
                <w:color w:val="000000" w:themeColor="text1"/>
              </w:rPr>
              <w:t>(r)</w:t>
            </w:r>
            <w:r>
              <w:rPr>
                <w:color w:val="000000" w:themeColor="text1"/>
              </w:rPr>
              <w:t>──预测点处声压级，dB；</w:t>
            </w:r>
          </w:p>
          <w:p w14:paraId="1A015D04">
            <w:pPr>
              <w:spacing w:line="360" w:lineRule="auto"/>
              <w:ind w:firstLine="480"/>
              <w:rPr>
                <w:color w:val="000000" w:themeColor="text1"/>
              </w:rPr>
            </w:pPr>
            <w:r>
              <w:rPr>
                <w:i/>
                <w:iCs/>
                <w:color w:val="000000" w:themeColor="text1"/>
              </w:rPr>
              <w:t>L</w:t>
            </w:r>
            <w:r>
              <w:rPr>
                <w:i/>
                <w:iCs/>
                <w:color w:val="000000" w:themeColor="text1"/>
                <w:vertAlign w:val="subscript"/>
              </w:rPr>
              <w:t>p</w:t>
            </w:r>
            <w:r>
              <w:rPr>
                <w:i/>
                <w:iCs/>
                <w:color w:val="000000" w:themeColor="text1"/>
              </w:rPr>
              <w:t>(r</w:t>
            </w:r>
            <w:r>
              <w:rPr>
                <w:i/>
                <w:iCs/>
                <w:color w:val="000000" w:themeColor="text1"/>
                <w:vertAlign w:val="subscript"/>
              </w:rPr>
              <w:t>0</w:t>
            </w:r>
            <w:r>
              <w:rPr>
                <w:i/>
                <w:iCs/>
                <w:color w:val="000000" w:themeColor="text1"/>
              </w:rPr>
              <w:t>)</w:t>
            </w:r>
            <w:r>
              <w:rPr>
                <w:color w:val="000000" w:themeColor="text1"/>
              </w:rPr>
              <w:t>—参考位置r</w:t>
            </w:r>
            <w:r>
              <w:rPr>
                <w:color w:val="000000" w:themeColor="text1"/>
                <w:vertAlign w:val="subscript"/>
              </w:rPr>
              <w:t>0</w:t>
            </w:r>
            <w:r>
              <w:rPr>
                <w:color w:val="000000" w:themeColor="text1"/>
              </w:rPr>
              <w:t>处的声压级，dB；</w:t>
            </w:r>
          </w:p>
          <w:p w14:paraId="2EA82533">
            <w:pPr>
              <w:spacing w:line="360" w:lineRule="auto"/>
              <w:ind w:firstLine="480"/>
              <w:rPr>
                <w:color w:val="000000" w:themeColor="text1"/>
              </w:rPr>
            </w:pPr>
            <w:r>
              <w:rPr>
                <w:i/>
                <w:iCs/>
                <w:color w:val="000000" w:themeColor="text1"/>
              </w:rPr>
              <w:t>D</w:t>
            </w:r>
            <w:r>
              <w:rPr>
                <w:i/>
                <w:iCs/>
                <w:color w:val="000000" w:themeColor="text1"/>
                <w:vertAlign w:val="subscript"/>
              </w:rPr>
              <w:t>C</w:t>
            </w:r>
            <w:r>
              <w:rPr>
                <w:color w:val="000000" w:themeColor="text1"/>
              </w:rPr>
              <w:t>—指向性校正，它描述点声源的等效连续声压级与产生声功率级</w:t>
            </w:r>
            <w:r>
              <w:rPr>
                <w:i/>
                <w:iCs/>
                <w:color w:val="000000" w:themeColor="text1"/>
              </w:rPr>
              <w:t>L</w:t>
            </w:r>
            <w:r>
              <w:rPr>
                <w:i/>
                <w:iCs/>
                <w:color w:val="000000" w:themeColor="text1"/>
                <w:vertAlign w:val="subscript"/>
              </w:rPr>
              <w:t>w</w:t>
            </w:r>
            <w:r>
              <w:rPr>
                <w:color w:val="000000" w:themeColor="text1"/>
              </w:rPr>
              <w:t>的全向点声源在规定方向的声级的偏差程度，dB；</w:t>
            </w:r>
          </w:p>
          <w:p w14:paraId="01D8D5C7">
            <w:pPr>
              <w:spacing w:line="360" w:lineRule="auto"/>
              <w:ind w:firstLine="480"/>
              <w:rPr>
                <w:color w:val="000000" w:themeColor="text1"/>
              </w:rPr>
            </w:pPr>
            <w:r>
              <w:rPr>
                <w:i/>
                <w:iCs/>
                <w:color w:val="000000" w:themeColor="text1"/>
              </w:rPr>
              <w:t>A</w:t>
            </w:r>
            <w:r>
              <w:rPr>
                <w:i/>
                <w:iCs/>
                <w:color w:val="000000" w:themeColor="text1"/>
                <w:vertAlign w:val="subscript"/>
              </w:rPr>
              <w:t>div</w:t>
            </w:r>
            <w:r>
              <w:rPr>
                <w:color w:val="000000" w:themeColor="text1"/>
              </w:rPr>
              <w:t>──几何发散引起的衰减，dB；</w:t>
            </w:r>
          </w:p>
          <w:p w14:paraId="56B79845">
            <w:pPr>
              <w:spacing w:line="360" w:lineRule="auto"/>
              <w:ind w:firstLine="480"/>
              <w:rPr>
                <w:color w:val="000000" w:themeColor="text1"/>
              </w:rPr>
            </w:pPr>
            <w:r>
              <w:rPr>
                <w:i/>
                <w:iCs/>
                <w:color w:val="000000" w:themeColor="text1"/>
              </w:rPr>
              <w:t>A</w:t>
            </w:r>
            <w:r>
              <w:rPr>
                <w:i/>
                <w:iCs/>
                <w:color w:val="000000" w:themeColor="text1"/>
                <w:vertAlign w:val="subscript"/>
              </w:rPr>
              <w:t>atm</w:t>
            </w:r>
            <w:r>
              <w:rPr>
                <w:color w:val="000000" w:themeColor="text1"/>
              </w:rPr>
              <w:t>──大气吸收引起的衰减，dB；</w:t>
            </w:r>
          </w:p>
          <w:p w14:paraId="352974FA">
            <w:pPr>
              <w:spacing w:line="360" w:lineRule="auto"/>
              <w:ind w:firstLine="480"/>
              <w:rPr>
                <w:color w:val="000000" w:themeColor="text1"/>
              </w:rPr>
            </w:pPr>
            <w:r>
              <w:rPr>
                <w:i/>
                <w:iCs/>
                <w:color w:val="000000" w:themeColor="text1"/>
              </w:rPr>
              <w:t>A</w:t>
            </w:r>
            <w:r>
              <w:rPr>
                <w:i/>
                <w:iCs/>
                <w:color w:val="000000" w:themeColor="text1"/>
                <w:vertAlign w:val="subscript"/>
              </w:rPr>
              <w:t>gr</w:t>
            </w:r>
            <w:r>
              <w:rPr>
                <w:color w:val="000000" w:themeColor="text1"/>
              </w:rPr>
              <w:t>──地面效应引起的衰减，dB；</w:t>
            </w:r>
          </w:p>
          <w:p w14:paraId="35E79077">
            <w:pPr>
              <w:spacing w:line="360" w:lineRule="auto"/>
              <w:ind w:firstLine="480"/>
              <w:rPr>
                <w:color w:val="000000" w:themeColor="text1"/>
              </w:rPr>
            </w:pPr>
            <w:r>
              <w:rPr>
                <w:i/>
                <w:iCs/>
                <w:color w:val="000000" w:themeColor="text1"/>
              </w:rPr>
              <w:t>A</w:t>
            </w:r>
            <w:r>
              <w:rPr>
                <w:i/>
                <w:iCs/>
                <w:color w:val="000000" w:themeColor="text1"/>
                <w:vertAlign w:val="subscript"/>
              </w:rPr>
              <w:t>bar</w:t>
            </w:r>
            <w:r>
              <w:rPr>
                <w:color w:val="000000" w:themeColor="text1"/>
              </w:rPr>
              <w:t>──障碍物屏蔽引起的衰减，dB；</w:t>
            </w:r>
          </w:p>
          <w:p w14:paraId="7253F682">
            <w:pPr>
              <w:spacing w:line="360" w:lineRule="auto"/>
              <w:ind w:firstLine="480"/>
              <w:rPr>
                <w:color w:val="000000" w:themeColor="text1"/>
              </w:rPr>
            </w:pPr>
            <w:r>
              <w:rPr>
                <w:i/>
                <w:iCs/>
                <w:color w:val="000000" w:themeColor="text1"/>
              </w:rPr>
              <w:t>A</w:t>
            </w:r>
            <w:r>
              <w:rPr>
                <w:i/>
                <w:iCs/>
                <w:color w:val="000000" w:themeColor="text1"/>
                <w:vertAlign w:val="subscript"/>
              </w:rPr>
              <w:t>misc</w:t>
            </w:r>
            <w:r>
              <w:rPr>
                <w:color w:val="000000" w:themeColor="text1"/>
              </w:rPr>
              <w:t>──其他多方面效应引起的衰减，dB。</w:t>
            </w:r>
          </w:p>
          <w:p w14:paraId="6DA4E95F">
            <w:pPr>
              <w:pStyle w:val="6"/>
              <w:spacing w:line="360" w:lineRule="auto"/>
              <w:ind w:firstLine="480"/>
              <w:rPr>
                <w:color w:val="000000" w:themeColor="text1"/>
              </w:rPr>
            </w:pPr>
            <w:r>
              <w:rPr>
                <w:color w:val="000000" w:themeColor="text1"/>
                <w:lang w:val="zh-CN"/>
              </w:rPr>
              <w:t>本</w:t>
            </w:r>
            <w:r>
              <w:rPr>
                <w:color w:val="000000" w:themeColor="text1"/>
              </w:rPr>
              <w:t>评价</w:t>
            </w:r>
            <w:r>
              <w:rPr>
                <w:color w:val="000000" w:themeColor="text1"/>
                <w:lang w:val="zh-CN"/>
              </w:rPr>
              <w:t>预测计算只考虑各声源至受声点的几何发散衰减，不考虑</w:t>
            </w:r>
            <w:r>
              <w:rPr>
                <w:color w:val="000000" w:themeColor="text1"/>
              </w:rPr>
              <w:t>大气吸收、地面效应、障碍物屏蔽及其他多方面等影响较小的衰减。</w:t>
            </w:r>
          </w:p>
          <w:p w14:paraId="233647F5">
            <w:pPr>
              <w:pStyle w:val="6"/>
              <w:spacing w:line="360" w:lineRule="auto"/>
              <w:ind w:firstLine="480"/>
              <w:rPr>
                <w:color w:val="000000" w:themeColor="text1"/>
              </w:rPr>
            </w:pPr>
            <w:r>
              <w:rPr>
                <w:color w:val="000000" w:themeColor="text1"/>
              </w:rPr>
              <w:t>预测点的A声级，可利用8个倍频带的声压级按下式计算：</w:t>
            </w:r>
          </w:p>
          <w:p w14:paraId="242A9237">
            <w:pPr>
              <w:pStyle w:val="7"/>
              <w:tabs>
                <w:tab w:val="right" w:leader="dot" w:pos="8296"/>
              </w:tabs>
              <w:spacing w:line="360" w:lineRule="auto"/>
              <w:ind w:firstLine="480" w:firstLineChars="200"/>
              <w:jc w:val="center"/>
              <w:rPr>
                <w:caps w:val="0"/>
                <w:snapToGrid w:val="0"/>
                <w:color w:val="000000" w:themeColor="text1"/>
              </w:rPr>
            </w:pPr>
            <w:r>
              <w:rPr>
                <w:bCs w:val="0"/>
                <w:caps w:val="0"/>
                <w:color w:val="000000" w:themeColor="text1"/>
              </w:rPr>
              <w:t> </w:t>
            </w:r>
            <w:r>
              <w:rPr>
                <w:caps w:val="0"/>
                <w:snapToGrid w:val="0"/>
                <w:color w:val="000000" w:themeColor="text1"/>
              </w:rPr>
              <w:t></w:t>
            </w:r>
            <w:r>
              <w:rPr>
                <w:caps w:val="0"/>
                <w:color w:val="000000" w:themeColor="text1"/>
                <w:kern w:val="0"/>
                <w:position w:val="-30"/>
              </w:rPr>
              <w:pict>
                <v:shape id="_x0000_i1027" o:spt="75" type="#_x0000_t75" style="height:34.5pt;width:168.75pt;" filled="f" o:preferrelative="f" stroked="f" coordsize="21600,21600">
                  <v:path/>
                  <v:fill on="f" focussize="0,0"/>
                  <v:stroke on="f" joinstyle="miter"/>
                  <v:imagedata r:id="rId23" o:title=""/>
                  <o:lock v:ext="edit" rotation="t" aspectratio="f"/>
                  <w10:wrap type="none"/>
                  <w10:anchorlock/>
                </v:shape>
              </w:pict>
            </w:r>
          </w:p>
          <w:p w14:paraId="6DE2F4FB">
            <w:pPr>
              <w:pStyle w:val="7"/>
              <w:tabs>
                <w:tab w:val="right" w:leader="dot" w:pos="8296"/>
              </w:tabs>
              <w:spacing w:line="360" w:lineRule="auto"/>
              <w:ind w:firstLine="480" w:firstLineChars="200"/>
              <w:rPr>
                <w:bCs w:val="0"/>
                <w:caps w:val="0"/>
                <w:color w:val="000000" w:themeColor="text1"/>
              </w:rPr>
            </w:pPr>
            <w:r>
              <w:rPr>
                <w:bCs w:val="0"/>
                <w:caps w:val="0"/>
                <w:color w:val="000000" w:themeColor="text1"/>
              </w:rPr>
              <w:t>式中：</w:t>
            </w:r>
            <w:r>
              <w:rPr>
                <w:bCs w:val="0"/>
                <w:i/>
                <w:iCs/>
                <w:caps w:val="0"/>
                <w:color w:val="000000" w:themeColor="text1"/>
              </w:rPr>
              <w:t>L</w:t>
            </w:r>
            <w:r>
              <w:rPr>
                <w:bCs w:val="0"/>
                <w:i/>
                <w:iCs/>
                <w:caps w:val="0"/>
                <w:color w:val="000000" w:themeColor="text1"/>
                <w:vertAlign w:val="subscript"/>
              </w:rPr>
              <w:t>A</w:t>
            </w:r>
            <w:r>
              <w:rPr>
                <w:bCs w:val="0"/>
                <w:i/>
                <w:iCs/>
                <w:caps w:val="0"/>
                <w:color w:val="000000" w:themeColor="text1"/>
              </w:rPr>
              <w:t>（r）</w:t>
            </w:r>
            <w:r>
              <w:rPr>
                <w:bCs w:val="0"/>
                <w:caps w:val="0"/>
                <w:color w:val="000000" w:themeColor="text1"/>
              </w:rPr>
              <w:t>—距声源r处的A声级，dB（A）；</w:t>
            </w:r>
          </w:p>
          <w:p w14:paraId="05309104">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L</w:t>
            </w:r>
            <w:r>
              <w:rPr>
                <w:bCs w:val="0"/>
                <w:i/>
                <w:iCs/>
                <w:caps w:val="0"/>
                <w:color w:val="000000" w:themeColor="text1"/>
                <w:vertAlign w:val="subscript"/>
              </w:rPr>
              <w:t>Pi</w:t>
            </w:r>
            <w:r>
              <w:rPr>
                <w:bCs w:val="0"/>
                <w:i/>
                <w:iCs/>
                <w:caps w:val="0"/>
                <w:color w:val="000000" w:themeColor="text1"/>
              </w:rPr>
              <w:t>（r）</w:t>
            </w:r>
            <w:r>
              <w:rPr>
                <w:bCs w:val="0"/>
                <w:caps w:val="0"/>
                <w:color w:val="000000" w:themeColor="text1"/>
              </w:rPr>
              <w:t>—预测点（r）处，第i倍频带声压级，dB；</w:t>
            </w:r>
          </w:p>
          <w:p w14:paraId="5CE86A27">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ΔL</w:t>
            </w:r>
            <w:r>
              <w:rPr>
                <w:bCs w:val="0"/>
                <w:i/>
                <w:iCs/>
                <w:caps w:val="0"/>
                <w:color w:val="000000" w:themeColor="text1"/>
                <w:vertAlign w:val="subscript"/>
              </w:rPr>
              <w:t>i</w:t>
            </w:r>
            <w:r>
              <w:rPr>
                <w:bCs w:val="0"/>
                <w:caps w:val="0"/>
                <w:color w:val="000000" w:themeColor="text1"/>
              </w:rPr>
              <w:t>—第i 倍频带 A 计权网络修正值，dB。</w:t>
            </w:r>
          </w:p>
          <w:p w14:paraId="491FD10E">
            <w:pPr>
              <w:pStyle w:val="6"/>
              <w:spacing w:line="360" w:lineRule="auto"/>
              <w:ind w:firstLine="480"/>
              <w:rPr>
                <w:color w:val="000000" w:themeColor="text1"/>
              </w:rPr>
            </w:pPr>
            <w:r>
              <w:rPr>
                <w:color w:val="000000" w:themeColor="text1"/>
              </w:rPr>
              <w:t>I、指向性校正</w:t>
            </w:r>
          </w:p>
          <w:p w14:paraId="0DDC7A91">
            <w:pPr>
              <w:pStyle w:val="6"/>
              <w:spacing w:line="360" w:lineRule="auto"/>
              <w:ind w:firstLine="480"/>
              <w:rPr>
                <w:color w:val="000000" w:themeColor="text1"/>
              </w:rPr>
            </w:pPr>
            <w:r>
              <w:rPr>
                <w:color w:val="000000" w:themeColor="text1"/>
              </w:rPr>
              <w:t>本次评价忽略。</w:t>
            </w:r>
          </w:p>
          <w:p w14:paraId="7E93DF70">
            <w:pPr>
              <w:pStyle w:val="6"/>
              <w:spacing w:line="360" w:lineRule="auto"/>
              <w:ind w:firstLine="480"/>
              <w:rPr>
                <w:color w:val="000000" w:themeColor="text1"/>
              </w:rPr>
            </w:pPr>
            <w:r>
              <w:rPr>
                <w:color w:val="000000" w:themeColor="text1"/>
              </w:rPr>
              <w:t>II、几何发散引起的衰减</w:t>
            </w:r>
          </w:p>
          <w:p w14:paraId="4147C8CA">
            <w:pPr>
              <w:pStyle w:val="6"/>
              <w:spacing w:line="360" w:lineRule="auto"/>
              <w:ind w:firstLine="480"/>
              <w:rPr>
                <w:color w:val="000000" w:themeColor="text1"/>
              </w:rPr>
            </w:pPr>
            <w:r>
              <w:rPr>
                <w:color w:val="000000" w:themeColor="text1"/>
              </w:rPr>
              <w:t>对于室外点声源，不考虑其指向性，几何发散衰减计算公式为：</w:t>
            </w:r>
          </w:p>
          <w:p w14:paraId="7DD2F772">
            <w:pPr>
              <w:pStyle w:val="7"/>
              <w:tabs>
                <w:tab w:val="right" w:leader="dot" w:pos="8296"/>
              </w:tabs>
              <w:spacing w:line="360" w:lineRule="auto"/>
              <w:ind w:firstLine="480" w:firstLineChars="200"/>
              <w:jc w:val="center"/>
              <w:rPr>
                <w:caps w:val="0"/>
                <w:color w:val="000000" w:themeColor="text1"/>
                <w:kern w:val="0"/>
                <w:position w:val="-14"/>
              </w:rPr>
            </w:pPr>
            <w:r>
              <w:rPr>
                <w:caps w:val="0"/>
                <w:color w:val="000000" w:themeColor="text1"/>
                <w:kern w:val="0"/>
                <w:position w:val="-14"/>
              </w:rPr>
              <w:pict>
                <v:shape id="_x0000_i1028" o:spt="75" type="#_x0000_t75" style="height:18.75pt;width:132pt;" filled="f" o:preferrelative="t" stroked="f" coordsize="21600,21600">
                  <v:path/>
                  <v:fill on="f" focussize="0,0"/>
                  <v:stroke on="f" joinstyle="miter"/>
                  <v:imagedata r:id="rId24" o:title=""/>
                  <o:lock v:ext="edit" aspectratio="t"/>
                  <w10:wrap type="none"/>
                  <w10:anchorlock/>
                </v:shape>
              </w:pict>
            </w:r>
          </w:p>
          <w:p w14:paraId="55402A98">
            <w:pPr>
              <w:pStyle w:val="7"/>
              <w:tabs>
                <w:tab w:val="right" w:leader="dot" w:pos="8296"/>
              </w:tabs>
              <w:spacing w:line="360" w:lineRule="auto"/>
              <w:ind w:firstLine="480" w:firstLineChars="200"/>
              <w:rPr>
                <w:bCs w:val="0"/>
                <w:caps w:val="0"/>
                <w:color w:val="000000" w:themeColor="text1"/>
              </w:rPr>
            </w:pPr>
            <w:r>
              <w:rPr>
                <w:bCs w:val="0"/>
                <w:caps w:val="0"/>
                <w:color w:val="000000" w:themeColor="text1"/>
              </w:rPr>
              <w:t>式中：</w:t>
            </w:r>
            <w:r>
              <w:rPr>
                <w:bCs w:val="0"/>
                <w:i/>
                <w:iCs/>
                <w:caps w:val="0"/>
                <w:color w:val="000000" w:themeColor="text1"/>
              </w:rPr>
              <w:t>L</w:t>
            </w:r>
            <w:r>
              <w:rPr>
                <w:bCs w:val="0"/>
                <w:i/>
                <w:iCs/>
                <w:caps w:val="0"/>
                <w:color w:val="000000" w:themeColor="text1"/>
                <w:vertAlign w:val="subscript"/>
              </w:rPr>
              <w:t>p</w:t>
            </w:r>
            <w:r>
              <w:rPr>
                <w:bCs w:val="0"/>
                <w:i/>
                <w:iCs/>
                <w:caps w:val="0"/>
                <w:color w:val="000000" w:themeColor="text1"/>
              </w:rPr>
              <w:t>(r)</w:t>
            </w:r>
            <w:r>
              <w:rPr>
                <w:bCs w:val="0"/>
                <w:caps w:val="0"/>
                <w:color w:val="000000" w:themeColor="text1"/>
              </w:rPr>
              <w:t>──预测点处声压级，dB；</w:t>
            </w:r>
          </w:p>
          <w:p w14:paraId="0FB8B3CD">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L</w:t>
            </w:r>
            <w:r>
              <w:rPr>
                <w:bCs w:val="0"/>
                <w:i/>
                <w:iCs/>
                <w:caps w:val="0"/>
                <w:color w:val="000000" w:themeColor="text1"/>
                <w:vertAlign w:val="subscript"/>
              </w:rPr>
              <w:t>p</w:t>
            </w:r>
            <w:r>
              <w:rPr>
                <w:bCs w:val="0"/>
                <w:i/>
                <w:iCs/>
                <w:caps w:val="0"/>
                <w:color w:val="000000" w:themeColor="text1"/>
              </w:rPr>
              <w:t>(r</w:t>
            </w:r>
            <w:r>
              <w:rPr>
                <w:bCs w:val="0"/>
                <w:i/>
                <w:iCs/>
                <w:caps w:val="0"/>
                <w:color w:val="000000" w:themeColor="text1"/>
                <w:vertAlign w:val="subscript"/>
              </w:rPr>
              <w:t>0</w:t>
            </w:r>
            <w:r>
              <w:rPr>
                <w:bCs w:val="0"/>
                <w:i/>
                <w:iCs/>
                <w:caps w:val="0"/>
                <w:color w:val="000000" w:themeColor="text1"/>
              </w:rPr>
              <w:t>)</w:t>
            </w:r>
            <w:r>
              <w:rPr>
                <w:bCs w:val="0"/>
                <w:caps w:val="0"/>
                <w:color w:val="000000" w:themeColor="text1"/>
              </w:rPr>
              <w:t>—参考位置r</w:t>
            </w:r>
            <w:r>
              <w:rPr>
                <w:bCs w:val="0"/>
                <w:caps w:val="0"/>
                <w:color w:val="000000" w:themeColor="text1"/>
                <w:vertAlign w:val="subscript"/>
              </w:rPr>
              <w:t>0</w:t>
            </w:r>
            <w:r>
              <w:rPr>
                <w:bCs w:val="0"/>
                <w:caps w:val="0"/>
                <w:color w:val="000000" w:themeColor="text1"/>
              </w:rPr>
              <w:t>处的声压级，dB；</w:t>
            </w:r>
          </w:p>
          <w:p w14:paraId="70C96458">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caps w:val="0"/>
                <w:color w:val="000000" w:themeColor="text1"/>
              </w:rPr>
              <w:t>—预测点距声源的距离；</w:t>
            </w:r>
          </w:p>
          <w:p w14:paraId="1DD82C2B">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i/>
                <w:iCs/>
                <w:caps w:val="0"/>
                <w:color w:val="000000" w:themeColor="text1"/>
                <w:vertAlign w:val="subscript"/>
              </w:rPr>
              <w:t>0</w:t>
            </w:r>
            <w:r>
              <w:rPr>
                <w:bCs w:val="0"/>
                <w:caps w:val="0"/>
                <w:color w:val="000000" w:themeColor="text1"/>
              </w:rPr>
              <w:t>—参考位置距声源的距离。</w:t>
            </w:r>
          </w:p>
          <w:p w14:paraId="235D5690">
            <w:pPr>
              <w:pStyle w:val="7"/>
              <w:tabs>
                <w:tab w:val="right" w:leader="dot" w:pos="8296"/>
              </w:tabs>
              <w:spacing w:line="360" w:lineRule="auto"/>
              <w:ind w:firstLine="480" w:firstLineChars="200"/>
              <w:jc w:val="center"/>
              <w:rPr>
                <w:bCs w:val="0"/>
                <w:caps w:val="0"/>
                <w:color w:val="000000" w:themeColor="text1"/>
              </w:rPr>
            </w:pPr>
            <w:r>
              <w:rPr>
                <w:caps w:val="0"/>
                <w:color w:val="000000" w:themeColor="text1"/>
                <w:kern w:val="0"/>
                <w:position w:val="-12"/>
              </w:rPr>
              <w:pict>
                <v:shape id="_x0000_i1029" o:spt="75" type="#_x0000_t75" style="height:18pt;width:84.75pt;" filled="f" o:preferrelative="t" stroked="f" coordsize="21600,21600">
                  <v:path/>
                  <v:fill on="f" focussize="0,0"/>
                  <v:stroke on="f" joinstyle="miter"/>
                  <v:imagedata r:id="rId25" o:title=""/>
                  <o:lock v:ext="edit" aspectratio="t"/>
                  <w10:wrap type="none"/>
                  <w10:anchorlock/>
                </v:shape>
              </w:pict>
            </w:r>
          </w:p>
          <w:p w14:paraId="56F71EB7">
            <w:pPr>
              <w:pStyle w:val="7"/>
              <w:tabs>
                <w:tab w:val="right" w:leader="dot" w:pos="8296"/>
              </w:tabs>
              <w:spacing w:line="360" w:lineRule="auto"/>
              <w:ind w:firstLine="480" w:firstLineChars="200"/>
              <w:rPr>
                <w:bCs w:val="0"/>
                <w:caps w:val="0"/>
                <w:color w:val="000000" w:themeColor="text1"/>
              </w:rPr>
            </w:pPr>
            <w:r>
              <w:rPr>
                <w:bCs w:val="0"/>
                <w:caps w:val="0"/>
                <w:color w:val="000000" w:themeColor="text1"/>
              </w:rPr>
              <w:t>式中：</w:t>
            </w:r>
            <w:r>
              <w:rPr>
                <w:bCs w:val="0"/>
                <w:i/>
                <w:iCs/>
                <w:caps w:val="0"/>
                <w:color w:val="000000" w:themeColor="text1"/>
              </w:rPr>
              <w:t>A</w:t>
            </w:r>
            <w:r>
              <w:rPr>
                <w:bCs w:val="0"/>
                <w:i/>
                <w:iCs/>
                <w:caps w:val="0"/>
                <w:color w:val="000000" w:themeColor="text1"/>
                <w:vertAlign w:val="subscript"/>
              </w:rPr>
              <w:t>div</w:t>
            </w:r>
            <w:r>
              <w:rPr>
                <w:bCs w:val="0"/>
                <w:caps w:val="0"/>
                <w:color w:val="000000" w:themeColor="text1"/>
              </w:rPr>
              <w:t>──几何发散引起的衰减，dB；</w:t>
            </w:r>
          </w:p>
          <w:p w14:paraId="64B08E60">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caps w:val="0"/>
                <w:color w:val="000000" w:themeColor="text1"/>
              </w:rPr>
              <w:t>—预测点距声源的距离；</w:t>
            </w:r>
          </w:p>
          <w:p w14:paraId="1DD5D04E">
            <w:pPr>
              <w:pStyle w:val="7"/>
              <w:tabs>
                <w:tab w:val="right" w:leader="dot" w:pos="8296"/>
              </w:tabs>
              <w:spacing w:line="360" w:lineRule="auto"/>
              <w:ind w:firstLine="480" w:firstLineChars="200"/>
              <w:rPr>
                <w:bCs w:val="0"/>
                <w:caps w:val="0"/>
                <w:color w:val="000000" w:themeColor="text1"/>
              </w:rPr>
            </w:pPr>
            <w:r>
              <w:rPr>
                <w:bCs w:val="0"/>
                <w:i/>
                <w:iCs/>
                <w:caps w:val="0"/>
                <w:color w:val="000000" w:themeColor="text1"/>
              </w:rPr>
              <w:t>r</w:t>
            </w:r>
            <w:r>
              <w:rPr>
                <w:bCs w:val="0"/>
                <w:i/>
                <w:iCs/>
                <w:caps w:val="0"/>
                <w:color w:val="000000" w:themeColor="text1"/>
                <w:vertAlign w:val="subscript"/>
              </w:rPr>
              <w:t>0</w:t>
            </w:r>
            <w:r>
              <w:rPr>
                <w:bCs w:val="0"/>
                <w:caps w:val="0"/>
                <w:color w:val="000000" w:themeColor="text1"/>
              </w:rPr>
              <w:t>—参考位置距声源的距离。</w:t>
            </w:r>
          </w:p>
          <w:p w14:paraId="4EA8DEC4">
            <w:pPr>
              <w:pStyle w:val="6"/>
              <w:spacing w:line="360" w:lineRule="auto"/>
              <w:ind w:firstLine="480"/>
              <w:rPr>
                <w:color w:val="000000" w:themeColor="text1"/>
              </w:rPr>
            </w:pPr>
            <w:r>
              <w:rPr>
                <w:color w:val="000000" w:themeColor="text1"/>
              </w:rPr>
              <w:t>②室内声源等效室外声源声功率级计算方法</w:t>
            </w:r>
          </w:p>
          <w:p w14:paraId="10695512">
            <w:pPr>
              <w:pStyle w:val="6"/>
              <w:spacing w:line="360" w:lineRule="auto"/>
              <w:ind w:firstLine="480"/>
              <w:rPr>
                <w:color w:val="000000" w:themeColor="text1"/>
              </w:rPr>
            </w:pPr>
            <w:r>
              <w:rPr>
                <w:color w:val="000000" w:themeColor="text1"/>
              </w:rPr>
              <w:t>I、室内声源可采用等效室外声源声功率级法进行计算：</w:t>
            </w:r>
          </w:p>
          <w:p w14:paraId="560A9458">
            <w:pPr>
              <w:spacing w:line="360" w:lineRule="auto"/>
              <w:ind w:firstLine="480"/>
              <w:jc w:val="center"/>
              <w:rPr>
                <w:color w:val="000000" w:themeColor="text1"/>
              </w:rPr>
            </w:pPr>
            <w:r>
              <w:rPr>
                <w:color w:val="000000" w:themeColor="text1"/>
                <w:kern w:val="0"/>
                <w:position w:val="-14"/>
              </w:rPr>
              <w:pict>
                <v:shape id="_x0000_i1030" o:spt="75" type="#_x0000_t75" style="height:18.75pt;width:93pt;" filled="f" o:preferrelative="t" stroked="f" coordsize="21600,21600">
                  <v:path/>
                  <v:fill on="f" focussize="0,0"/>
                  <v:stroke on="f" joinstyle="miter"/>
                  <v:imagedata r:id="rId26" o:title=""/>
                  <o:lock v:ext="edit" aspectratio="t"/>
                  <w10:wrap type="none"/>
                  <w10:anchorlock/>
                </v:shape>
              </w:pict>
            </w:r>
          </w:p>
          <w:p w14:paraId="26225DC6">
            <w:pPr>
              <w:spacing w:line="360" w:lineRule="auto"/>
              <w:ind w:firstLine="480"/>
              <w:rPr>
                <w:color w:val="000000" w:themeColor="text1"/>
              </w:rPr>
            </w:pPr>
            <w:r>
              <w:rPr>
                <w:color w:val="000000" w:themeColor="text1"/>
              </w:rPr>
              <w:t>式中：</w:t>
            </w:r>
            <w:r>
              <w:rPr>
                <w:i/>
                <w:iCs/>
                <w:color w:val="000000" w:themeColor="text1"/>
              </w:rPr>
              <w:t>L</w:t>
            </w:r>
            <w:r>
              <w:rPr>
                <w:i/>
                <w:iCs/>
                <w:color w:val="000000" w:themeColor="text1"/>
                <w:vertAlign w:val="subscript"/>
              </w:rPr>
              <w:t>P1</w:t>
            </w:r>
            <w:r>
              <w:rPr>
                <w:color w:val="000000" w:themeColor="text1"/>
              </w:rPr>
              <w:t>—靠近开口处（或窗户）室内某倍频带的声压级或A声级，dB；</w:t>
            </w:r>
          </w:p>
          <w:p w14:paraId="388AEA41">
            <w:pPr>
              <w:spacing w:line="360" w:lineRule="auto"/>
              <w:ind w:firstLine="480"/>
              <w:rPr>
                <w:color w:val="000000" w:themeColor="text1"/>
              </w:rPr>
            </w:pPr>
            <w:r>
              <w:rPr>
                <w:i/>
                <w:iCs/>
                <w:color w:val="000000" w:themeColor="text1"/>
              </w:rPr>
              <w:t>L</w:t>
            </w:r>
            <w:r>
              <w:rPr>
                <w:i/>
                <w:iCs/>
                <w:color w:val="000000" w:themeColor="text1"/>
                <w:vertAlign w:val="subscript"/>
              </w:rPr>
              <w:t>P2</w:t>
            </w:r>
            <w:r>
              <w:rPr>
                <w:color w:val="000000" w:themeColor="text1"/>
              </w:rPr>
              <w:t>—靠近开口处（或窗户）室外某倍频带的声压级或A声级，dB；</w:t>
            </w:r>
          </w:p>
          <w:p w14:paraId="4FAF93C8">
            <w:pPr>
              <w:spacing w:line="360" w:lineRule="auto"/>
              <w:ind w:firstLine="480"/>
              <w:rPr>
                <w:color w:val="000000" w:themeColor="text1"/>
              </w:rPr>
            </w:pPr>
            <w:r>
              <w:rPr>
                <w:i/>
                <w:iCs/>
                <w:color w:val="000000" w:themeColor="text1"/>
              </w:rPr>
              <w:t>TL</w:t>
            </w:r>
            <w:r>
              <w:rPr>
                <w:color w:val="000000" w:themeColor="text1"/>
              </w:rPr>
              <w:t>—隔墙（或窗户）倍频带或A声级的隔声量，dB。</w:t>
            </w:r>
          </w:p>
          <w:p w14:paraId="707A89AB">
            <w:pPr>
              <w:spacing w:line="360" w:lineRule="auto"/>
              <w:ind w:firstLine="480"/>
              <w:jc w:val="center"/>
              <w:rPr>
                <w:color w:val="000000" w:themeColor="text1"/>
                <w:position w:val="-24"/>
              </w:rPr>
            </w:pPr>
            <w:r>
              <w:rPr>
                <w:color w:val="000000" w:themeColor="text1"/>
              </w:rPr>
              <w:t>也可计算某一室内声源靠近围护结构处产生的倍频带声压级或 A 声级：</w:t>
            </w:r>
          </w:p>
          <w:p w14:paraId="428F7D83">
            <w:pPr>
              <w:spacing w:line="360" w:lineRule="auto"/>
              <w:ind w:firstLine="480"/>
              <w:jc w:val="center"/>
              <w:rPr>
                <w:color w:val="000000" w:themeColor="text1"/>
              </w:rPr>
            </w:pPr>
            <w:r>
              <w:rPr>
                <w:color w:val="000000" w:themeColor="text1"/>
                <w:position w:val="-24"/>
              </w:rPr>
              <w:pict>
                <v:shape id="_x0000_i1031" o:spt="75" type="#_x0000_t75" style="height:30.75pt;width:168pt;" filled="f" o:preferrelative="t" stroked="f" coordsize="21600,21600">
                  <v:path/>
                  <v:fill on="f" focussize="0,0"/>
                  <v:stroke on="f" joinstyle="miter"/>
                  <v:imagedata r:id="rId27" o:title=""/>
                  <o:lock v:ext="edit" aspectratio="t"/>
                  <w10:wrap type="none"/>
                  <w10:anchorlock/>
                </v:shape>
              </w:pict>
            </w:r>
          </w:p>
          <w:p w14:paraId="2202BF21">
            <w:pPr>
              <w:spacing w:line="360" w:lineRule="auto"/>
              <w:ind w:firstLine="480"/>
              <w:rPr>
                <w:color w:val="000000" w:themeColor="text1"/>
              </w:rPr>
            </w:pPr>
            <w:r>
              <w:rPr>
                <w:color w:val="000000" w:themeColor="text1"/>
              </w:rPr>
              <w:t>式中：</w:t>
            </w:r>
            <w:r>
              <w:rPr>
                <w:i/>
                <w:iCs/>
                <w:color w:val="000000" w:themeColor="text1"/>
              </w:rPr>
              <w:t>L</w:t>
            </w:r>
            <w:r>
              <w:rPr>
                <w:i/>
                <w:iCs/>
                <w:color w:val="000000" w:themeColor="text1"/>
                <w:vertAlign w:val="subscript"/>
              </w:rPr>
              <w:t>P1</w:t>
            </w:r>
            <w:r>
              <w:rPr>
                <w:color w:val="000000" w:themeColor="text1"/>
              </w:rPr>
              <w:t>—靠近开口处（或窗户）室内某倍频带的声压级或A声级，dB；</w:t>
            </w:r>
          </w:p>
          <w:p w14:paraId="2648ABD9">
            <w:pPr>
              <w:spacing w:line="360" w:lineRule="auto"/>
              <w:ind w:firstLine="480"/>
              <w:jc w:val="left"/>
              <w:rPr>
                <w:color w:val="000000" w:themeColor="text1"/>
              </w:rPr>
            </w:pPr>
            <w:r>
              <w:rPr>
                <w:i/>
                <w:iCs/>
                <w:color w:val="000000" w:themeColor="text1"/>
              </w:rPr>
              <w:t>L</w:t>
            </w:r>
            <w:r>
              <w:rPr>
                <w:i/>
                <w:iCs/>
                <w:color w:val="000000" w:themeColor="text1"/>
                <w:vertAlign w:val="subscript"/>
              </w:rPr>
              <w:t>w</w:t>
            </w:r>
            <w:r>
              <w:rPr>
                <w:color w:val="000000" w:themeColor="text1"/>
              </w:rPr>
              <w:t>—点声源声功率级（A计权或倍频带），dB；</w:t>
            </w:r>
          </w:p>
          <w:p w14:paraId="76F39BF6">
            <w:pPr>
              <w:spacing w:line="360" w:lineRule="auto"/>
              <w:ind w:firstLine="480"/>
              <w:jc w:val="left"/>
              <w:rPr>
                <w:color w:val="000000" w:themeColor="text1"/>
              </w:rPr>
            </w:pPr>
            <w:r>
              <w:rPr>
                <w:i/>
                <w:iCs/>
                <w:color w:val="000000" w:themeColor="text1"/>
              </w:rPr>
              <w:t>Q</w:t>
            </w:r>
            <w:r>
              <w:rPr>
                <w:color w:val="000000" w:themeColor="text1"/>
              </w:rPr>
              <w:t>—指向因数；通常对无指向性声源，当声源放在房间中心时，Q=1；当放在一面墙的中心时，Q=2；当放在两面墙夹角处时，Q=4；当放在三面墙夹角处时，Q=8。</w:t>
            </w:r>
          </w:p>
          <w:p w14:paraId="64AAF52A">
            <w:pPr>
              <w:spacing w:line="360" w:lineRule="auto"/>
              <w:ind w:firstLine="480"/>
              <w:jc w:val="left"/>
              <w:rPr>
                <w:color w:val="000000" w:themeColor="text1"/>
              </w:rPr>
            </w:pPr>
            <w:r>
              <w:rPr>
                <w:color w:val="000000" w:themeColor="text1"/>
              </w:rPr>
              <w:t>R—房间常数，R=Sα/（1-α），S为房间内表面面积，m</w:t>
            </w:r>
            <w:r>
              <w:rPr>
                <w:color w:val="000000" w:themeColor="text1"/>
                <w:vertAlign w:val="superscript"/>
              </w:rPr>
              <w:t>2</w:t>
            </w:r>
            <w:r>
              <w:rPr>
                <w:color w:val="000000" w:themeColor="text1"/>
              </w:rPr>
              <w:t>；α为平均吸声系数。</w:t>
            </w:r>
          </w:p>
          <w:p w14:paraId="279FC9D4">
            <w:pPr>
              <w:spacing w:line="360" w:lineRule="auto"/>
              <w:ind w:firstLine="480"/>
              <w:jc w:val="left"/>
              <w:rPr>
                <w:color w:val="000000" w:themeColor="text1"/>
              </w:rPr>
            </w:pPr>
            <w:r>
              <w:rPr>
                <w:color w:val="000000" w:themeColor="text1"/>
              </w:rPr>
              <w:t>r—声源到靠近围护结构某点处的距离，m。</w:t>
            </w:r>
          </w:p>
          <w:p w14:paraId="2A0B2484">
            <w:pPr>
              <w:pStyle w:val="36"/>
              <w:spacing w:before="0" w:after="0"/>
              <w:rPr>
                <w:color w:val="000000" w:themeColor="text1"/>
                <w:kern w:val="0"/>
              </w:rPr>
            </w:pPr>
            <w:r>
              <w:rPr>
                <w:color w:val="000000" w:themeColor="text1"/>
                <w:kern w:val="2"/>
              </w:rPr>
              <w:t>II、计算出所有室内声源在围护结构处产生的i倍频带叠加声压级：</w:t>
            </w:r>
          </w:p>
          <w:p w14:paraId="165B6960">
            <w:pPr>
              <w:pStyle w:val="36"/>
              <w:spacing w:before="0" w:after="0"/>
              <w:jc w:val="center"/>
              <w:rPr>
                <w:color w:val="000000" w:themeColor="text1"/>
                <w:kern w:val="0"/>
              </w:rPr>
            </w:pPr>
            <w:r>
              <w:rPr>
                <w:color w:val="000000" w:themeColor="text1"/>
                <w:kern w:val="0"/>
                <w:position w:val="-30"/>
              </w:rPr>
              <w:pict>
                <v:shape id="_x0000_i1032" o:spt="75" type="#_x0000_t75" style="height:35.25pt;width:129pt;" filled="f" o:preferrelative="f" stroked="f" coordsize="21600,21600">
                  <v:path/>
                  <v:fill on="f" focussize="0,0"/>
                  <v:stroke on="f" joinstyle="miter"/>
                  <v:imagedata r:id="rId28" o:title=""/>
                  <o:lock v:ext="edit" rotation="t" aspectratio="f"/>
                  <w10:wrap type="none"/>
                  <w10:anchorlock/>
                </v:shape>
              </w:pict>
            </w:r>
          </w:p>
          <w:p w14:paraId="52A735A8">
            <w:pPr>
              <w:spacing w:line="360" w:lineRule="auto"/>
              <w:ind w:firstLine="480"/>
              <w:rPr>
                <w:color w:val="000000" w:themeColor="text1"/>
                <w:kern w:val="0"/>
              </w:rPr>
            </w:pPr>
            <w:r>
              <w:rPr>
                <w:color w:val="000000" w:themeColor="text1"/>
                <w:kern w:val="0"/>
              </w:rPr>
              <w:t>式中：</w:t>
            </w:r>
            <w:r>
              <w:rPr>
                <w:i/>
                <w:color w:val="000000" w:themeColor="text1"/>
                <w:kern w:val="0"/>
              </w:rPr>
              <w:t>L</w:t>
            </w:r>
            <w:r>
              <w:rPr>
                <w:i/>
                <w:color w:val="000000" w:themeColor="text1"/>
                <w:kern w:val="0"/>
                <w:vertAlign w:val="subscript"/>
              </w:rPr>
              <w:t>P</w:t>
            </w:r>
            <w:r>
              <w:rPr>
                <w:color w:val="000000" w:themeColor="text1"/>
                <w:kern w:val="0"/>
                <w:vertAlign w:val="subscript"/>
              </w:rPr>
              <w:t>1</w:t>
            </w:r>
            <w:r>
              <w:rPr>
                <w:i/>
                <w:color w:val="000000" w:themeColor="text1"/>
                <w:kern w:val="0"/>
                <w:vertAlign w:val="subscript"/>
              </w:rPr>
              <w:t>i</w:t>
            </w:r>
            <w:r>
              <w:rPr>
                <w:color w:val="000000" w:themeColor="text1"/>
                <w:kern w:val="0"/>
              </w:rPr>
              <w:t>（</w:t>
            </w:r>
            <w:r>
              <w:rPr>
                <w:i/>
                <w:color w:val="000000" w:themeColor="text1"/>
                <w:kern w:val="0"/>
              </w:rPr>
              <w:t>T</w:t>
            </w:r>
            <w:r>
              <w:rPr>
                <w:color w:val="000000" w:themeColor="text1"/>
                <w:kern w:val="0"/>
              </w:rPr>
              <w:t>）—靠近围护结构处室内N个声源</w:t>
            </w:r>
            <w:r>
              <w:rPr>
                <w:i/>
                <w:color w:val="000000" w:themeColor="text1"/>
                <w:kern w:val="0"/>
              </w:rPr>
              <w:t>i</w:t>
            </w:r>
            <w:r>
              <w:rPr>
                <w:color w:val="000000" w:themeColor="text1"/>
                <w:kern w:val="0"/>
              </w:rPr>
              <w:t>倍频带的叠加声压级，dB；</w:t>
            </w:r>
          </w:p>
          <w:p w14:paraId="210F283D">
            <w:pPr>
              <w:pStyle w:val="36"/>
              <w:spacing w:before="0" w:after="0"/>
              <w:rPr>
                <w:color w:val="000000" w:themeColor="text1"/>
                <w:kern w:val="0"/>
              </w:rPr>
            </w:pPr>
            <w:r>
              <w:rPr>
                <w:i/>
                <w:color w:val="000000" w:themeColor="text1"/>
                <w:kern w:val="0"/>
              </w:rPr>
              <w:t>L</w:t>
            </w:r>
            <w:r>
              <w:rPr>
                <w:i/>
                <w:color w:val="000000" w:themeColor="text1"/>
                <w:kern w:val="0"/>
                <w:vertAlign w:val="subscript"/>
              </w:rPr>
              <w:t>P</w:t>
            </w:r>
            <w:r>
              <w:rPr>
                <w:color w:val="000000" w:themeColor="text1"/>
                <w:kern w:val="0"/>
                <w:vertAlign w:val="subscript"/>
              </w:rPr>
              <w:t>1</w:t>
            </w:r>
            <w:r>
              <w:rPr>
                <w:i/>
                <w:color w:val="000000" w:themeColor="text1"/>
                <w:kern w:val="0"/>
                <w:vertAlign w:val="subscript"/>
              </w:rPr>
              <w:t>ij</w:t>
            </w:r>
            <w:r>
              <w:rPr>
                <w:i/>
                <w:color w:val="000000" w:themeColor="text1"/>
                <w:kern w:val="0"/>
              </w:rPr>
              <w:t>—</w:t>
            </w:r>
            <w:r>
              <w:rPr>
                <w:color w:val="000000" w:themeColor="text1"/>
                <w:kern w:val="0"/>
              </w:rPr>
              <w:t>室内</w:t>
            </w:r>
            <w:r>
              <w:rPr>
                <w:i/>
                <w:color w:val="000000" w:themeColor="text1"/>
                <w:kern w:val="0"/>
              </w:rPr>
              <w:t>j</w:t>
            </w:r>
            <w:r>
              <w:rPr>
                <w:color w:val="000000" w:themeColor="text1"/>
                <w:kern w:val="0"/>
              </w:rPr>
              <w:t>声源</w:t>
            </w:r>
            <w:r>
              <w:rPr>
                <w:i/>
                <w:color w:val="000000" w:themeColor="text1"/>
                <w:kern w:val="0"/>
              </w:rPr>
              <w:t>i</w:t>
            </w:r>
            <w:r>
              <w:rPr>
                <w:color w:val="000000" w:themeColor="text1"/>
                <w:kern w:val="0"/>
              </w:rPr>
              <w:t>倍频带的声压级，dB；</w:t>
            </w:r>
          </w:p>
          <w:p w14:paraId="0CE5A540">
            <w:pPr>
              <w:pStyle w:val="36"/>
              <w:spacing w:before="0" w:after="0"/>
              <w:rPr>
                <w:color w:val="000000" w:themeColor="text1"/>
                <w:kern w:val="0"/>
              </w:rPr>
            </w:pPr>
            <w:r>
              <w:rPr>
                <w:i/>
                <w:color w:val="000000" w:themeColor="text1"/>
                <w:kern w:val="0"/>
              </w:rPr>
              <w:t>N</w:t>
            </w:r>
            <w:r>
              <w:rPr>
                <w:color w:val="000000" w:themeColor="text1"/>
                <w:kern w:val="0"/>
              </w:rPr>
              <w:t>—室内声源总数。</w:t>
            </w:r>
          </w:p>
          <w:p w14:paraId="6A32980D">
            <w:pPr>
              <w:pStyle w:val="36"/>
              <w:spacing w:before="0" w:after="0"/>
              <w:rPr>
                <w:color w:val="000000" w:themeColor="text1"/>
                <w:kern w:val="2"/>
              </w:rPr>
            </w:pPr>
            <w:r>
              <w:rPr>
                <w:color w:val="000000" w:themeColor="text1"/>
                <w:kern w:val="2"/>
              </w:rPr>
              <w:t>III、计算出靠近室外围护结构处的声压级：</w:t>
            </w:r>
          </w:p>
          <w:p w14:paraId="5BEFC0CA">
            <w:pPr>
              <w:pStyle w:val="36"/>
              <w:spacing w:before="0" w:after="0"/>
              <w:jc w:val="center"/>
              <w:rPr>
                <w:color w:val="000000" w:themeColor="text1"/>
                <w:kern w:val="0"/>
              </w:rPr>
            </w:pPr>
            <w:r>
              <w:rPr>
                <w:color w:val="000000" w:themeColor="text1"/>
                <w:kern w:val="0"/>
                <w:position w:val="-14"/>
              </w:rPr>
              <w:pict>
                <v:shape id="_x0000_i1033" o:spt="75" type="#_x0000_t75" style="height:18.75pt;width:131.25pt;" filled="f" o:preferrelative="t" stroked="f" coordsize="21600,21600">
                  <v:path/>
                  <v:fill on="f" focussize="0,0"/>
                  <v:stroke on="f" joinstyle="miter"/>
                  <v:imagedata r:id="rId29" o:title=""/>
                  <o:lock v:ext="edit" aspectratio="t"/>
                  <w10:wrap type="none"/>
                  <w10:anchorlock/>
                </v:shape>
              </w:pict>
            </w:r>
          </w:p>
          <w:p w14:paraId="6639A210">
            <w:pPr>
              <w:spacing w:line="360" w:lineRule="auto"/>
              <w:ind w:firstLine="480"/>
              <w:rPr>
                <w:color w:val="000000" w:themeColor="text1"/>
                <w:kern w:val="0"/>
              </w:rPr>
            </w:pPr>
            <w:r>
              <w:rPr>
                <w:color w:val="000000" w:themeColor="text1"/>
                <w:kern w:val="0"/>
              </w:rPr>
              <w:t>式中：</w:t>
            </w:r>
            <w:r>
              <w:rPr>
                <w:i/>
                <w:color w:val="000000" w:themeColor="text1"/>
                <w:kern w:val="0"/>
              </w:rPr>
              <w:t>L</w:t>
            </w:r>
            <w:r>
              <w:rPr>
                <w:i/>
                <w:color w:val="000000" w:themeColor="text1"/>
                <w:kern w:val="0"/>
                <w:vertAlign w:val="subscript"/>
              </w:rPr>
              <w:t>P</w:t>
            </w:r>
            <w:r>
              <w:rPr>
                <w:color w:val="000000" w:themeColor="text1"/>
                <w:kern w:val="0"/>
                <w:vertAlign w:val="subscript"/>
              </w:rPr>
              <w:t>2</w:t>
            </w:r>
            <w:r>
              <w:rPr>
                <w:i/>
                <w:color w:val="000000" w:themeColor="text1"/>
                <w:kern w:val="0"/>
                <w:vertAlign w:val="subscript"/>
              </w:rPr>
              <w:t>i</w:t>
            </w:r>
            <w:r>
              <w:rPr>
                <w:color w:val="000000" w:themeColor="text1"/>
                <w:kern w:val="0"/>
              </w:rPr>
              <w:t>(</w:t>
            </w:r>
            <w:r>
              <w:rPr>
                <w:i/>
                <w:color w:val="000000" w:themeColor="text1"/>
                <w:kern w:val="0"/>
              </w:rPr>
              <w:t>T</w:t>
            </w:r>
            <w:r>
              <w:rPr>
                <w:color w:val="000000" w:themeColor="text1"/>
                <w:kern w:val="0"/>
              </w:rPr>
              <w:t>)—靠近围护结构处室外N个噪声源</w:t>
            </w:r>
            <w:r>
              <w:rPr>
                <w:i/>
                <w:color w:val="000000" w:themeColor="text1"/>
                <w:kern w:val="0"/>
              </w:rPr>
              <w:t>i</w:t>
            </w:r>
            <w:r>
              <w:rPr>
                <w:color w:val="000000" w:themeColor="text1"/>
                <w:kern w:val="0"/>
              </w:rPr>
              <w:t>倍频带的叠加声压级，dB；</w:t>
            </w:r>
          </w:p>
          <w:p w14:paraId="0E77B315">
            <w:pPr>
              <w:pStyle w:val="36"/>
              <w:spacing w:before="0" w:after="0"/>
              <w:rPr>
                <w:color w:val="000000" w:themeColor="text1"/>
                <w:kern w:val="0"/>
              </w:rPr>
            </w:pPr>
            <w:r>
              <w:rPr>
                <w:i/>
                <w:color w:val="000000" w:themeColor="text1"/>
                <w:kern w:val="0"/>
              </w:rPr>
              <w:t>L</w:t>
            </w:r>
            <w:r>
              <w:rPr>
                <w:i/>
                <w:color w:val="000000" w:themeColor="text1"/>
                <w:kern w:val="0"/>
                <w:vertAlign w:val="subscript"/>
              </w:rPr>
              <w:t>P</w:t>
            </w:r>
            <w:r>
              <w:rPr>
                <w:color w:val="000000" w:themeColor="text1"/>
                <w:kern w:val="0"/>
                <w:vertAlign w:val="subscript"/>
              </w:rPr>
              <w:t>1</w:t>
            </w:r>
            <w:r>
              <w:rPr>
                <w:i/>
                <w:color w:val="000000" w:themeColor="text1"/>
                <w:kern w:val="0"/>
                <w:vertAlign w:val="subscript"/>
              </w:rPr>
              <w:t>i</w:t>
            </w:r>
            <w:r>
              <w:rPr>
                <w:color w:val="000000" w:themeColor="text1"/>
                <w:kern w:val="0"/>
              </w:rPr>
              <w:t>(</w:t>
            </w:r>
            <w:r>
              <w:rPr>
                <w:i/>
                <w:color w:val="000000" w:themeColor="text1"/>
                <w:kern w:val="0"/>
              </w:rPr>
              <w:t>T</w:t>
            </w:r>
            <w:r>
              <w:rPr>
                <w:color w:val="000000" w:themeColor="text1"/>
                <w:kern w:val="0"/>
              </w:rPr>
              <w:t>)—靠近围护结构处室内N个噪声源</w:t>
            </w:r>
            <w:r>
              <w:rPr>
                <w:i/>
                <w:color w:val="000000" w:themeColor="text1"/>
                <w:kern w:val="0"/>
              </w:rPr>
              <w:t>i</w:t>
            </w:r>
            <w:r>
              <w:rPr>
                <w:color w:val="000000" w:themeColor="text1"/>
                <w:kern w:val="0"/>
              </w:rPr>
              <w:t>倍频带的叠加声压级，dB；</w:t>
            </w:r>
          </w:p>
          <w:p w14:paraId="6477212F">
            <w:pPr>
              <w:pStyle w:val="36"/>
              <w:spacing w:before="0" w:after="0"/>
              <w:rPr>
                <w:color w:val="000000" w:themeColor="text1"/>
                <w:kern w:val="0"/>
              </w:rPr>
            </w:pPr>
            <w:r>
              <w:rPr>
                <w:i/>
                <w:color w:val="000000" w:themeColor="text1"/>
                <w:kern w:val="0"/>
              </w:rPr>
              <w:t>TL</w:t>
            </w:r>
            <w:r>
              <w:rPr>
                <w:i/>
                <w:color w:val="000000" w:themeColor="text1"/>
                <w:kern w:val="0"/>
                <w:vertAlign w:val="subscript"/>
              </w:rPr>
              <w:t>i</w:t>
            </w:r>
            <w:r>
              <w:rPr>
                <w:i/>
                <w:color w:val="000000" w:themeColor="text1"/>
                <w:kern w:val="0"/>
              </w:rPr>
              <w:t>—</w:t>
            </w:r>
            <w:r>
              <w:rPr>
                <w:color w:val="000000" w:themeColor="text1"/>
                <w:kern w:val="0"/>
              </w:rPr>
              <w:t>围护结构</w:t>
            </w:r>
            <w:r>
              <w:rPr>
                <w:i/>
                <w:color w:val="000000" w:themeColor="text1"/>
                <w:kern w:val="0"/>
              </w:rPr>
              <w:t>i</w:t>
            </w:r>
            <w:r>
              <w:rPr>
                <w:color w:val="000000" w:themeColor="text1"/>
                <w:kern w:val="0"/>
              </w:rPr>
              <w:t>倍频带的隔声量。</w:t>
            </w:r>
          </w:p>
          <w:p w14:paraId="383A3966">
            <w:pPr>
              <w:spacing w:line="360" w:lineRule="auto"/>
              <w:ind w:firstLine="480"/>
              <w:rPr>
                <w:color w:val="000000" w:themeColor="text1"/>
              </w:rPr>
            </w:pPr>
            <w:r>
              <w:rPr>
                <w:color w:val="000000" w:themeColor="text1"/>
              </w:rPr>
              <w:t>IV、将室外声源的声压级和透过面积换算成等效的室外声源，计算出中心位置位于透声面积（S）处的等效声源的倍频带声功率级：</w:t>
            </w:r>
          </w:p>
          <w:p w14:paraId="2B795A47">
            <w:pPr>
              <w:pStyle w:val="36"/>
              <w:spacing w:before="0" w:after="0"/>
              <w:jc w:val="center"/>
              <w:rPr>
                <w:color w:val="000000" w:themeColor="text1"/>
                <w:kern w:val="0"/>
              </w:rPr>
            </w:pPr>
            <w:r>
              <w:rPr>
                <w:color w:val="000000" w:themeColor="text1"/>
                <w:kern w:val="0"/>
                <w:position w:val="-14"/>
              </w:rPr>
              <w:pict>
                <v:shape id="_x0000_i1034" o:spt="75" type="#_x0000_t75" style="height:18.75pt;width:98.25pt;" filled="f" o:preferrelative="t" stroked="f" coordsize="21600,21600">
                  <v:path/>
                  <v:fill on="f" focussize="0,0"/>
                  <v:stroke on="f" joinstyle="miter"/>
                  <v:imagedata r:id="rId30" o:title=""/>
                  <o:lock v:ext="edit" aspectratio="t"/>
                  <w10:wrap type="none"/>
                  <w10:anchorlock/>
                </v:shape>
              </w:pict>
            </w:r>
          </w:p>
          <w:p w14:paraId="454A7D40">
            <w:pPr>
              <w:spacing w:line="360" w:lineRule="auto"/>
              <w:ind w:firstLine="480"/>
              <w:rPr>
                <w:color w:val="000000" w:themeColor="text1"/>
              </w:rPr>
            </w:pPr>
            <w:r>
              <w:rPr>
                <w:color w:val="000000" w:themeColor="text1"/>
              </w:rPr>
              <w:t>式中：Lw—中心位置位于透声面积（S）处的等效声源的倍频带声功率级，dB；</w:t>
            </w:r>
          </w:p>
          <w:p w14:paraId="0ACBA8BB">
            <w:pPr>
              <w:pStyle w:val="36"/>
              <w:spacing w:before="0" w:after="0"/>
              <w:rPr>
                <w:color w:val="000000" w:themeColor="text1"/>
              </w:rPr>
            </w:pPr>
            <w:r>
              <w:rPr>
                <w:i/>
                <w:iCs/>
                <w:color w:val="000000" w:themeColor="text1"/>
                <w:kern w:val="0"/>
              </w:rPr>
              <w:t>L</w:t>
            </w:r>
            <w:r>
              <w:rPr>
                <w:i/>
                <w:iCs/>
                <w:color w:val="000000" w:themeColor="text1"/>
                <w:kern w:val="0"/>
                <w:vertAlign w:val="subscript"/>
              </w:rPr>
              <w:t>p2</w:t>
            </w:r>
            <w:r>
              <w:rPr>
                <w:i/>
                <w:iCs/>
                <w:color w:val="000000" w:themeColor="text1"/>
                <w:kern w:val="0"/>
              </w:rPr>
              <w:t>（T）</w:t>
            </w:r>
            <w:r>
              <w:rPr>
                <w:color w:val="000000" w:themeColor="text1"/>
              </w:rPr>
              <w:t>—靠近围护结构处室外声源的声压级，dB；</w:t>
            </w:r>
          </w:p>
          <w:p w14:paraId="1E8578E2">
            <w:pPr>
              <w:spacing w:line="360" w:lineRule="auto"/>
              <w:ind w:firstLine="480"/>
              <w:rPr>
                <w:color w:val="000000" w:themeColor="text1"/>
              </w:rPr>
            </w:pPr>
            <w:r>
              <w:rPr>
                <w:color w:val="000000" w:themeColor="text1"/>
              </w:rPr>
              <w:t>S—透声面积，m</w:t>
            </w:r>
            <w:r>
              <w:rPr>
                <w:color w:val="000000" w:themeColor="text1"/>
                <w:vertAlign w:val="superscript"/>
              </w:rPr>
              <w:t>2</w:t>
            </w:r>
            <w:r>
              <w:rPr>
                <w:color w:val="000000" w:themeColor="text1"/>
              </w:rPr>
              <w:t>。</w:t>
            </w:r>
          </w:p>
          <w:p w14:paraId="60233126">
            <w:pPr>
              <w:spacing w:line="360" w:lineRule="auto"/>
              <w:ind w:firstLine="480"/>
              <w:rPr>
                <w:color w:val="000000" w:themeColor="text1"/>
              </w:rPr>
            </w:pPr>
            <w:r>
              <w:rPr>
                <w:color w:val="000000" w:themeColor="text1"/>
              </w:rPr>
              <w:t>然后按室外声源预测方法计算预测点处的A声级。</w:t>
            </w:r>
          </w:p>
          <w:p w14:paraId="70D7A377">
            <w:pPr>
              <w:spacing w:line="360" w:lineRule="auto"/>
              <w:ind w:firstLine="480"/>
              <w:rPr>
                <w:color w:val="000000" w:themeColor="text1"/>
                <w:kern w:val="0"/>
              </w:rPr>
            </w:pPr>
            <w:r>
              <w:rPr>
                <w:color w:val="000000" w:themeColor="text1"/>
                <w:kern w:val="0"/>
              </w:rPr>
              <w:t>设第i个室外声源在预测点产生的A声级为L</w:t>
            </w:r>
            <w:r>
              <w:rPr>
                <w:color w:val="000000" w:themeColor="text1"/>
                <w:kern w:val="0"/>
                <w:vertAlign w:val="subscript"/>
              </w:rPr>
              <w:t>Ai</w:t>
            </w:r>
            <w:r>
              <w:rPr>
                <w:color w:val="000000" w:themeColor="text1"/>
                <w:kern w:val="0"/>
              </w:rPr>
              <w:t>，在T时间内该声源工作时间为t</w:t>
            </w:r>
            <w:r>
              <w:rPr>
                <w:color w:val="000000" w:themeColor="text1"/>
                <w:kern w:val="0"/>
                <w:vertAlign w:val="subscript"/>
              </w:rPr>
              <w:t>i</w:t>
            </w:r>
            <w:r>
              <w:rPr>
                <w:color w:val="000000" w:themeColor="text1"/>
                <w:kern w:val="0"/>
              </w:rPr>
              <w:t>；第j个等效室外声源在预测点产生的A声级为L</w:t>
            </w:r>
            <w:r>
              <w:rPr>
                <w:color w:val="000000" w:themeColor="text1"/>
                <w:kern w:val="0"/>
                <w:vertAlign w:val="subscript"/>
              </w:rPr>
              <w:t>Aj</w:t>
            </w:r>
            <w:r>
              <w:rPr>
                <w:color w:val="000000" w:themeColor="text1"/>
                <w:kern w:val="0"/>
              </w:rPr>
              <w:t>，在T时间内该声源工作时间为t</w:t>
            </w:r>
            <w:r>
              <w:rPr>
                <w:color w:val="000000" w:themeColor="text1"/>
                <w:kern w:val="0"/>
                <w:vertAlign w:val="subscript"/>
              </w:rPr>
              <w:t>j</w:t>
            </w:r>
            <w:r>
              <w:rPr>
                <w:color w:val="000000" w:themeColor="text1"/>
                <w:kern w:val="0"/>
              </w:rPr>
              <w:t>，则建设项目声源对预测点产生的贡献值（L</w:t>
            </w:r>
            <w:r>
              <w:rPr>
                <w:color w:val="000000" w:themeColor="text1"/>
                <w:kern w:val="0"/>
                <w:vertAlign w:val="subscript"/>
              </w:rPr>
              <w:t>eqg</w:t>
            </w:r>
            <w:r>
              <w:rPr>
                <w:color w:val="000000" w:themeColor="text1"/>
                <w:kern w:val="0"/>
              </w:rPr>
              <w:t>）为：</w:t>
            </w:r>
          </w:p>
          <w:p w14:paraId="03DFD08C">
            <w:pPr>
              <w:pStyle w:val="36"/>
              <w:spacing w:before="0" w:after="0"/>
              <w:jc w:val="center"/>
              <w:rPr>
                <w:color w:val="000000" w:themeColor="text1"/>
                <w:kern w:val="0"/>
              </w:rPr>
            </w:pPr>
            <w:r>
              <w:rPr>
                <w:color w:val="000000" w:themeColor="text1"/>
                <w:kern w:val="0"/>
                <w:position w:val="-36"/>
              </w:rPr>
              <w:pict>
                <v:shape id="_x0000_i1035" o:spt="75" type="#_x0000_t75" style="height:42pt;width:205.5pt;" filled="f" o:preferrelative="f" stroked="f" coordsize="21600,21600">
                  <v:path/>
                  <v:fill on="f" focussize="0,0"/>
                  <v:stroke on="f" joinstyle="miter"/>
                  <v:imagedata r:id="rId31" o:title=""/>
                  <o:lock v:ext="edit" rotation="t" aspectratio="f"/>
                  <w10:wrap type="none"/>
                  <w10:anchorlock/>
                </v:shape>
              </w:pict>
            </w:r>
          </w:p>
          <w:p w14:paraId="631B7119">
            <w:pPr>
              <w:pStyle w:val="36"/>
              <w:spacing w:before="0" w:after="0"/>
              <w:rPr>
                <w:color w:val="000000" w:themeColor="text1"/>
                <w:kern w:val="0"/>
              </w:rPr>
            </w:pPr>
            <w:r>
              <w:rPr>
                <w:color w:val="000000" w:themeColor="text1"/>
                <w:kern w:val="0"/>
              </w:rPr>
              <w:t>式中：</w:t>
            </w:r>
            <w:r>
              <w:rPr>
                <w:i/>
                <w:iCs/>
                <w:color w:val="000000" w:themeColor="text1"/>
                <w:kern w:val="0"/>
              </w:rPr>
              <w:t>L</w:t>
            </w:r>
            <w:r>
              <w:rPr>
                <w:i/>
                <w:iCs/>
                <w:color w:val="000000" w:themeColor="text1"/>
                <w:kern w:val="0"/>
                <w:vertAlign w:val="subscript"/>
              </w:rPr>
              <w:t>eqg</w:t>
            </w:r>
            <w:r>
              <w:rPr>
                <w:color w:val="000000" w:themeColor="text1"/>
                <w:kern w:val="0"/>
              </w:rPr>
              <w:t>—建设项目声源在预测点产生的噪声贡献值，dB；</w:t>
            </w:r>
          </w:p>
          <w:p w14:paraId="34D6A8A1">
            <w:pPr>
              <w:pStyle w:val="36"/>
              <w:spacing w:before="0" w:after="0"/>
              <w:rPr>
                <w:color w:val="000000" w:themeColor="text1"/>
                <w:kern w:val="0"/>
              </w:rPr>
            </w:pPr>
            <w:r>
              <w:rPr>
                <w:i/>
                <w:iCs/>
                <w:color w:val="000000" w:themeColor="text1"/>
                <w:kern w:val="0"/>
              </w:rPr>
              <w:t>T</w:t>
            </w:r>
            <w:r>
              <w:rPr>
                <w:color w:val="000000" w:themeColor="text1"/>
                <w:kern w:val="0"/>
              </w:rPr>
              <w:t>—用于计算等效声级的时间，s；</w:t>
            </w:r>
          </w:p>
          <w:p w14:paraId="0CBCC2DE">
            <w:pPr>
              <w:spacing w:line="360" w:lineRule="auto"/>
              <w:ind w:firstLine="480"/>
              <w:rPr>
                <w:color w:val="000000" w:themeColor="text1"/>
                <w:kern w:val="0"/>
              </w:rPr>
            </w:pPr>
            <w:r>
              <w:rPr>
                <w:color w:val="000000" w:themeColor="text1"/>
                <w:kern w:val="0"/>
              </w:rPr>
              <w:t>N—室外声源个数；</w:t>
            </w:r>
          </w:p>
          <w:p w14:paraId="70CA2AD2">
            <w:pPr>
              <w:pStyle w:val="36"/>
              <w:spacing w:before="0" w:after="0"/>
              <w:rPr>
                <w:color w:val="000000" w:themeColor="text1"/>
                <w:kern w:val="0"/>
              </w:rPr>
            </w:pPr>
            <w:r>
              <w:rPr>
                <w:color w:val="000000" w:themeColor="text1"/>
                <w:kern w:val="0"/>
              </w:rPr>
              <w:t>t</w:t>
            </w:r>
            <w:r>
              <w:rPr>
                <w:color w:val="000000" w:themeColor="text1"/>
                <w:kern w:val="0"/>
                <w:vertAlign w:val="subscript"/>
              </w:rPr>
              <w:t>i</w:t>
            </w:r>
            <w:r>
              <w:rPr>
                <w:color w:val="000000" w:themeColor="text1"/>
                <w:kern w:val="0"/>
              </w:rPr>
              <w:t>— 在T时间内i声源工作时间，s；</w:t>
            </w:r>
          </w:p>
          <w:p w14:paraId="5723AD5C">
            <w:pPr>
              <w:pStyle w:val="36"/>
              <w:spacing w:before="0" w:after="0"/>
              <w:rPr>
                <w:color w:val="000000" w:themeColor="text1"/>
                <w:kern w:val="0"/>
              </w:rPr>
            </w:pPr>
            <w:r>
              <w:rPr>
                <w:color w:val="000000" w:themeColor="text1"/>
                <w:kern w:val="0"/>
              </w:rPr>
              <w:t>M—等效室外声源个数；</w:t>
            </w:r>
          </w:p>
          <w:p w14:paraId="36392F07">
            <w:pPr>
              <w:pStyle w:val="36"/>
              <w:spacing w:before="0" w:after="0"/>
              <w:rPr>
                <w:color w:val="000000" w:themeColor="text1"/>
                <w:kern w:val="0"/>
              </w:rPr>
            </w:pPr>
            <w:r>
              <w:rPr>
                <w:color w:val="000000" w:themeColor="text1"/>
                <w:kern w:val="0"/>
              </w:rPr>
              <w:t>t</w:t>
            </w:r>
            <w:r>
              <w:rPr>
                <w:color w:val="000000" w:themeColor="text1"/>
                <w:kern w:val="0"/>
                <w:vertAlign w:val="subscript"/>
              </w:rPr>
              <w:t>j</w:t>
            </w:r>
            <w:r>
              <w:rPr>
                <w:color w:val="000000" w:themeColor="text1"/>
                <w:kern w:val="0"/>
              </w:rPr>
              <w:t>—在T时间内j声源工作时间，s。</w:t>
            </w:r>
          </w:p>
          <w:p w14:paraId="13957091">
            <w:pPr>
              <w:pStyle w:val="36"/>
              <w:spacing w:before="0" w:after="0"/>
              <w:rPr>
                <w:color w:val="000000" w:themeColor="text1"/>
                <w:kern w:val="0"/>
              </w:rPr>
            </w:pPr>
            <w:r>
              <w:rPr>
                <w:color w:val="000000" w:themeColor="text1"/>
                <w:kern w:val="0"/>
              </w:rPr>
              <w:t xml:space="preserve">③噪声预测值 </w:t>
            </w:r>
          </w:p>
          <w:p w14:paraId="1C0B9065">
            <w:pPr>
              <w:pStyle w:val="36"/>
              <w:spacing w:before="0" w:after="0"/>
              <w:rPr>
                <w:color w:val="000000" w:themeColor="text1"/>
                <w:kern w:val="0"/>
              </w:rPr>
            </w:pPr>
            <w:r>
              <w:rPr>
                <w:color w:val="000000" w:themeColor="text1"/>
                <w:kern w:val="0"/>
              </w:rPr>
              <w:t>预测点的噪声预测值（L</w:t>
            </w:r>
            <w:r>
              <w:rPr>
                <w:color w:val="000000" w:themeColor="text1"/>
                <w:kern w:val="0"/>
                <w:vertAlign w:val="subscript"/>
              </w:rPr>
              <w:t>eq</w:t>
            </w:r>
            <w:r>
              <w:rPr>
                <w:color w:val="000000" w:themeColor="text1"/>
                <w:kern w:val="0"/>
              </w:rPr>
              <w:t>）计算公式：</w:t>
            </w:r>
          </w:p>
          <w:p w14:paraId="746AA4EE">
            <w:pPr>
              <w:pStyle w:val="36"/>
              <w:spacing w:before="0" w:after="0"/>
              <w:jc w:val="center"/>
              <w:rPr>
                <w:color w:val="000000" w:themeColor="text1"/>
                <w:kern w:val="0"/>
              </w:rPr>
            </w:pPr>
            <w:r>
              <w:rPr>
                <w:color w:val="000000" w:themeColor="text1"/>
                <w:kern w:val="0"/>
                <w:position w:val="-14"/>
              </w:rPr>
              <w:pict>
                <v:shape id="_x0000_i1036" o:spt="75" type="#_x0000_t75" style="height:23.25pt;width:135.75pt;" filled="f" o:preferrelative="t" stroked="f" coordsize="21600,21600">
                  <v:path/>
                  <v:fill on="f" focussize="0,0"/>
                  <v:stroke on="f" joinstyle="miter"/>
                  <v:imagedata r:id="rId32" o:title=""/>
                  <o:lock v:ext="edit" aspectratio="t"/>
                  <w10:wrap type="none"/>
                  <w10:anchorlock/>
                </v:shape>
              </w:pict>
            </w:r>
          </w:p>
          <w:p w14:paraId="50979A93">
            <w:pPr>
              <w:pStyle w:val="36"/>
              <w:spacing w:before="0" w:after="0"/>
              <w:rPr>
                <w:color w:val="000000" w:themeColor="text1"/>
                <w:kern w:val="0"/>
              </w:rPr>
            </w:pPr>
            <w:r>
              <w:rPr>
                <w:color w:val="000000" w:themeColor="text1"/>
                <w:kern w:val="0"/>
              </w:rPr>
              <w:t>式中：</w:t>
            </w:r>
            <w:r>
              <w:rPr>
                <w:i/>
                <w:iCs/>
                <w:color w:val="000000" w:themeColor="text1"/>
                <w:kern w:val="0"/>
              </w:rPr>
              <w:t>L</w:t>
            </w:r>
            <w:r>
              <w:rPr>
                <w:i/>
                <w:iCs/>
                <w:color w:val="000000" w:themeColor="text1"/>
                <w:kern w:val="0"/>
                <w:vertAlign w:val="subscript"/>
              </w:rPr>
              <w:t>eq</w:t>
            </w:r>
            <w:r>
              <w:rPr>
                <w:color w:val="000000" w:themeColor="text1"/>
                <w:kern w:val="0"/>
              </w:rPr>
              <w:t>—预测点的噪声预测值，dB；</w:t>
            </w:r>
          </w:p>
          <w:p w14:paraId="5897C5D8">
            <w:pPr>
              <w:pStyle w:val="36"/>
              <w:spacing w:before="0" w:after="0"/>
              <w:rPr>
                <w:color w:val="000000" w:themeColor="text1"/>
                <w:kern w:val="0"/>
              </w:rPr>
            </w:pPr>
            <w:r>
              <w:rPr>
                <w:i/>
                <w:iCs/>
                <w:color w:val="000000" w:themeColor="text1"/>
                <w:kern w:val="0"/>
              </w:rPr>
              <w:t>L</w:t>
            </w:r>
            <w:r>
              <w:rPr>
                <w:i/>
                <w:iCs/>
                <w:color w:val="000000" w:themeColor="text1"/>
                <w:kern w:val="0"/>
                <w:vertAlign w:val="subscript"/>
              </w:rPr>
              <w:t>eqg</w:t>
            </w:r>
            <w:r>
              <w:rPr>
                <w:color w:val="000000" w:themeColor="text1"/>
                <w:kern w:val="0"/>
              </w:rPr>
              <w:t>—建设项目声源在预测点产生的噪声贡献值，dB；</w:t>
            </w:r>
          </w:p>
          <w:p w14:paraId="489087D2">
            <w:pPr>
              <w:pStyle w:val="13"/>
              <w:spacing w:after="0" w:line="360" w:lineRule="auto"/>
              <w:ind w:left="0" w:leftChars="0" w:firstLine="480"/>
              <w:rPr>
                <w:color w:val="000000" w:themeColor="text1"/>
                <w:szCs w:val="24"/>
              </w:rPr>
            </w:pPr>
            <w:r>
              <w:rPr>
                <w:i/>
                <w:iCs/>
                <w:color w:val="000000" w:themeColor="text1"/>
                <w:szCs w:val="24"/>
              </w:rPr>
              <w:t>L</w:t>
            </w:r>
            <w:r>
              <w:rPr>
                <w:i/>
                <w:iCs/>
                <w:color w:val="000000" w:themeColor="text1"/>
                <w:szCs w:val="24"/>
                <w:vertAlign w:val="subscript"/>
              </w:rPr>
              <w:t>eqb</w:t>
            </w:r>
            <w:r>
              <w:rPr>
                <w:color w:val="000000" w:themeColor="text1"/>
                <w:szCs w:val="24"/>
              </w:rPr>
              <w:t>—预测点的背景噪声值，dB。</w:t>
            </w:r>
          </w:p>
          <w:p w14:paraId="0E33D270">
            <w:pPr>
              <w:spacing w:line="360" w:lineRule="auto"/>
              <w:ind w:firstLine="480"/>
              <w:rPr>
                <w:color w:val="000000" w:themeColor="text1"/>
              </w:rPr>
            </w:pPr>
            <w:r>
              <w:rPr>
                <w:rFonts w:hint="eastAsia"/>
                <w:color w:val="000000" w:themeColor="text1"/>
              </w:rPr>
              <w:t>（2）基础数据</w:t>
            </w:r>
          </w:p>
          <w:p w14:paraId="06643F61">
            <w:pPr>
              <w:spacing w:line="360" w:lineRule="auto"/>
              <w:ind w:firstLine="480"/>
              <w:rPr>
                <w:color w:val="000000" w:themeColor="text1"/>
              </w:rPr>
            </w:pPr>
            <w:r>
              <w:rPr>
                <w:rFonts w:hint="eastAsia"/>
                <w:color w:val="000000" w:themeColor="text1"/>
              </w:rPr>
              <w:t>本项目噪声环境影响预测基础数据见下表。</w:t>
            </w:r>
          </w:p>
          <w:p w14:paraId="4B1253F9">
            <w:pPr>
              <w:pStyle w:val="34"/>
              <w:spacing w:line="360" w:lineRule="auto"/>
              <w:rPr>
                <w:bCs/>
                <w:color w:val="000000" w:themeColor="text1"/>
              </w:rPr>
            </w:pPr>
            <w:r>
              <w:rPr>
                <w:rFonts w:hint="eastAsia"/>
                <w:color w:val="000000" w:themeColor="text1"/>
              </w:rPr>
              <w:t>表47</w:t>
            </w:r>
            <w:r>
              <w:rPr>
                <w:color w:val="000000" w:themeColor="text1"/>
              </w:rPr>
              <w:t xml:space="preserve"> </w:t>
            </w:r>
            <w:r>
              <w:rPr>
                <w:rFonts w:hint="eastAsia"/>
                <w:color w:val="000000" w:themeColor="text1"/>
              </w:rPr>
              <w:t xml:space="preserve"> 项目噪声环境影响预测基础数据表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099"/>
              <w:gridCol w:w="1960"/>
              <w:gridCol w:w="2499"/>
            </w:tblGrid>
            <w:tr w14:paraId="12661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938" w:type="pct"/>
                  <w:tcBorders>
                    <w:tl2br w:val="nil"/>
                    <w:tr2bl w:val="nil"/>
                  </w:tcBorders>
                  <w:vAlign w:val="center"/>
                </w:tcPr>
                <w:p w14:paraId="5A6EC838">
                  <w:pPr>
                    <w:pStyle w:val="35"/>
                    <w:ind w:left="0" w:leftChars="0" w:right="0" w:rightChars="0"/>
                    <w:rPr>
                      <w:b/>
                      <w:bCs/>
                      <w:color w:val="000000" w:themeColor="text1"/>
                    </w:rPr>
                  </w:pPr>
                  <w:r>
                    <w:rPr>
                      <w:rFonts w:hint="eastAsia"/>
                      <w:b/>
                      <w:bCs/>
                      <w:color w:val="000000" w:themeColor="text1"/>
                    </w:rPr>
                    <w:t>序号</w:t>
                  </w:r>
                </w:p>
              </w:tc>
              <w:tc>
                <w:tcPr>
                  <w:tcW w:w="1299" w:type="pct"/>
                  <w:tcBorders>
                    <w:tl2br w:val="nil"/>
                    <w:tr2bl w:val="nil"/>
                  </w:tcBorders>
                  <w:vAlign w:val="center"/>
                </w:tcPr>
                <w:p w14:paraId="6352C465">
                  <w:pPr>
                    <w:pStyle w:val="35"/>
                    <w:ind w:left="0" w:leftChars="0" w:right="0" w:rightChars="0"/>
                    <w:rPr>
                      <w:b/>
                      <w:bCs/>
                      <w:color w:val="000000" w:themeColor="text1"/>
                    </w:rPr>
                  </w:pPr>
                  <w:r>
                    <w:rPr>
                      <w:rFonts w:hint="eastAsia"/>
                      <w:b/>
                      <w:bCs/>
                      <w:color w:val="000000" w:themeColor="text1"/>
                    </w:rPr>
                    <w:t>名称</w:t>
                  </w:r>
                </w:p>
              </w:tc>
              <w:tc>
                <w:tcPr>
                  <w:tcW w:w="1214" w:type="pct"/>
                  <w:tcBorders>
                    <w:tl2br w:val="nil"/>
                    <w:tr2bl w:val="nil"/>
                  </w:tcBorders>
                  <w:vAlign w:val="center"/>
                </w:tcPr>
                <w:p w14:paraId="18CF8FB5">
                  <w:pPr>
                    <w:pStyle w:val="35"/>
                    <w:ind w:left="0" w:leftChars="0" w:right="0" w:rightChars="0"/>
                    <w:rPr>
                      <w:b/>
                      <w:bCs/>
                      <w:color w:val="000000" w:themeColor="text1"/>
                    </w:rPr>
                  </w:pPr>
                  <w:r>
                    <w:rPr>
                      <w:rFonts w:hint="eastAsia"/>
                      <w:b/>
                      <w:bCs/>
                      <w:color w:val="000000" w:themeColor="text1"/>
                    </w:rPr>
                    <w:t>单位</w:t>
                  </w:r>
                </w:p>
              </w:tc>
              <w:tc>
                <w:tcPr>
                  <w:tcW w:w="1547" w:type="pct"/>
                  <w:tcBorders>
                    <w:tl2br w:val="nil"/>
                    <w:tr2bl w:val="nil"/>
                  </w:tcBorders>
                  <w:vAlign w:val="center"/>
                </w:tcPr>
                <w:p w14:paraId="3135AF1A">
                  <w:pPr>
                    <w:pStyle w:val="35"/>
                    <w:ind w:left="0" w:leftChars="0" w:right="0" w:rightChars="0"/>
                    <w:rPr>
                      <w:b/>
                      <w:bCs/>
                      <w:color w:val="000000" w:themeColor="text1"/>
                    </w:rPr>
                  </w:pPr>
                  <w:r>
                    <w:rPr>
                      <w:rFonts w:hint="eastAsia"/>
                      <w:b/>
                      <w:bCs/>
                      <w:color w:val="000000" w:themeColor="text1"/>
                    </w:rPr>
                    <w:t>数据</w:t>
                  </w:r>
                </w:p>
              </w:tc>
            </w:tr>
            <w:tr w14:paraId="4D629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74253498">
                  <w:pPr>
                    <w:pStyle w:val="35"/>
                    <w:ind w:left="0" w:leftChars="0" w:right="0" w:rightChars="0"/>
                    <w:rPr>
                      <w:color w:val="000000" w:themeColor="text1"/>
                    </w:rPr>
                  </w:pPr>
                  <w:r>
                    <w:rPr>
                      <w:rFonts w:hint="eastAsia"/>
                      <w:color w:val="000000" w:themeColor="text1"/>
                    </w:rPr>
                    <w:t>1</w:t>
                  </w:r>
                </w:p>
              </w:tc>
              <w:tc>
                <w:tcPr>
                  <w:tcW w:w="1299" w:type="pct"/>
                  <w:tcBorders>
                    <w:tl2br w:val="nil"/>
                    <w:tr2bl w:val="nil"/>
                  </w:tcBorders>
                  <w:vAlign w:val="center"/>
                </w:tcPr>
                <w:p w14:paraId="0DC8FDF7">
                  <w:pPr>
                    <w:pStyle w:val="35"/>
                    <w:ind w:left="0" w:leftChars="0" w:right="0" w:rightChars="0"/>
                    <w:rPr>
                      <w:color w:val="000000" w:themeColor="text1"/>
                    </w:rPr>
                  </w:pPr>
                  <w:r>
                    <w:rPr>
                      <w:rFonts w:hint="eastAsia"/>
                      <w:color w:val="000000" w:themeColor="text1"/>
                    </w:rPr>
                    <w:t>年平均风速</w:t>
                  </w:r>
                </w:p>
              </w:tc>
              <w:tc>
                <w:tcPr>
                  <w:tcW w:w="1214" w:type="pct"/>
                  <w:tcBorders>
                    <w:tl2br w:val="nil"/>
                    <w:tr2bl w:val="nil"/>
                  </w:tcBorders>
                  <w:vAlign w:val="center"/>
                </w:tcPr>
                <w:p w14:paraId="45126F4E">
                  <w:pPr>
                    <w:pStyle w:val="35"/>
                    <w:ind w:left="0" w:leftChars="0" w:right="0" w:rightChars="0"/>
                    <w:rPr>
                      <w:color w:val="000000" w:themeColor="text1"/>
                    </w:rPr>
                  </w:pPr>
                  <w:r>
                    <w:rPr>
                      <w:rFonts w:hint="eastAsia"/>
                      <w:color w:val="000000" w:themeColor="text1"/>
                    </w:rPr>
                    <w:t>m</w:t>
                  </w:r>
                  <w:r>
                    <w:rPr>
                      <w:color w:val="000000" w:themeColor="text1"/>
                    </w:rPr>
                    <w:t>/s</w:t>
                  </w:r>
                </w:p>
              </w:tc>
              <w:tc>
                <w:tcPr>
                  <w:tcW w:w="1547" w:type="pct"/>
                  <w:tcBorders>
                    <w:tl2br w:val="nil"/>
                    <w:tr2bl w:val="nil"/>
                  </w:tcBorders>
                  <w:vAlign w:val="center"/>
                </w:tcPr>
                <w:p w14:paraId="0D9C8D4A">
                  <w:pPr>
                    <w:pStyle w:val="35"/>
                    <w:ind w:left="0" w:leftChars="0" w:right="0" w:rightChars="0"/>
                    <w:rPr>
                      <w:color w:val="000000" w:themeColor="text1"/>
                    </w:rPr>
                  </w:pPr>
                  <w:r>
                    <w:rPr>
                      <w:rFonts w:hint="eastAsia"/>
                      <w:color w:val="000000" w:themeColor="text1"/>
                    </w:rPr>
                    <w:t>4.6</w:t>
                  </w:r>
                </w:p>
              </w:tc>
            </w:tr>
            <w:tr w14:paraId="430C9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258A2657">
                  <w:pPr>
                    <w:pStyle w:val="35"/>
                    <w:ind w:left="0" w:leftChars="0" w:right="0" w:rightChars="0"/>
                    <w:rPr>
                      <w:color w:val="000000" w:themeColor="text1"/>
                    </w:rPr>
                  </w:pPr>
                  <w:r>
                    <w:rPr>
                      <w:rFonts w:hint="eastAsia"/>
                      <w:color w:val="000000" w:themeColor="text1"/>
                    </w:rPr>
                    <w:t>2</w:t>
                  </w:r>
                </w:p>
              </w:tc>
              <w:tc>
                <w:tcPr>
                  <w:tcW w:w="1299" w:type="pct"/>
                  <w:tcBorders>
                    <w:tl2br w:val="nil"/>
                    <w:tr2bl w:val="nil"/>
                  </w:tcBorders>
                  <w:vAlign w:val="center"/>
                </w:tcPr>
                <w:p w14:paraId="106BAD08">
                  <w:pPr>
                    <w:pStyle w:val="35"/>
                    <w:ind w:left="0" w:leftChars="0" w:right="0" w:rightChars="0"/>
                    <w:rPr>
                      <w:color w:val="000000" w:themeColor="text1"/>
                    </w:rPr>
                  </w:pPr>
                  <w:r>
                    <w:rPr>
                      <w:rFonts w:hint="eastAsia"/>
                      <w:color w:val="000000" w:themeColor="text1"/>
                    </w:rPr>
                    <w:t>主导风向</w:t>
                  </w:r>
                </w:p>
              </w:tc>
              <w:tc>
                <w:tcPr>
                  <w:tcW w:w="1214" w:type="pct"/>
                  <w:tcBorders>
                    <w:tl2br w:val="nil"/>
                    <w:tr2bl w:val="nil"/>
                  </w:tcBorders>
                  <w:vAlign w:val="center"/>
                </w:tcPr>
                <w:p w14:paraId="6C81150A">
                  <w:pPr>
                    <w:pStyle w:val="35"/>
                    <w:ind w:left="0" w:leftChars="0" w:right="0" w:rightChars="0"/>
                    <w:rPr>
                      <w:color w:val="000000" w:themeColor="text1"/>
                    </w:rPr>
                  </w:pPr>
                  <w:r>
                    <w:rPr>
                      <w:rFonts w:hint="eastAsia" w:ascii="宋体" w:hAnsi="宋体" w:cs="宋体"/>
                      <w:color w:val="000000" w:themeColor="text1"/>
                    </w:rPr>
                    <w:t>－</w:t>
                  </w:r>
                </w:p>
              </w:tc>
              <w:tc>
                <w:tcPr>
                  <w:tcW w:w="1547" w:type="pct"/>
                  <w:tcBorders>
                    <w:tl2br w:val="nil"/>
                    <w:tr2bl w:val="nil"/>
                  </w:tcBorders>
                  <w:vAlign w:val="center"/>
                </w:tcPr>
                <w:p w14:paraId="34B99111">
                  <w:pPr>
                    <w:pStyle w:val="35"/>
                    <w:ind w:left="0" w:leftChars="0" w:right="0" w:rightChars="0"/>
                    <w:rPr>
                      <w:color w:val="000000" w:themeColor="text1"/>
                    </w:rPr>
                  </w:pPr>
                  <w:r>
                    <w:rPr>
                      <w:rFonts w:hint="eastAsia"/>
                      <w:color w:val="000000" w:themeColor="text1"/>
                    </w:rPr>
                    <w:t>SSW</w:t>
                  </w:r>
                </w:p>
              </w:tc>
            </w:tr>
            <w:tr w14:paraId="32718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27EEDFDB">
                  <w:pPr>
                    <w:pStyle w:val="35"/>
                    <w:ind w:left="0" w:leftChars="0" w:right="0" w:rightChars="0"/>
                    <w:rPr>
                      <w:color w:val="000000" w:themeColor="text1"/>
                    </w:rPr>
                  </w:pPr>
                  <w:r>
                    <w:rPr>
                      <w:rFonts w:hint="eastAsia"/>
                      <w:color w:val="000000" w:themeColor="text1"/>
                    </w:rPr>
                    <w:t>3</w:t>
                  </w:r>
                </w:p>
              </w:tc>
              <w:tc>
                <w:tcPr>
                  <w:tcW w:w="1299" w:type="pct"/>
                  <w:tcBorders>
                    <w:tl2br w:val="nil"/>
                    <w:tr2bl w:val="nil"/>
                  </w:tcBorders>
                  <w:vAlign w:val="center"/>
                </w:tcPr>
                <w:p w14:paraId="39726D72">
                  <w:pPr>
                    <w:pStyle w:val="35"/>
                    <w:ind w:left="0" w:leftChars="0" w:right="0" w:rightChars="0"/>
                    <w:rPr>
                      <w:color w:val="000000" w:themeColor="text1"/>
                    </w:rPr>
                  </w:pPr>
                  <w:r>
                    <w:rPr>
                      <w:rFonts w:hint="eastAsia"/>
                      <w:color w:val="000000" w:themeColor="text1"/>
                    </w:rPr>
                    <w:t>年平均气温</w:t>
                  </w:r>
                </w:p>
              </w:tc>
              <w:tc>
                <w:tcPr>
                  <w:tcW w:w="1214" w:type="pct"/>
                  <w:tcBorders>
                    <w:tl2br w:val="nil"/>
                    <w:tr2bl w:val="nil"/>
                  </w:tcBorders>
                  <w:vAlign w:val="center"/>
                </w:tcPr>
                <w:p w14:paraId="629234B3">
                  <w:pPr>
                    <w:pStyle w:val="35"/>
                    <w:ind w:left="0" w:leftChars="0" w:right="0" w:rightChars="0"/>
                    <w:rPr>
                      <w:color w:val="000000" w:themeColor="text1"/>
                    </w:rPr>
                  </w:pPr>
                  <w:r>
                    <w:rPr>
                      <w:color w:val="000000" w:themeColor="text1"/>
                    </w:rPr>
                    <w:t>℃</w:t>
                  </w:r>
                </w:p>
              </w:tc>
              <w:tc>
                <w:tcPr>
                  <w:tcW w:w="1547" w:type="pct"/>
                  <w:tcBorders>
                    <w:tl2br w:val="nil"/>
                    <w:tr2bl w:val="nil"/>
                  </w:tcBorders>
                  <w:vAlign w:val="center"/>
                </w:tcPr>
                <w:p w14:paraId="0F434FE6">
                  <w:pPr>
                    <w:pStyle w:val="35"/>
                    <w:ind w:left="0" w:leftChars="0" w:right="0" w:rightChars="0"/>
                    <w:rPr>
                      <w:color w:val="000000" w:themeColor="text1"/>
                    </w:rPr>
                  </w:pPr>
                  <w:r>
                    <w:rPr>
                      <w:rFonts w:hint="eastAsia"/>
                      <w:color w:val="000000" w:themeColor="text1"/>
                    </w:rPr>
                    <w:t>26.4</w:t>
                  </w:r>
                </w:p>
              </w:tc>
            </w:tr>
            <w:tr w14:paraId="23126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53330507">
                  <w:pPr>
                    <w:pStyle w:val="35"/>
                    <w:ind w:left="0" w:leftChars="0" w:right="0" w:rightChars="0"/>
                    <w:rPr>
                      <w:color w:val="000000" w:themeColor="text1"/>
                    </w:rPr>
                  </w:pPr>
                  <w:r>
                    <w:rPr>
                      <w:rFonts w:hint="eastAsia"/>
                      <w:color w:val="000000" w:themeColor="text1"/>
                    </w:rPr>
                    <w:t>4</w:t>
                  </w:r>
                </w:p>
              </w:tc>
              <w:tc>
                <w:tcPr>
                  <w:tcW w:w="1299" w:type="pct"/>
                  <w:tcBorders>
                    <w:tl2br w:val="nil"/>
                    <w:tr2bl w:val="nil"/>
                  </w:tcBorders>
                  <w:vAlign w:val="center"/>
                </w:tcPr>
                <w:p w14:paraId="4CF89EDC">
                  <w:pPr>
                    <w:pStyle w:val="35"/>
                    <w:ind w:left="0" w:leftChars="0" w:right="0" w:rightChars="0"/>
                    <w:rPr>
                      <w:color w:val="000000" w:themeColor="text1"/>
                    </w:rPr>
                  </w:pPr>
                  <w:r>
                    <w:rPr>
                      <w:rFonts w:hint="eastAsia"/>
                      <w:color w:val="000000" w:themeColor="text1"/>
                    </w:rPr>
                    <w:t>年平均相对湿度</w:t>
                  </w:r>
                </w:p>
              </w:tc>
              <w:tc>
                <w:tcPr>
                  <w:tcW w:w="1214" w:type="pct"/>
                  <w:tcBorders>
                    <w:tl2br w:val="nil"/>
                    <w:tr2bl w:val="nil"/>
                  </w:tcBorders>
                  <w:vAlign w:val="center"/>
                </w:tcPr>
                <w:p w14:paraId="70E0F19B">
                  <w:pPr>
                    <w:pStyle w:val="35"/>
                    <w:ind w:left="0" w:leftChars="0" w:right="0" w:rightChars="0"/>
                    <w:rPr>
                      <w:color w:val="000000" w:themeColor="text1"/>
                    </w:rPr>
                  </w:pPr>
                  <w:r>
                    <w:rPr>
                      <w:rFonts w:hint="eastAsia"/>
                      <w:color w:val="000000" w:themeColor="text1"/>
                    </w:rPr>
                    <w:t>%</w:t>
                  </w:r>
                </w:p>
              </w:tc>
              <w:tc>
                <w:tcPr>
                  <w:tcW w:w="1547" w:type="pct"/>
                  <w:tcBorders>
                    <w:tl2br w:val="nil"/>
                    <w:tr2bl w:val="nil"/>
                  </w:tcBorders>
                  <w:vAlign w:val="center"/>
                </w:tcPr>
                <w:p w14:paraId="2D149093">
                  <w:pPr>
                    <w:pStyle w:val="35"/>
                    <w:ind w:left="0" w:leftChars="0" w:right="0" w:rightChars="0"/>
                    <w:rPr>
                      <w:color w:val="000000" w:themeColor="text1"/>
                    </w:rPr>
                  </w:pPr>
                  <w:r>
                    <w:rPr>
                      <w:rFonts w:hint="eastAsia"/>
                      <w:color w:val="000000" w:themeColor="text1"/>
                    </w:rPr>
                    <w:t>66</w:t>
                  </w:r>
                </w:p>
              </w:tc>
            </w:tr>
            <w:tr w14:paraId="29AFF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38" w:type="pct"/>
                  <w:tcBorders>
                    <w:tl2br w:val="nil"/>
                    <w:tr2bl w:val="nil"/>
                  </w:tcBorders>
                  <w:vAlign w:val="center"/>
                </w:tcPr>
                <w:p w14:paraId="1F6C29C1">
                  <w:pPr>
                    <w:pStyle w:val="35"/>
                    <w:ind w:left="0" w:leftChars="0" w:right="0" w:rightChars="0"/>
                    <w:rPr>
                      <w:color w:val="000000" w:themeColor="text1"/>
                    </w:rPr>
                  </w:pPr>
                  <w:r>
                    <w:rPr>
                      <w:rFonts w:hint="eastAsia"/>
                      <w:color w:val="000000" w:themeColor="text1"/>
                    </w:rPr>
                    <w:t>5</w:t>
                  </w:r>
                </w:p>
              </w:tc>
              <w:tc>
                <w:tcPr>
                  <w:tcW w:w="1299" w:type="pct"/>
                  <w:tcBorders>
                    <w:tl2br w:val="nil"/>
                    <w:tr2bl w:val="nil"/>
                  </w:tcBorders>
                  <w:vAlign w:val="center"/>
                </w:tcPr>
                <w:p w14:paraId="7A8F25B7">
                  <w:pPr>
                    <w:pStyle w:val="35"/>
                    <w:ind w:left="0" w:leftChars="0" w:right="0" w:rightChars="0"/>
                    <w:rPr>
                      <w:color w:val="000000" w:themeColor="text1"/>
                    </w:rPr>
                  </w:pPr>
                  <w:r>
                    <w:rPr>
                      <w:rFonts w:hint="eastAsia"/>
                      <w:color w:val="000000" w:themeColor="text1"/>
                    </w:rPr>
                    <w:t>大气压强</w:t>
                  </w:r>
                </w:p>
              </w:tc>
              <w:tc>
                <w:tcPr>
                  <w:tcW w:w="1214" w:type="pct"/>
                  <w:tcBorders>
                    <w:tl2br w:val="nil"/>
                    <w:tr2bl w:val="nil"/>
                  </w:tcBorders>
                  <w:vAlign w:val="center"/>
                </w:tcPr>
                <w:p w14:paraId="7CE89697">
                  <w:pPr>
                    <w:pStyle w:val="35"/>
                    <w:ind w:left="0" w:leftChars="0" w:right="0" w:rightChars="0"/>
                    <w:rPr>
                      <w:color w:val="000000" w:themeColor="text1"/>
                    </w:rPr>
                  </w:pPr>
                  <w:r>
                    <w:rPr>
                      <w:rFonts w:hint="eastAsia"/>
                      <w:color w:val="000000" w:themeColor="text1"/>
                    </w:rPr>
                    <w:t>a</w:t>
                  </w:r>
                  <w:r>
                    <w:rPr>
                      <w:color w:val="000000" w:themeColor="text1"/>
                    </w:rPr>
                    <w:t>tm</w:t>
                  </w:r>
                </w:p>
              </w:tc>
              <w:tc>
                <w:tcPr>
                  <w:tcW w:w="1547" w:type="pct"/>
                  <w:tcBorders>
                    <w:tl2br w:val="nil"/>
                    <w:tr2bl w:val="nil"/>
                  </w:tcBorders>
                  <w:vAlign w:val="center"/>
                </w:tcPr>
                <w:p w14:paraId="0C7B6DA9">
                  <w:pPr>
                    <w:pStyle w:val="35"/>
                    <w:ind w:left="0" w:leftChars="0" w:right="0" w:rightChars="0"/>
                    <w:rPr>
                      <w:color w:val="000000" w:themeColor="text1"/>
                    </w:rPr>
                  </w:pPr>
                  <w:r>
                    <w:rPr>
                      <w:rFonts w:hint="eastAsia"/>
                      <w:color w:val="000000" w:themeColor="text1"/>
                    </w:rPr>
                    <w:t>1.05</w:t>
                  </w:r>
                </w:p>
              </w:tc>
            </w:tr>
          </w:tbl>
          <w:p w14:paraId="77CFE29A">
            <w:pPr>
              <w:spacing w:line="360" w:lineRule="auto"/>
              <w:ind w:firstLine="480"/>
              <w:rPr>
                <w:color w:val="000000" w:themeColor="text1"/>
              </w:rPr>
            </w:pPr>
            <w:r>
              <w:rPr>
                <w:rFonts w:hint="eastAsia"/>
                <w:color w:val="000000" w:themeColor="text1"/>
              </w:rPr>
              <w:t>（3）</w:t>
            </w:r>
            <w:r>
              <w:rPr>
                <w:color w:val="000000" w:themeColor="text1"/>
              </w:rPr>
              <w:t>预测结果</w:t>
            </w:r>
          </w:p>
          <w:p w14:paraId="5F96A20E">
            <w:pPr>
              <w:spacing w:line="360" w:lineRule="auto"/>
              <w:ind w:firstLine="480"/>
              <w:rPr>
                <w:color w:val="000000" w:themeColor="text1"/>
              </w:rPr>
            </w:pPr>
            <w:r>
              <w:rPr>
                <w:rFonts w:hint="eastAsia"/>
                <w:color w:val="000000" w:themeColor="text1"/>
              </w:rPr>
              <w:t>根据《工业企业厂界环境噪声排放标准》（GB12348-2008）中对厂界的定义：厂界为由法律文书（如土地使用证、房产证、租赁合同等）中确定的业主所拥有使用权（或所有权）的场所或建筑物边界。各种产生噪声的固定设备的厂界为其实际占地的边界。本项目租赁唐山曹妃甸木业股份有限公司闲置</w:t>
            </w:r>
            <w:r>
              <w:rPr>
                <w:color w:val="000000" w:themeColor="text1"/>
              </w:rPr>
              <w:t>厂房</w:t>
            </w:r>
            <w:r>
              <w:rPr>
                <w:rFonts w:hint="eastAsia"/>
                <w:color w:val="000000" w:themeColor="text1"/>
              </w:rPr>
              <w:t>及堆场进行建设，堆场位于厂房外四周，故本项目堆场界即为厂界。</w:t>
            </w:r>
          </w:p>
          <w:p w14:paraId="29A4A985">
            <w:pPr>
              <w:spacing w:line="360" w:lineRule="auto"/>
              <w:ind w:firstLine="480"/>
              <w:rPr>
                <w:color w:val="000000" w:themeColor="text1"/>
              </w:rPr>
            </w:pPr>
            <w:r>
              <w:rPr>
                <w:rFonts w:hint="eastAsia"/>
                <w:color w:val="000000" w:themeColor="text1"/>
              </w:rPr>
              <w:t>厂房及室外声源至</w:t>
            </w:r>
            <w:r>
              <w:rPr>
                <w:color w:val="000000" w:themeColor="text1"/>
              </w:rPr>
              <w:t>厂界的距离如下：</w:t>
            </w:r>
          </w:p>
          <w:p w14:paraId="0B128483">
            <w:pPr>
              <w:pStyle w:val="34"/>
              <w:spacing w:line="360" w:lineRule="auto"/>
              <w:rPr>
                <w:b w:val="0"/>
                <w:bCs/>
                <w:color w:val="000000" w:themeColor="text1"/>
              </w:rPr>
            </w:pPr>
            <w:r>
              <w:rPr>
                <w:color w:val="000000" w:themeColor="text1"/>
              </w:rPr>
              <w:t>表</w:t>
            </w:r>
            <w:r>
              <w:rPr>
                <w:rFonts w:hint="eastAsia"/>
                <w:color w:val="000000" w:themeColor="text1"/>
              </w:rPr>
              <w:t xml:space="preserve">48  </w:t>
            </w:r>
            <w:r>
              <w:rPr>
                <w:color w:val="000000" w:themeColor="text1"/>
              </w:rPr>
              <w:t>本项目</w:t>
            </w:r>
            <w:r>
              <w:rPr>
                <w:rFonts w:hint="eastAsia"/>
                <w:color w:val="000000" w:themeColor="text1"/>
              </w:rPr>
              <w:t>厂房及室外声源距</w:t>
            </w:r>
            <w:r>
              <w:rPr>
                <w:color w:val="000000" w:themeColor="text1"/>
              </w:rPr>
              <w:t>厂界距离</w:t>
            </w:r>
            <w:r>
              <w:rPr>
                <w:rFonts w:hint="eastAsia"/>
                <w:color w:val="000000" w:themeColor="text1"/>
              </w:rPr>
              <w:t>一览表</w:t>
            </w:r>
          </w:p>
          <w:tbl>
            <w:tblPr>
              <w:tblStyle w:val="25"/>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055"/>
              <w:gridCol w:w="1410"/>
              <w:gridCol w:w="1365"/>
              <w:gridCol w:w="1335"/>
              <w:gridCol w:w="1249"/>
            </w:tblGrid>
            <w:tr w14:paraId="45E08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1E1DD9F5">
                  <w:pPr>
                    <w:spacing w:line="240" w:lineRule="auto"/>
                    <w:ind w:firstLine="0" w:firstLineChars="0"/>
                    <w:jc w:val="center"/>
                    <w:rPr>
                      <w:b/>
                      <w:color w:val="000000" w:themeColor="text1"/>
                      <w:sz w:val="21"/>
                      <w:szCs w:val="21"/>
                    </w:rPr>
                  </w:pPr>
                  <w:r>
                    <w:rPr>
                      <w:rFonts w:hint="eastAsia"/>
                      <w:b/>
                      <w:color w:val="000000" w:themeColor="text1"/>
                      <w:sz w:val="21"/>
                      <w:szCs w:val="21"/>
                    </w:rPr>
                    <w:t>序号</w:t>
                  </w:r>
                </w:p>
              </w:tc>
              <w:tc>
                <w:tcPr>
                  <w:tcW w:w="2055" w:type="dxa"/>
                  <w:tcBorders>
                    <w:tl2br w:val="nil"/>
                    <w:tr2bl w:val="nil"/>
                  </w:tcBorders>
                  <w:vAlign w:val="center"/>
                </w:tcPr>
                <w:p w14:paraId="1A042262">
                  <w:pPr>
                    <w:spacing w:line="240" w:lineRule="auto"/>
                    <w:ind w:firstLine="0" w:firstLineChars="0"/>
                    <w:jc w:val="center"/>
                    <w:rPr>
                      <w:b/>
                      <w:color w:val="000000" w:themeColor="text1"/>
                      <w:sz w:val="21"/>
                      <w:szCs w:val="21"/>
                    </w:rPr>
                  </w:pPr>
                  <w:r>
                    <w:rPr>
                      <w:rFonts w:hint="eastAsia"/>
                      <w:b/>
                      <w:color w:val="000000" w:themeColor="text1"/>
                      <w:sz w:val="21"/>
                      <w:szCs w:val="21"/>
                    </w:rPr>
                    <w:t>噪声源</w:t>
                  </w:r>
                </w:p>
              </w:tc>
              <w:tc>
                <w:tcPr>
                  <w:tcW w:w="1410" w:type="dxa"/>
                  <w:tcBorders>
                    <w:tl2br w:val="nil"/>
                    <w:tr2bl w:val="nil"/>
                  </w:tcBorders>
                  <w:vAlign w:val="center"/>
                </w:tcPr>
                <w:p w14:paraId="4A580C13">
                  <w:pPr>
                    <w:spacing w:line="240" w:lineRule="auto"/>
                    <w:ind w:firstLine="0" w:firstLineChars="0"/>
                    <w:jc w:val="center"/>
                    <w:rPr>
                      <w:b/>
                      <w:color w:val="000000" w:themeColor="text1"/>
                      <w:sz w:val="21"/>
                      <w:szCs w:val="21"/>
                    </w:rPr>
                  </w:pPr>
                  <w:r>
                    <w:rPr>
                      <w:rFonts w:hint="eastAsia"/>
                      <w:b/>
                      <w:color w:val="000000" w:themeColor="text1"/>
                      <w:sz w:val="21"/>
                      <w:szCs w:val="21"/>
                    </w:rPr>
                    <w:t>东厂界（m）</w:t>
                  </w:r>
                </w:p>
              </w:tc>
              <w:tc>
                <w:tcPr>
                  <w:tcW w:w="1365" w:type="dxa"/>
                  <w:tcBorders>
                    <w:tl2br w:val="nil"/>
                    <w:tr2bl w:val="nil"/>
                  </w:tcBorders>
                  <w:vAlign w:val="center"/>
                </w:tcPr>
                <w:p w14:paraId="7CE430E7">
                  <w:pPr>
                    <w:spacing w:line="240" w:lineRule="auto"/>
                    <w:ind w:firstLine="0" w:firstLineChars="0"/>
                    <w:jc w:val="center"/>
                    <w:rPr>
                      <w:b/>
                      <w:color w:val="000000" w:themeColor="text1"/>
                      <w:sz w:val="21"/>
                      <w:szCs w:val="21"/>
                    </w:rPr>
                  </w:pPr>
                  <w:r>
                    <w:rPr>
                      <w:rFonts w:hint="eastAsia"/>
                      <w:b/>
                      <w:color w:val="000000" w:themeColor="text1"/>
                      <w:sz w:val="21"/>
                      <w:szCs w:val="21"/>
                    </w:rPr>
                    <w:t>南厂界（m）</w:t>
                  </w:r>
                </w:p>
              </w:tc>
              <w:tc>
                <w:tcPr>
                  <w:tcW w:w="1335" w:type="dxa"/>
                  <w:tcBorders>
                    <w:tl2br w:val="nil"/>
                    <w:tr2bl w:val="nil"/>
                  </w:tcBorders>
                  <w:vAlign w:val="center"/>
                </w:tcPr>
                <w:p w14:paraId="25EEDB0A">
                  <w:pPr>
                    <w:spacing w:line="240" w:lineRule="auto"/>
                    <w:ind w:firstLine="0" w:firstLineChars="0"/>
                    <w:jc w:val="center"/>
                    <w:rPr>
                      <w:b/>
                      <w:color w:val="000000" w:themeColor="text1"/>
                      <w:sz w:val="21"/>
                      <w:szCs w:val="21"/>
                    </w:rPr>
                  </w:pPr>
                  <w:r>
                    <w:rPr>
                      <w:rFonts w:hint="eastAsia"/>
                      <w:b/>
                      <w:color w:val="000000" w:themeColor="text1"/>
                      <w:sz w:val="21"/>
                      <w:szCs w:val="21"/>
                    </w:rPr>
                    <w:t>西厂界（m）</w:t>
                  </w:r>
                </w:p>
              </w:tc>
              <w:tc>
                <w:tcPr>
                  <w:tcW w:w="1249" w:type="dxa"/>
                  <w:tcBorders>
                    <w:tl2br w:val="nil"/>
                    <w:tr2bl w:val="nil"/>
                  </w:tcBorders>
                  <w:vAlign w:val="center"/>
                </w:tcPr>
                <w:p w14:paraId="074741BD">
                  <w:pPr>
                    <w:spacing w:line="240" w:lineRule="auto"/>
                    <w:ind w:firstLine="0" w:firstLineChars="0"/>
                    <w:jc w:val="center"/>
                    <w:rPr>
                      <w:b/>
                      <w:color w:val="000000" w:themeColor="text1"/>
                      <w:sz w:val="21"/>
                      <w:szCs w:val="21"/>
                    </w:rPr>
                  </w:pPr>
                  <w:r>
                    <w:rPr>
                      <w:rFonts w:hint="eastAsia"/>
                      <w:b/>
                      <w:color w:val="000000" w:themeColor="text1"/>
                      <w:sz w:val="21"/>
                      <w:szCs w:val="21"/>
                    </w:rPr>
                    <w:t>北厂界（m）</w:t>
                  </w:r>
                </w:p>
              </w:tc>
            </w:tr>
            <w:tr w14:paraId="5D61E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1E523790">
                  <w:pPr>
                    <w:numPr>
                      <w:ilvl w:val="0"/>
                      <w:numId w:val="9"/>
                    </w:numPr>
                    <w:spacing w:line="240" w:lineRule="auto"/>
                    <w:ind w:firstLineChars="0"/>
                    <w:jc w:val="center"/>
                    <w:rPr>
                      <w:color w:val="000000" w:themeColor="text1"/>
                      <w:sz w:val="21"/>
                      <w:szCs w:val="21"/>
                    </w:rPr>
                  </w:pPr>
                </w:p>
              </w:tc>
              <w:tc>
                <w:tcPr>
                  <w:tcW w:w="2055" w:type="dxa"/>
                  <w:tcBorders>
                    <w:tl2br w:val="nil"/>
                    <w:tr2bl w:val="nil"/>
                  </w:tcBorders>
                  <w:vAlign w:val="center"/>
                </w:tcPr>
                <w:p w14:paraId="125B1407">
                  <w:pPr>
                    <w:spacing w:line="240" w:lineRule="auto"/>
                    <w:ind w:firstLine="0" w:firstLineChars="0"/>
                    <w:jc w:val="center"/>
                    <w:rPr>
                      <w:color w:val="000000" w:themeColor="text1"/>
                      <w:sz w:val="21"/>
                      <w:szCs w:val="21"/>
                    </w:rPr>
                  </w:pPr>
                  <w:r>
                    <w:rPr>
                      <w:rFonts w:hint="eastAsia" w:cs="Tahoma"/>
                      <w:color w:val="000000" w:themeColor="text1"/>
                      <w:sz w:val="21"/>
                      <w:szCs w:val="21"/>
                    </w:rPr>
                    <w:t>厂房</w:t>
                  </w:r>
                </w:p>
              </w:tc>
              <w:tc>
                <w:tcPr>
                  <w:tcW w:w="1410" w:type="dxa"/>
                  <w:tcBorders>
                    <w:tl2br w:val="nil"/>
                    <w:tr2bl w:val="nil"/>
                  </w:tcBorders>
                  <w:vAlign w:val="center"/>
                </w:tcPr>
                <w:p w14:paraId="60442187">
                  <w:pPr>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365" w:type="dxa"/>
                  <w:tcBorders>
                    <w:tl2br w:val="nil"/>
                    <w:tr2bl w:val="nil"/>
                  </w:tcBorders>
                  <w:vAlign w:val="center"/>
                </w:tcPr>
                <w:p w14:paraId="2B2DA017">
                  <w:pPr>
                    <w:spacing w:line="240" w:lineRule="auto"/>
                    <w:ind w:firstLine="0" w:firstLineChars="0"/>
                    <w:jc w:val="center"/>
                    <w:rPr>
                      <w:color w:val="000000" w:themeColor="text1"/>
                      <w:sz w:val="21"/>
                      <w:szCs w:val="21"/>
                    </w:rPr>
                  </w:pPr>
                  <w:r>
                    <w:rPr>
                      <w:rFonts w:hint="eastAsia"/>
                      <w:color w:val="000000" w:themeColor="text1"/>
                      <w:sz w:val="21"/>
                      <w:szCs w:val="21"/>
                    </w:rPr>
                    <w:t>11</w:t>
                  </w:r>
                </w:p>
              </w:tc>
              <w:tc>
                <w:tcPr>
                  <w:tcW w:w="1335" w:type="dxa"/>
                  <w:tcBorders>
                    <w:tl2br w:val="nil"/>
                    <w:tr2bl w:val="nil"/>
                  </w:tcBorders>
                  <w:vAlign w:val="center"/>
                </w:tcPr>
                <w:p w14:paraId="0E19DA7C">
                  <w:pPr>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249" w:type="dxa"/>
                  <w:tcBorders>
                    <w:tl2br w:val="nil"/>
                    <w:tr2bl w:val="nil"/>
                  </w:tcBorders>
                  <w:vAlign w:val="center"/>
                </w:tcPr>
                <w:p w14:paraId="759C7BA7">
                  <w:pPr>
                    <w:spacing w:line="240" w:lineRule="auto"/>
                    <w:ind w:firstLine="0" w:firstLineChars="0"/>
                    <w:jc w:val="center"/>
                    <w:rPr>
                      <w:color w:val="000000" w:themeColor="text1"/>
                      <w:sz w:val="21"/>
                      <w:szCs w:val="21"/>
                    </w:rPr>
                  </w:pPr>
                  <w:r>
                    <w:rPr>
                      <w:rFonts w:hint="eastAsia"/>
                      <w:color w:val="000000" w:themeColor="text1"/>
                      <w:sz w:val="21"/>
                      <w:szCs w:val="21"/>
                    </w:rPr>
                    <w:t>20.65</w:t>
                  </w:r>
                </w:p>
              </w:tc>
            </w:tr>
            <w:tr w14:paraId="28838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2DA68476">
                  <w:pPr>
                    <w:numPr>
                      <w:ilvl w:val="0"/>
                      <w:numId w:val="9"/>
                    </w:numPr>
                    <w:spacing w:line="240" w:lineRule="auto"/>
                    <w:ind w:firstLineChars="0"/>
                    <w:jc w:val="center"/>
                    <w:rPr>
                      <w:color w:val="000000" w:themeColor="text1"/>
                      <w:sz w:val="21"/>
                      <w:szCs w:val="21"/>
                    </w:rPr>
                  </w:pPr>
                </w:p>
              </w:tc>
              <w:tc>
                <w:tcPr>
                  <w:tcW w:w="2055" w:type="dxa"/>
                  <w:tcBorders>
                    <w:tl2br w:val="nil"/>
                    <w:tr2bl w:val="nil"/>
                  </w:tcBorders>
                  <w:shd w:val="clear" w:color="auto" w:fill="auto"/>
                  <w:vAlign w:val="center"/>
                </w:tcPr>
                <w:p w14:paraId="72BF623D">
                  <w:pPr>
                    <w:pStyle w:val="65"/>
                    <w:widowControl/>
                    <w:spacing w:line="240" w:lineRule="auto"/>
                    <w:ind w:firstLine="0" w:firstLineChars="0"/>
                    <w:jc w:val="center"/>
                    <w:textAlignment w:val="baseline"/>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沙克龙除尘器+布袋除尘器风机</w:t>
                  </w:r>
                </w:p>
              </w:tc>
              <w:tc>
                <w:tcPr>
                  <w:tcW w:w="1410" w:type="dxa"/>
                  <w:tcBorders>
                    <w:tl2br w:val="nil"/>
                    <w:tr2bl w:val="nil"/>
                  </w:tcBorders>
                  <w:shd w:val="clear" w:color="auto" w:fill="auto"/>
                  <w:vAlign w:val="center"/>
                </w:tcPr>
                <w:p w14:paraId="617DFF5A">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60.5</w:t>
                  </w:r>
                </w:p>
              </w:tc>
              <w:tc>
                <w:tcPr>
                  <w:tcW w:w="1365" w:type="dxa"/>
                  <w:tcBorders>
                    <w:tl2br w:val="nil"/>
                    <w:tr2bl w:val="nil"/>
                  </w:tcBorders>
                  <w:shd w:val="clear" w:color="auto" w:fill="auto"/>
                  <w:vAlign w:val="center"/>
                </w:tcPr>
                <w:p w14:paraId="4E83C397">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10</w:t>
                  </w:r>
                </w:p>
              </w:tc>
              <w:tc>
                <w:tcPr>
                  <w:tcW w:w="1335" w:type="dxa"/>
                  <w:tcBorders>
                    <w:tl2br w:val="nil"/>
                    <w:tr2bl w:val="nil"/>
                  </w:tcBorders>
                  <w:shd w:val="clear" w:color="auto" w:fill="auto"/>
                  <w:vAlign w:val="center"/>
                </w:tcPr>
                <w:p w14:paraId="63D2AB2B">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76</w:t>
                  </w:r>
                </w:p>
              </w:tc>
              <w:tc>
                <w:tcPr>
                  <w:tcW w:w="1249" w:type="dxa"/>
                  <w:tcBorders>
                    <w:tl2br w:val="nil"/>
                    <w:tr2bl w:val="nil"/>
                  </w:tcBorders>
                  <w:vAlign w:val="center"/>
                </w:tcPr>
                <w:p w14:paraId="38489888">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68</w:t>
                  </w:r>
                </w:p>
              </w:tc>
            </w:tr>
            <w:tr w14:paraId="0FC4F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vAlign w:val="center"/>
                </w:tcPr>
                <w:p w14:paraId="6CB6FF9A">
                  <w:pPr>
                    <w:numPr>
                      <w:ilvl w:val="0"/>
                      <w:numId w:val="9"/>
                    </w:numPr>
                    <w:spacing w:line="240" w:lineRule="auto"/>
                    <w:ind w:firstLineChars="0"/>
                    <w:jc w:val="center"/>
                    <w:rPr>
                      <w:color w:val="000000" w:themeColor="text1"/>
                      <w:sz w:val="21"/>
                      <w:szCs w:val="21"/>
                    </w:rPr>
                  </w:pPr>
                </w:p>
              </w:tc>
              <w:tc>
                <w:tcPr>
                  <w:tcW w:w="2055" w:type="dxa"/>
                  <w:tcBorders>
                    <w:tl2br w:val="nil"/>
                    <w:tr2bl w:val="nil"/>
                  </w:tcBorders>
                  <w:shd w:val="clear" w:color="auto" w:fill="auto"/>
                  <w:vAlign w:val="center"/>
                </w:tcPr>
                <w:p w14:paraId="5AE351AC">
                  <w:pPr>
                    <w:pStyle w:val="65"/>
                    <w:spacing w:line="240" w:lineRule="auto"/>
                    <w:ind w:firstLine="0" w:firstLineChars="0"/>
                    <w:jc w:val="center"/>
                    <w:rPr>
                      <w:rFonts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布袋除尘器风机</w:t>
                  </w:r>
                </w:p>
              </w:tc>
              <w:tc>
                <w:tcPr>
                  <w:tcW w:w="1410" w:type="dxa"/>
                  <w:tcBorders>
                    <w:tl2br w:val="nil"/>
                    <w:tr2bl w:val="nil"/>
                  </w:tcBorders>
                  <w:shd w:val="clear" w:color="auto" w:fill="auto"/>
                  <w:vAlign w:val="center"/>
                </w:tcPr>
                <w:p w14:paraId="774D272E">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118.5</w:t>
                  </w:r>
                </w:p>
              </w:tc>
              <w:tc>
                <w:tcPr>
                  <w:tcW w:w="1365" w:type="dxa"/>
                  <w:tcBorders>
                    <w:tl2br w:val="nil"/>
                    <w:tr2bl w:val="nil"/>
                  </w:tcBorders>
                  <w:shd w:val="clear" w:color="auto" w:fill="auto"/>
                  <w:vAlign w:val="center"/>
                </w:tcPr>
                <w:p w14:paraId="42DE6967">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10</w:t>
                  </w:r>
                </w:p>
              </w:tc>
              <w:tc>
                <w:tcPr>
                  <w:tcW w:w="1335" w:type="dxa"/>
                  <w:tcBorders>
                    <w:tl2br w:val="nil"/>
                    <w:tr2bl w:val="nil"/>
                  </w:tcBorders>
                  <w:shd w:val="clear" w:color="auto" w:fill="auto"/>
                  <w:vAlign w:val="center"/>
                </w:tcPr>
                <w:p w14:paraId="52D98076">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18</w:t>
                  </w:r>
                </w:p>
              </w:tc>
              <w:tc>
                <w:tcPr>
                  <w:tcW w:w="1249" w:type="dxa"/>
                  <w:tcBorders>
                    <w:tl2br w:val="nil"/>
                    <w:tr2bl w:val="nil"/>
                  </w:tcBorders>
                  <w:vAlign w:val="center"/>
                </w:tcPr>
                <w:p w14:paraId="251B255E">
                  <w:pPr>
                    <w:widowControl/>
                    <w:spacing w:line="240" w:lineRule="auto"/>
                    <w:ind w:firstLine="0" w:firstLineChars="0"/>
                    <w:jc w:val="center"/>
                    <w:textAlignment w:val="center"/>
                    <w:rPr>
                      <w:color w:val="000000" w:themeColor="text1"/>
                      <w:sz w:val="21"/>
                      <w:szCs w:val="21"/>
                    </w:rPr>
                  </w:pPr>
                  <w:r>
                    <w:rPr>
                      <w:color w:val="000000" w:themeColor="text1"/>
                      <w:kern w:val="0"/>
                      <w:sz w:val="21"/>
                      <w:szCs w:val="21"/>
                    </w:rPr>
                    <w:t>68</w:t>
                  </w:r>
                </w:p>
              </w:tc>
            </w:tr>
          </w:tbl>
          <w:p w14:paraId="6A6E0C61">
            <w:pPr>
              <w:spacing w:line="360" w:lineRule="auto"/>
              <w:ind w:firstLine="480"/>
              <w:rPr>
                <w:color w:val="000000" w:themeColor="text1"/>
                <w:lang w:val="zh-CN"/>
              </w:rPr>
            </w:pPr>
            <w:r>
              <w:rPr>
                <w:color w:val="000000" w:themeColor="text1"/>
              </w:rPr>
              <w:t>按照噪声预测模式，</w:t>
            </w:r>
            <w:r>
              <w:rPr>
                <w:rFonts w:hint="eastAsia"/>
                <w:color w:val="000000" w:themeColor="text1"/>
              </w:rPr>
              <w:t>经距离衰减后</w:t>
            </w:r>
            <w:r>
              <w:rPr>
                <w:color w:val="000000" w:themeColor="text1"/>
                <w:lang w:val="zh-CN"/>
              </w:rPr>
              <w:t>，厂界</w:t>
            </w:r>
            <w:r>
              <w:rPr>
                <w:rFonts w:hint="eastAsia"/>
                <w:color w:val="000000" w:themeColor="text1"/>
              </w:rPr>
              <w:t>噪声贡献值</w:t>
            </w:r>
            <w:r>
              <w:rPr>
                <w:color w:val="000000" w:themeColor="text1"/>
                <w:lang w:val="zh-CN"/>
              </w:rPr>
              <w:t>见下表。</w:t>
            </w:r>
          </w:p>
          <w:p w14:paraId="3B0C7C83">
            <w:pPr>
              <w:adjustRightInd w:val="0"/>
              <w:snapToGrid w:val="0"/>
              <w:spacing w:line="240" w:lineRule="auto"/>
              <w:ind w:firstLine="0" w:firstLineChars="0"/>
              <w:jc w:val="center"/>
              <w:rPr>
                <w:b/>
                <w:bCs/>
                <w:color w:val="000000" w:themeColor="text1"/>
                <w:sz w:val="21"/>
                <w:szCs w:val="21"/>
                <w:lang w:val="zh-CN"/>
              </w:rPr>
            </w:pPr>
          </w:p>
          <w:p w14:paraId="70A67924">
            <w:pPr>
              <w:adjustRightInd w:val="0"/>
              <w:snapToGrid w:val="0"/>
              <w:spacing w:line="240" w:lineRule="auto"/>
              <w:ind w:firstLine="0" w:firstLineChars="0"/>
              <w:jc w:val="center"/>
              <w:rPr>
                <w:b/>
                <w:bCs/>
                <w:color w:val="000000" w:themeColor="text1"/>
                <w:sz w:val="21"/>
                <w:szCs w:val="21"/>
                <w:lang w:val="zh-CN"/>
              </w:rPr>
            </w:pPr>
          </w:p>
          <w:p w14:paraId="0ACBA4AC">
            <w:pPr>
              <w:adjustRightInd w:val="0"/>
              <w:snapToGrid w:val="0"/>
              <w:spacing w:line="240" w:lineRule="auto"/>
              <w:ind w:firstLine="0" w:firstLineChars="0"/>
              <w:jc w:val="center"/>
              <w:rPr>
                <w:b/>
                <w:bCs/>
                <w:color w:val="000000" w:themeColor="text1"/>
                <w:sz w:val="21"/>
                <w:szCs w:val="21"/>
                <w:lang w:val="zh-CN"/>
              </w:rPr>
            </w:pPr>
            <w:r>
              <w:rPr>
                <w:b/>
                <w:bCs/>
                <w:color w:val="000000" w:themeColor="text1"/>
                <w:sz w:val="21"/>
                <w:szCs w:val="21"/>
                <w:lang w:val="zh-CN"/>
              </w:rPr>
              <w:t>表</w:t>
            </w:r>
            <w:r>
              <w:rPr>
                <w:rFonts w:hint="eastAsia"/>
                <w:b/>
                <w:bCs/>
                <w:color w:val="000000" w:themeColor="text1"/>
                <w:sz w:val="21"/>
                <w:szCs w:val="21"/>
              </w:rPr>
              <w:t>49  本项目噪声预测结果</w:t>
            </w:r>
            <w:r>
              <w:rPr>
                <w:rFonts w:hint="eastAsia"/>
                <w:b/>
                <w:bCs/>
                <w:color w:val="000000" w:themeColor="text1"/>
                <w:sz w:val="21"/>
                <w:szCs w:val="21"/>
                <w:lang w:val="zh-CN"/>
              </w:rPr>
              <w:t>一览</w:t>
            </w:r>
            <w:r>
              <w:rPr>
                <w:b/>
                <w:bCs/>
                <w:color w:val="000000" w:themeColor="text1"/>
                <w:sz w:val="21"/>
                <w:szCs w:val="21"/>
                <w:lang w:val="zh-CN"/>
              </w:rPr>
              <w:t>表</w:t>
            </w:r>
          </w:p>
          <w:tbl>
            <w:tblPr>
              <w:tblStyle w:val="24"/>
              <w:tblW w:w="80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78"/>
              <w:gridCol w:w="1380"/>
              <w:gridCol w:w="1395"/>
              <w:gridCol w:w="1110"/>
              <w:gridCol w:w="1455"/>
              <w:gridCol w:w="1455"/>
            </w:tblGrid>
            <w:tr w14:paraId="4E701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vMerge w:val="restart"/>
                  <w:tcBorders>
                    <w:tl2br w:val="nil"/>
                    <w:tr2bl w:val="nil"/>
                  </w:tcBorders>
                  <w:tcMar>
                    <w:top w:w="15" w:type="dxa"/>
                    <w:left w:w="15" w:type="dxa"/>
                    <w:right w:w="15" w:type="dxa"/>
                  </w:tcMar>
                  <w:vAlign w:val="center"/>
                </w:tcPr>
                <w:p w14:paraId="3220B6F1">
                  <w:pPr>
                    <w:widowControl/>
                    <w:spacing w:line="240" w:lineRule="auto"/>
                    <w:ind w:firstLine="0" w:firstLineChars="0"/>
                    <w:jc w:val="center"/>
                    <w:textAlignment w:val="center"/>
                    <w:rPr>
                      <w:b/>
                      <w:bCs/>
                      <w:color w:val="000000" w:themeColor="text1"/>
                      <w:sz w:val="21"/>
                      <w:szCs w:val="21"/>
                    </w:rPr>
                  </w:pPr>
                  <w:r>
                    <w:rPr>
                      <w:b/>
                      <w:bCs/>
                      <w:color w:val="000000" w:themeColor="text1"/>
                      <w:sz w:val="21"/>
                      <w:szCs w:val="21"/>
                    </w:rPr>
                    <w:t>厂界</w:t>
                  </w:r>
                </w:p>
              </w:tc>
              <w:tc>
                <w:tcPr>
                  <w:tcW w:w="2775" w:type="dxa"/>
                  <w:gridSpan w:val="2"/>
                  <w:tcBorders>
                    <w:tl2br w:val="nil"/>
                    <w:tr2bl w:val="nil"/>
                  </w:tcBorders>
                  <w:tcMar>
                    <w:top w:w="15" w:type="dxa"/>
                    <w:left w:w="15" w:type="dxa"/>
                    <w:right w:w="15" w:type="dxa"/>
                  </w:tcMar>
                  <w:vAlign w:val="center"/>
                </w:tcPr>
                <w:p w14:paraId="5621C8B7">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贡献值/dB（A）</w:t>
                  </w:r>
                </w:p>
              </w:tc>
              <w:tc>
                <w:tcPr>
                  <w:tcW w:w="2565" w:type="dxa"/>
                  <w:gridSpan w:val="2"/>
                  <w:tcBorders>
                    <w:tl2br w:val="nil"/>
                    <w:tr2bl w:val="nil"/>
                  </w:tcBorders>
                  <w:tcMar>
                    <w:top w:w="15" w:type="dxa"/>
                    <w:left w:w="15" w:type="dxa"/>
                    <w:right w:w="15" w:type="dxa"/>
                  </w:tcMar>
                  <w:vAlign w:val="center"/>
                </w:tcPr>
                <w:p w14:paraId="3D9C64A6">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标准值/dB（A）</w:t>
                  </w:r>
                </w:p>
              </w:tc>
              <w:tc>
                <w:tcPr>
                  <w:tcW w:w="1455" w:type="dxa"/>
                  <w:vMerge w:val="restart"/>
                  <w:tcBorders>
                    <w:tl2br w:val="nil"/>
                    <w:tr2bl w:val="nil"/>
                  </w:tcBorders>
                  <w:tcMar>
                    <w:top w:w="15" w:type="dxa"/>
                    <w:left w:w="15" w:type="dxa"/>
                    <w:right w:w="15" w:type="dxa"/>
                  </w:tcMar>
                  <w:vAlign w:val="center"/>
                </w:tcPr>
                <w:p w14:paraId="42B012A6">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达标分析</w:t>
                  </w:r>
                </w:p>
              </w:tc>
            </w:tr>
            <w:tr w14:paraId="60489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vMerge w:val="continue"/>
                  <w:tcBorders>
                    <w:tl2br w:val="nil"/>
                    <w:tr2bl w:val="nil"/>
                  </w:tcBorders>
                  <w:tcMar>
                    <w:top w:w="15" w:type="dxa"/>
                    <w:left w:w="15" w:type="dxa"/>
                    <w:right w:w="15" w:type="dxa"/>
                  </w:tcMar>
                  <w:vAlign w:val="center"/>
                </w:tcPr>
                <w:p w14:paraId="0C0C8F94">
                  <w:pPr>
                    <w:widowControl/>
                    <w:spacing w:line="240" w:lineRule="auto"/>
                    <w:ind w:firstLine="0" w:firstLineChars="0"/>
                    <w:jc w:val="center"/>
                    <w:textAlignment w:val="center"/>
                    <w:rPr>
                      <w:color w:val="000000" w:themeColor="text1"/>
                      <w:sz w:val="21"/>
                      <w:szCs w:val="21"/>
                    </w:rPr>
                  </w:pPr>
                </w:p>
              </w:tc>
              <w:tc>
                <w:tcPr>
                  <w:tcW w:w="1380" w:type="dxa"/>
                  <w:tcBorders>
                    <w:tl2br w:val="nil"/>
                    <w:tr2bl w:val="nil"/>
                  </w:tcBorders>
                  <w:tcMar>
                    <w:top w:w="15" w:type="dxa"/>
                    <w:left w:w="15" w:type="dxa"/>
                    <w:right w:w="15" w:type="dxa"/>
                  </w:tcMar>
                  <w:vAlign w:val="center"/>
                </w:tcPr>
                <w:p w14:paraId="779CCE8B">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昼间</w:t>
                  </w:r>
                </w:p>
              </w:tc>
              <w:tc>
                <w:tcPr>
                  <w:tcW w:w="1395" w:type="dxa"/>
                  <w:tcBorders>
                    <w:tl2br w:val="nil"/>
                    <w:tr2bl w:val="nil"/>
                  </w:tcBorders>
                  <w:tcMar>
                    <w:top w:w="15" w:type="dxa"/>
                    <w:left w:w="15" w:type="dxa"/>
                    <w:right w:w="15" w:type="dxa"/>
                  </w:tcMar>
                  <w:vAlign w:val="center"/>
                </w:tcPr>
                <w:p w14:paraId="7BC035F0">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夜间</w:t>
                  </w:r>
                </w:p>
              </w:tc>
              <w:tc>
                <w:tcPr>
                  <w:tcW w:w="1110" w:type="dxa"/>
                  <w:tcBorders>
                    <w:tl2br w:val="nil"/>
                    <w:tr2bl w:val="nil"/>
                  </w:tcBorders>
                  <w:tcMar>
                    <w:top w:w="15" w:type="dxa"/>
                    <w:left w:w="15" w:type="dxa"/>
                    <w:right w:w="15" w:type="dxa"/>
                  </w:tcMar>
                  <w:vAlign w:val="center"/>
                </w:tcPr>
                <w:p w14:paraId="54D6D8B3">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昼间</w:t>
                  </w:r>
                </w:p>
              </w:tc>
              <w:tc>
                <w:tcPr>
                  <w:tcW w:w="1455" w:type="dxa"/>
                  <w:tcBorders>
                    <w:tl2br w:val="nil"/>
                    <w:tr2bl w:val="nil"/>
                  </w:tcBorders>
                  <w:tcMar>
                    <w:top w:w="15" w:type="dxa"/>
                    <w:left w:w="15" w:type="dxa"/>
                    <w:right w:w="15" w:type="dxa"/>
                  </w:tcMar>
                  <w:vAlign w:val="center"/>
                </w:tcPr>
                <w:p w14:paraId="2D7A4DA6">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夜间</w:t>
                  </w:r>
                </w:p>
              </w:tc>
              <w:tc>
                <w:tcPr>
                  <w:tcW w:w="1455" w:type="dxa"/>
                  <w:vMerge w:val="continue"/>
                  <w:tcBorders>
                    <w:tl2br w:val="nil"/>
                    <w:tr2bl w:val="nil"/>
                  </w:tcBorders>
                  <w:tcMar>
                    <w:top w:w="15" w:type="dxa"/>
                    <w:left w:w="15" w:type="dxa"/>
                    <w:right w:w="15" w:type="dxa"/>
                  </w:tcMar>
                  <w:vAlign w:val="center"/>
                </w:tcPr>
                <w:p w14:paraId="2EDF2525">
                  <w:pPr>
                    <w:widowControl/>
                    <w:spacing w:line="240" w:lineRule="auto"/>
                    <w:ind w:firstLine="0" w:firstLineChars="0"/>
                    <w:jc w:val="center"/>
                    <w:textAlignment w:val="center"/>
                    <w:rPr>
                      <w:color w:val="000000" w:themeColor="text1"/>
                      <w:sz w:val="21"/>
                      <w:szCs w:val="21"/>
                    </w:rPr>
                  </w:pPr>
                </w:p>
              </w:tc>
            </w:tr>
            <w:tr w14:paraId="74D0D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shd w:val="clear" w:color="auto" w:fill="auto"/>
                  <w:tcMar>
                    <w:top w:w="15" w:type="dxa"/>
                    <w:left w:w="15" w:type="dxa"/>
                    <w:right w:w="15" w:type="dxa"/>
                  </w:tcMar>
                  <w:vAlign w:val="center"/>
                </w:tcPr>
                <w:p w14:paraId="0A151AE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东厂界</w:t>
                  </w:r>
                </w:p>
              </w:tc>
              <w:tc>
                <w:tcPr>
                  <w:tcW w:w="1380" w:type="dxa"/>
                  <w:tcBorders>
                    <w:tl2br w:val="nil"/>
                    <w:tr2bl w:val="nil"/>
                  </w:tcBorders>
                  <w:shd w:val="clear" w:color="auto" w:fill="auto"/>
                  <w:tcMar>
                    <w:top w:w="15" w:type="dxa"/>
                    <w:left w:w="15" w:type="dxa"/>
                    <w:right w:w="15" w:type="dxa"/>
                  </w:tcMar>
                  <w:vAlign w:val="center"/>
                </w:tcPr>
                <w:p w14:paraId="4BD0F8E2">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35.4</w:t>
                  </w:r>
                </w:p>
              </w:tc>
              <w:tc>
                <w:tcPr>
                  <w:tcW w:w="1395" w:type="dxa"/>
                  <w:tcBorders>
                    <w:tl2br w:val="nil"/>
                    <w:tr2bl w:val="nil"/>
                  </w:tcBorders>
                  <w:shd w:val="clear" w:color="auto" w:fill="auto"/>
                  <w:tcMar>
                    <w:top w:w="15" w:type="dxa"/>
                    <w:left w:w="15" w:type="dxa"/>
                    <w:right w:w="15" w:type="dxa"/>
                  </w:tcMar>
                  <w:vAlign w:val="center"/>
                </w:tcPr>
                <w:p w14:paraId="187826DF">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35.4</w:t>
                  </w:r>
                </w:p>
              </w:tc>
              <w:tc>
                <w:tcPr>
                  <w:tcW w:w="1110" w:type="dxa"/>
                  <w:tcBorders>
                    <w:tl2br w:val="nil"/>
                    <w:tr2bl w:val="nil"/>
                  </w:tcBorders>
                  <w:shd w:val="clear" w:color="auto" w:fill="auto"/>
                  <w:tcMar>
                    <w:top w:w="15" w:type="dxa"/>
                    <w:left w:w="15" w:type="dxa"/>
                    <w:right w:w="15" w:type="dxa"/>
                  </w:tcMar>
                  <w:vAlign w:val="center"/>
                </w:tcPr>
                <w:p w14:paraId="5177CB0F">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shd w:val="clear" w:color="auto" w:fill="auto"/>
                  <w:tcMar>
                    <w:top w:w="15" w:type="dxa"/>
                    <w:left w:w="15" w:type="dxa"/>
                    <w:right w:w="15" w:type="dxa"/>
                  </w:tcMar>
                  <w:vAlign w:val="center"/>
                </w:tcPr>
                <w:p w14:paraId="1F78695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shd w:val="clear" w:color="auto" w:fill="auto"/>
                  <w:tcMar>
                    <w:top w:w="15" w:type="dxa"/>
                    <w:left w:w="15" w:type="dxa"/>
                    <w:right w:w="15" w:type="dxa"/>
                  </w:tcMar>
                  <w:vAlign w:val="center"/>
                </w:tcPr>
                <w:p w14:paraId="3D43F2CE">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r w14:paraId="039EE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tcMar>
                    <w:top w:w="15" w:type="dxa"/>
                    <w:left w:w="15" w:type="dxa"/>
                    <w:right w:w="15" w:type="dxa"/>
                  </w:tcMar>
                  <w:vAlign w:val="center"/>
                </w:tcPr>
                <w:p w14:paraId="4F4C5175">
                  <w:pPr>
                    <w:widowControl/>
                    <w:spacing w:line="240" w:lineRule="auto"/>
                    <w:ind w:firstLine="0" w:firstLineChars="0"/>
                    <w:jc w:val="center"/>
                    <w:textAlignment w:val="center"/>
                    <w:rPr>
                      <w:color w:val="000000" w:themeColor="text1"/>
                      <w:sz w:val="21"/>
                      <w:szCs w:val="21"/>
                    </w:rPr>
                  </w:pPr>
                  <w:r>
                    <w:rPr>
                      <w:color w:val="000000" w:themeColor="text1"/>
                      <w:sz w:val="21"/>
                      <w:szCs w:val="21"/>
                    </w:rPr>
                    <w:t>南厂界</w:t>
                  </w:r>
                </w:p>
              </w:tc>
              <w:tc>
                <w:tcPr>
                  <w:tcW w:w="1380" w:type="dxa"/>
                  <w:tcBorders>
                    <w:tl2br w:val="nil"/>
                    <w:tr2bl w:val="nil"/>
                  </w:tcBorders>
                  <w:tcMar>
                    <w:top w:w="15" w:type="dxa"/>
                    <w:left w:w="15" w:type="dxa"/>
                    <w:right w:w="15" w:type="dxa"/>
                  </w:tcMar>
                  <w:vAlign w:val="center"/>
                </w:tcPr>
                <w:p w14:paraId="1AEA798C">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54.7</w:t>
                  </w:r>
                </w:p>
              </w:tc>
              <w:tc>
                <w:tcPr>
                  <w:tcW w:w="1395" w:type="dxa"/>
                  <w:tcBorders>
                    <w:tl2br w:val="nil"/>
                    <w:tr2bl w:val="nil"/>
                  </w:tcBorders>
                  <w:shd w:val="clear" w:color="auto" w:fill="auto"/>
                  <w:tcMar>
                    <w:top w:w="15" w:type="dxa"/>
                    <w:left w:w="15" w:type="dxa"/>
                    <w:right w:w="15" w:type="dxa"/>
                  </w:tcMar>
                  <w:vAlign w:val="center"/>
                </w:tcPr>
                <w:p w14:paraId="14C5B97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54.7</w:t>
                  </w:r>
                </w:p>
              </w:tc>
              <w:tc>
                <w:tcPr>
                  <w:tcW w:w="1110" w:type="dxa"/>
                  <w:tcBorders>
                    <w:tl2br w:val="nil"/>
                    <w:tr2bl w:val="nil"/>
                  </w:tcBorders>
                  <w:tcMar>
                    <w:top w:w="15" w:type="dxa"/>
                    <w:left w:w="15" w:type="dxa"/>
                    <w:right w:w="15" w:type="dxa"/>
                  </w:tcMar>
                  <w:vAlign w:val="center"/>
                </w:tcPr>
                <w:p w14:paraId="4FD4EDE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tcMar>
                    <w:top w:w="15" w:type="dxa"/>
                    <w:left w:w="15" w:type="dxa"/>
                    <w:right w:w="15" w:type="dxa"/>
                  </w:tcMar>
                  <w:vAlign w:val="center"/>
                </w:tcPr>
                <w:p w14:paraId="1D70FF86">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tcMar>
                    <w:top w:w="15" w:type="dxa"/>
                    <w:left w:w="15" w:type="dxa"/>
                    <w:right w:w="15" w:type="dxa"/>
                  </w:tcMar>
                  <w:vAlign w:val="center"/>
                </w:tcPr>
                <w:p w14:paraId="100D9496">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r w14:paraId="1F8F1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tcMar>
                    <w:top w:w="15" w:type="dxa"/>
                    <w:left w:w="15" w:type="dxa"/>
                    <w:right w:w="15" w:type="dxa"/>
                  </w:tcMar>
                  <w:vAlign w:val="center"/>
                </w:tcPr>
                <w:p w14:paraId="6F39F873">
                  <w:pPr>
                    <w:widowControl/>
                    <w:spacing w:line="240" w:lineRule="auto"/>
                    <w:ind w:firstLine="0" w:firstLineChars="0"/>
                    <w:jc w:val="center"/>
                    <w:textAlignment w:val="center"/>
                    <w:rPr>
                      <w:color w:val="000000" w:themeColor="text1"/>
                      <w:sz w:val="21"/>
                      <w:szCs w:val="21"/>
                    </w:rPr>
                  </w:pPr>
                  <w:r>
                    <w:rPr>
                      <w:color w:val="000000" w:themeColor="text1"/>
                      <w:sz w:val="21"/>
                      <w:szCs w:val="21"/>
                    </w:rPr>
                    <w:t>西厂界</w:t>
                  </w:r>
                </w:p>
              </w:tc>
              <w:tc>
                <w:tcPr>
                  <w:tcW w:w="1380" w:type="dxa"/>
                  <w:tcBorders>
                    <w:tl2br w:val="nil"/>
                    <w:tr2bl w:val="nil"/>
                  </w:tcBorders>
                  <w:tcMar>
                    <w:top w:w="15" w:type="dxa"/>
                    <w:left w:w="15" w:type="dxa"/>
                    <w:right w:w="15" w:type="dxa"/>
                  </w:tcMar>
                  <w:vAlign w:val="center"/>
                </w:tcPr>
                <w:p w14:paraId="7E5465C5">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45.4</w:t>
                  </w:r>
                </w:p>
              </w:tc>
              <w:tc>
                <w:tcPr>
                  <w:tcW w:w="1395" w:type="dxa"/>
                  <w:tcBorders>
                    <w:tl2br w:val="nil"/>
                    <w:tr2bl w:val="nil"/>
                  </w:tcBorders>
                  <w:shd w:val="clear" w:color="auto" w:fill="auto"/>
                  <w:tcMar>
                    <w:top w:w="15" w:type="dxa"/>
                    <w:left w:w="15" w:type="dxa"/>
                    <w:right w:w="15" w:type="dxa"/>
                  </w:tcMar>
                  <w:vAlign w:val="center"/>
                </w:tcPr>
                <w:p w14:paraId="3005A464">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45.4</w:t>
                  </w:r>
                </w:p>
              </w:tc>
              <w:tc>
                <w:tcPr>
                  <w:tcW w:w="1110" w:type="dxa"/>
                  <w:tcBorders>
                    <w:tl2br w:val="nil"/>
                    <w:tr2bl w:val="nil"/>
                  </w:tcBorders>
                  <w:tcMar>
                    <w:top w:w="15" w:type="dxa"/>
                    <w:left w:w="15" w:type="dxa"/>
                    <w:right w:w="15" w:type="dxa"/>
                  </w:tcMar>
                  <w:vAlign w:val="center"/>
                </w:tcPr>
                <w:p w14:paraId="455E6F7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tcMar>
                    <w:top w:w="15" w:type="dxa"/>
                    <w:left w:w="15" w:type="dxa"/>
                    <w:right w:w="15" w:type="dxa"/>
                  </w:tcMar>
                  <w:vAlign w:val="center"/>
                </w:tcPr>
                <w:p w14:paraId="6D3B694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tcMar>
                    <w:top w:w="15" w:type="dxa"/>
                    <w:left w:w="15" w:type="dxa"/>
                    <w:right w:w="15" w:type="dxa"/>
                  </w:tcMar>
                  <w:vAlign w:val="center"/>
                </w:tcPr>
                <w:p w14:paraId="2590A8C9">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r w14:paraId="3C511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78" w:type="dxa"/>
                  <w:tcBorders>
                    <w:tl2br w:val="nil"/>
                    <w:tr2bl w:val="nil"/>
                  </w:tcBorders>
                  <w:tcMar>
                    <w:top w:w="15" w:type="dxa"/>
                    <w:left w:w="15" w:type="dxa"/>
                    <w:right w:w="15" w:type="dxa"/>
                  </w:tcMar>
                  <w:vAlign w:val="center"/>
                </w:tcPr>
                <w:p w14:paraId="78795AF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北厂界</w:t>
                  </w:r>
                </w:p>
              </w:tc>
              <w:tc>
                <w:tcPr>
                  <w:tcW w:w="1380" w:type="dxa"/>
                  <w:tcBorders>
                    <w:tl2br w:val="nil"/>
                    <w:tr2bl w:val="nil"/>
                  </w:tcBorders>
                  <w:tcMar>
                    <w:top w:w="15" w:type="dxa"/>
                    <w:left w:w="15" w:type="dxa"/>
                    <w:right w:w="15" w:type="dxa"/>
                  </w:tcMar>
                  <w:vAlign w:val="center"/>
                </w:tcPr>
                <w:p w14:paraId="29FC4AAA">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36.4</w:t>
                  </w:r>
                </w:p>
              </w:tc>
              <w:tc>
                <w:tcPr>
                  <w:tcW w:w="1395" w:type="dxa"/>
                  <w:tcBorders>
                    <w:tl2br w:val="nil"/>
                    <w:tr2bl w:val="nil"/>
                  </w:tcBorders>
                  <w:shd w:val="clear" w:color="auto" w:fill="auto"/>
                  <w:tcMar>
                    <w:top w:w="15" w:type="dxa"/>
                    <w:left w:w="15" w:type="dxa"/>
                    <w:right w:w="15" w:type="dxa"/>
                  </w:tcMar>
                  <w:vAlign w:val="center"/>
                </w:tcPr>
                <w:p w14:paraId="0F8CD8D0">
                  <w:pPr>
                    <w:widowControl/>
                    <w:spacing w:line="240" w:lineRule="auto"/>
                    <w:ind w:firstLine="0" w:firstLineChars="0"/>
                    <w:jc w:val="center"/>
                    <w:textAlignment w:val="center"/>
                    <w:rPr>
                      <w:color w:val="000000" w:themeColor="text1"/>
                      <w:kern w:val="0"/>
                      <w:sz w:val="21"/>
                      <w:szCs w:val="21"/>
                    </w:rPr>
                  </w:pPr>
                  <w:r>
                    <w:rPr>
                      <w:rFonts w:hint="eastAsia"/>
                      <w:color w:val="000000" w:themeColor="text1"/>
                      <w:kern w:val="0"/>
                      <w:sz w:val="21"/>
                      <w:szCs w:val="21"/>
                    </w:rPr>
                    <w:t>36.4</w:t>
                  </w:r>
                </w:p>
              </w:tc>
              <w:tc>
                <w:tcPr>
                  <w:tcW w:w="1110" w:type="dxa"/>
                  <w:tcBorders>
                    <w:tl2br w:val="nil"/>
                    <w:tr2bl w:val="nil"/>
                  </w:tcBorders>
                  <w:tcMar>
                    <w:top w:w="15" w:type="dxa"/>
                    <w:left w:w="15" w:type="dxa"/>
                    <w:right w:w="15" w:type="dxa"/>
                  </w:tcMar>
                  <w:vAlign w:val="center"/>
                </w:tcPr>
                <w:p w14:paraId="0AD8EB71">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65</w:t>
                  </w:r>
                </w:p>
              </w:tc>
              <w:tc>
                <w:tcPr>
                  <w:tcW w:w="1455" w:type="dxa"/>
                  <w:tcBorders>
                    <w:tl2br w:val="nil"/>
                    <w:tr2bl w:val="nil"/>
                  </w:tcBorders>
                  <w:tcMar>
                    <w:top w:w="15" w:type="dxa"/>
                    <w:left w:w="15" w:type="dxa"/>
                    <w:right w:w="15" w:type="dxa"/>
                  </w:tcMar>
                  <w:vAlign w:val="center"/>
                </w:tcPr>
                <w:p w14:paraId="2AE416B2">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55</w:t>
                  </w:r>
                </w:p>
              </w:tc>
              <w:tc>
                <w:tcPr>
                  <w:tcW w:w="1455" w:type="dxa"/>
                  <w:tcBorders>
                    <w:tl2br w:val="nil"/>
                    <w:tr2bl w:val="nil"/>
                  </w:tcBorders>
                  <w:tcMar>
                    <w:top w:w="15" w:type="dxa"/>
                    <w:left w:w="15" w:type="dxa"/>
                    <w:right w:w="15" w:type="dxa"/>
                  </w:tcMar>
                  <w:vAlign w:val="center"/>
                </w:tcPr>
                <w:p w14:paraId="3E44FE6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达标</w:t>
                  </w:r>
                </w:p>
              </w:tc>
            </w:tr>
          </w:tbl>
          <w:p w14:paraId="51EB6E15">
            <w:pPr>
              <w:ind w:firstLine="480"/>
              <w:rPr>
                <w:color w:val="000000" w:themeColor="text1"/>
              </w:rPr>
            </w:pPr>
            <w:r>
              <w:rPr>
                <w:rFonts w:hint="eastAsia"/>
                <w:color w:val="000000" w:themeColor="text1"/>
              </w:rPr>
              <w:t>根据上表，本项目噪声源采取</w:t>
            </w:r>
            <w:r>
              <w:rPr>
                <w:color w:val="000000" w:themeColor="text1"/>
              </w:rPr>
              <w:t>选用低噪声设备、设置基础减振、封闭</w:t>
            </w:r>
            <w:r>
              <w:rPr>
                <w:rFonts w:hint="eastAsia"/>
                <w:color w:val="000000" w:themeColor="text1"/>
              </w:rPr>
              <w:t>厂房（单层</w:t>
            </w:r>
            <w:r>
              <w:rPr>
                <w:color w:val="000000" w:themeColor="text1"/>
              </w:rPr>
              <w:t>彩钢结构+1m砖混基础墙</w:t>
            </w:r>
            <w:r>
              <w:rPr>
                <w:rFonts w:hint="eastAsia"/>
                <w:color w:val="000000" w:themeColor="text1"/>
              </w:rPr>
              <w:t>）</w:t>
            </w:r>
            <w:r>
              <w:rPr>
                <w:color w:val="000000" w:themeColor="text1"/>
              </w:rPr>
              <w:t>隔</w:t>
            </w:r>
            <w:r>
              <w:rPr>
                <w:snapToGrid w:val="0"/>
                <w:color w:val="000000" w:themeColor="text1"/>
              </w:rPr>
              <w:t>声</w:t>
            </w:r>
            <w:r>
              <w:rPr>
                <w:rFonts w:hint="eastAsia"/>
                <w:snapToGrid w:val="0"/>
                <w:color w:val="000000" w:themeColor="text1"/>
              </w:rPr>
              <w:t>、风机设置隔声罩等降噪措施，经距离衰减后，厂界四周</w:t>
            </w:r>
            <w:r>
              <w:rPr>
                <w:rFonts w:hint="eastAsia"/>
                <w:color w:val="000000" w:themeColor="text1"/>
              </w:rPr>
              <w:t>噪声贡献值</w:t>
            </w:r>
            <w:r>
              <w:rPr>
                <w:rFonts w:hint="eastAsia"/>
                <w:color w:val="000000" w:themeColor="text1"/>
                <w:lang w:val="zh-CN"/>
              </w:rPr>
              <w:t>均满足</w:t>
            </w:r>
            <w:r>
              <w:rPr>
                <w:color w:val="000000" w:themeColor="text1"/>
                <w:lang w:val="zh-CN"/>
              </w:rPr>
              <w:t>《工业企业厂界环境噪声排放标准》（GB12348-2008）</w:t>
            </w:r>
            <w:r>
              <w:rPr>
                <w:color w:val="000000" w:themeColor="text1"/>
              </w:rPr>
              <w:t>中</w:t>
            </w:r>
            <w:r>
              <w:rPr>
                <w:rFonts w:hint="eastAsia"/>
                <w:color w:val="000000" w:themeColor="text1"/>
              </w:rPr>
              <w:t>3</w:t>
            </w:r>
            <w:r>
              <w:rPr>
                <w:color w:val="000000" w:themeColor="text1"/>
              </w:rPr>
              <w:t>类标准</w:t>
            </w:r>
            <w:r>
              <w:rPr>
                <w:rFonts w:hint="eastAsia"/>
                <w:color w:val="000000" w:themeColor="text1"/>
              </w:rPr>
              <w:t>要求：</w:t>
            </w:r>
            <w:r>
              <w:rPr>
                <w:color w:val="000000" w:themeColor="text1"/>
                <w:lang w:val="zh-CN"/>
              </w:rPr>
              <w:t>昼间：</w:t>
            </w:r>
            <w:r>
              <w:rPr>
                <w:color w:val="000000" w:themeColor="text1"/>
              </w:rPr>
              <w:t>6</w:t>
            </w:r>
            <w:r>
              <w:rPr>
                <w:rFonts w:hint="eastAsia"/>
                <w:color w:val="000000" w:themeColor="text1"/>
              </w:rPr>
              <w:t>5</w:t>
            </w:r>
            <w:r>
              <w:rPr>
                <w:color w:val="000000" w:themeColor="text1"/>
                <w:lang w:val="zh-CN"/>
              </w:rPr>
              <w:t>dB（A）</w:t>
            </w:r>
            <w:r>
              <w:rPr>
                <w:rFonts w:hint="eastAsia"/>
                <w:color w:val="000000" w:themeColor="text1"/>
                <w:lang w:val="zh-CN"/>
              </w:rPr>
              <w:t>、夜间</w:t>
            </w:r>
            <w:r>
              <w:rPr>
                <w:rFonts w:hint="eastAsia"/>
                <w:color w:val="000000" w:themeColor="text1"/>
              </w:rPr>
              <w:t>55</w:t>
            </w:r>
            <w:r>
              <w:rPr>
                <w:color w:val="000000" w:themeColor="text1"/>
                <w:lang w:val="zh-CN"/>
              </w:rPr>
              <w:t>dB（A）</w:t>
            </w:r>
            <w:r>
              <w:rPr>
                <w:rFonts w:hint="eastAsia"/>
                <w:color w:val="000000" w:themeColor="text1"/>
                <w:lang w:val="zh-CN"/>
              </w:rPr>
              <w:t>。</w:t>
            </w:r>
          </w:p>
          <w:p w14:paraId="5D6BF24A">
            <w:pPr>
              <w:ind w:firstLine="482"/>
              <w:rPr>
                <w:b/>
                <w:bCs/>
                <w:color w:val="000000" w:themeColor="text1"/>
              </w:rPr>
            </w:pPr>
            <w:r>
              <w:rPr>
                <w:rFonts w:hint="eastAsia"/>
                <w:b/>
                <w:bCs/>
                <w:color w:val="000000" w:themeColor="text1"/>
              </w:rPr>
              <w:t>3.3监测计划</w:t>
            </w:r>
          </w:p>
          <w:p w14:paraId="2A0284C8">
            <w:pPr>
              <w:ind w:firstLine="480"/>
              <w:rPr>
                <w:color w:val="000000" w:themeColor="text1"/>
                <w:kern w:val="1"/>
              </w:rPr>
            </w:pPr>
            <w:r>
              <w:rPr>
                <w:snapToGrid w:val="0"/>
                <w:color w:val="000000" w:themeColor="text1"/>
                <w:kern w:val="0"/>
              </w:rPr>
              <w:t>根据本项目性质与实际情况，</w:t>
            </w:r>
            <w:r>
              <w:rPr>
                <w:color w:val="000000" w:themeColor="text1"/>
              </w:rPr>
              <w:t>按照《排污单位自行监测技术指南 总则》</w:t>
            </w:r>
            <w:r>
              <w:rPr>
                <w:rFonts w:hint="eastAsia"/>
                <w:color w:val="000000" w:themeColor="text1"/>
              </w:rPr>
              <w:t>（HJ819-2017）、《排污许可证申请与核发技术规范 工业炉窑》（HJ1121-2020）、《排污许可证申请与核发技术规范 工业噪声》（HJ1301-2023）</w:t>
            </w:r>
            <w:r>
              <w:rPr>
                <w:color w:val="000000" w:themeColor="text1"/>
              </w:rPr>
              <w:t>要求</w:t>
            </w:r>
            <w:r>
              <w:rPr>
                <w:rFonts w:hint="eastAsia"/>
                <w:color w:val="000000" w:themeColor="text1"/>
              </w:rPr>
              <w:t>，</w:t>
            </w:r>
            <w:r>
              <w:rPr>
                <w:rFonts w:hint="eastAsia"/>
                <w:color w:val="000000" w:themeColor="text1"/>
                <w:kern w:val="1"/>
              </w:rPr>
              <w:t>企业投入运营后噪声监测情况见下表。</w:t>
            </w:r>
          </w:p>
          <w:p w14:paraId="679B33E4">
            <w:pPr>
              <w:pStyle w:val="34"/>
              <w:rPr>
                <w:color w:val="000000" w:themeColor="text1"/>
                <w:sz w:val="24"/>
                <w:szCs w:val="24"/>
              </w:rPr>
            </w:pPr>
            <w:r>
              <w:rPr>
                <w:color w:val="000000" w:themeColor="text1"/>
              </w:rPr>
              <w:t>表</w:t>
            </w:r>
            <w:r>
              <w:rPr>
                <w:rFonts w:hint="eastAsia"/>
                <w:color w:val="000000" w:themeColor="text1"/>
              </w:rPr>
              <w:t>50  噪声</w:t>
            </w:r>
            <w:r>
              <w:rPr>
                <w:color w:val="000000" w:themeColor="text1"/>
              </w:rPr>
              <w:t>监测计划</w:t>
            </w:r>
            <w:r>
              <w:rPr>
                <w:rFonts w:hint="eastAsia"/>
                <w:color w:val="000000" w:themeColor="text1"/>
              </w:rPr>
              <w:t>一览</w:t>
            </w:r>
            <w:r>
              <w:rPr>
                <w:color w:val="000000" w:themeColor="text1"/>
              </w:rPr>
              <w:t>表</w:t>
            </w:r>
          </w:p>
          <w:tbl>
            <w:tblPr>
              <w:tblStyle w:val="24"/>
              <w:tblW w:w="81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718"/>
              <w:gridCol w:w="1165"/>
              <w:gridCol w:w="3775"/>
            </w:tblGrid>
            <w:tr w14:paraId="1F7218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49" w:type="dxa"/>
                  <w:tcBorders>
                    <w:tl2br w:val="nil"/>
                    <w:tr2bl w:val="nil"/>
                  </w:tcBorders>
                  <w:tcMar>
                    <w:top w:w="15" w:type="dxa"/>
                    <w:left w:w="15" w:type="dxa"/>
                    <w:bottom w:w="15" w:type="dxa"/>
                    <w:right w:w="15" w:type="dxa"/>
                  </w:tcMar>
                  <w:vAlign w:val="center"/>
                </w:tcPr>
                <w:p w14:paraId="1FCE889D">
                  <w:pPr>
                    <w:pStyle w:val="35"/>
                    <w:ind w:left="0" w:leftChars="0" w:right="0" w:rightChars="0"/>
                    <w:rPr>
                      <w:b/>
                      <w:bCs/>
                      <w:color w:val="000000" w:themeColor="text1"/>
                    </w:rPr>
                  </w:pPr>
                  <w:r>
                    <w:rPr>
                      <w:b/>
                      <w:bCs/>
                      <w:color w:val="000000" w:themeColor="text1"/>
                    </w:rPr>
                    <w:t>监测点位</w:t>
                  </w:r>
                </w:p>
              </w:tc>
              <w:tc>
                <w:tcPr>
                  <w:tcW w:w="1718" w:type="dxa"/>
                  <w:tcBorders>
                    <w:tl2br w:val="nil"/>
                    <w:tr2bl w:val="nil"/>
                  </w:tcBorders>
                  <w:tcMar>
                    <w:top w:w="15" w:type="dxa"/>
                    <w:left w:w="15" w:type="dxa"/>
                    <w:bottom w:w="15" w:type="dxa"/>
                    <w:right w:w="15" w:type="dxa"/>
                  </w:tcMar>
                  <w:vAlign w:val="center"/>
                </w:tcPr>
                <w:p w14:paraId="190BDB20">
                  <w:pPr>
                    <w:pStyle w:val="35"/>
                    <w:ind w:left="0" w:leftChars="0" w:right="0" w:rightChars="0"/>
                    <w:rPr>
                      <w:b/>
                      <w:bCs/>
                      <w:color w:val="000000" w:themeColor="text1"/>
                    </w:rPr>
                  </w:pPr>
                  <w:r>
                    <w:rPr>
                      <w:b/>
                      <w:bCs/>
                      <w:color w:val="000000" w:themeColor="text1"/>
                    </w:rPr>
                    <w:t>监测指标</w:t>
                  </w:r>
                </w:p>
              </w:tc>
              <w:tc>
                <w:tcPr>
                  <w:tcW w:w="1165" w:type="dxa"/>
                  <w:tcBorders>
                    <w:tl2br w:val="nil"/>
                    <w:tr2bl w:val="nil"/>
                  </w:tcBorders>
                  <w:tcMar>
                    <w:top w:w="15" w:type="dxa"/>
                    <w:left w:w="15" w:type="dxa"/>
                    <w:bottom w:w="15" w:type="dxa"/>
                    <w:right w:w="15" w:type="dxa"/>
                  </w:tcMar>
                  <w:vAlign w:val="center"/>
                </w:tcPr>
                <w:p w14:paraId="277258D4">
                  <w:pPr>
                    <w:pStyle w:val="35"/>
                    <w:ind w:left="0" w:leftChars="0" w:right="0" w:rightChars="0"/>
                    <w:rPr>
                      <w:b/>
                      <w:bCs/>
                      <w:color w:val="000000" w:themeColor="text1"/>
                    </w:rPr>
                  </w:pPr>
                  <w:r>
                    <w:rPr>
                      <w:b/>
                      <w:bCs/>
                      <w:color w:val="000000" w:themeColor="text1"/>
                    </w:rPr>
                    <w:t>监测频次</w:t>
                  </w:r>
                </w:p>
              </w:tc>
              <w:tc>
                <w:tcPr>
                  <w:tcW w:w="3775" w:type="dxa"/>
                  <w:tcBorders>
                    <w:tl2br w:val="nil"/>
                    <w:tr2bl w:val="nil"/>
                  </w:tcBorders>
                  <w:tcMar>
                    <w:top w:w="15" w:type="dxa"/>
                    <w:left w:w="15" w:type="dxa"/>
                    <w:bottom w:w="15" w:type="dxa"/>
                    <w:right w:w="15" w:type="dxa"/>
                  </w:tcMar>
                  <w:vAlign w:val="center"/>
                </w:tcPr>
                <w:p w14:paraId="63E18697">
                  <w:pPr>
                    <w:pStyle w:val="35"/>
                    <w:ind w:left="0" w:leftChars="0" w:right="0" w:rightChars="0"/>
                    <w:rPr>
                      <w:b/>
                      <w:bCs/>
                      <w:color w:val="000000" w:themeColor="text1"/>
                    </w:rPr>
                  </w:pPr>
                  <w:r>
                    <w:rPr>
                      <w:b/>
                      <w:bCs/>
                      <w:color w:val="000000" w:themeColor="text1"/>
                    </w:rPr>
                    <w:t>执行排放标准</w:t>
                  </w:r>
                </w:p>
              </w:tc>
            </w:tr>
            <w:tr w14:paraId="76DD2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49" w:type="dxa"/>
                  <w:tcBorders>
                    <w:tl2br w:val="nil"/>
                    <w:tr2bl w:val="nil"/>
                  </w:tcBorders>
                  <w:tcMar>
                    <w:top w:w="15" w:type="dxa"/>
                    <w:left w:w="15" w:type="dxa"/>
                    <w:bottom w:w="15" w:type="dxa"/>
                    <w:right w:w="15" w:type="dxa"/>
                  </w:tcMar>
                  <w:vAlign w:val="center"/>
                </w:tcPr>
                <w:p w14:paraId="10559CB9">
                  <w:pPr>
                    <w:pStyle w:val="35"/>
                    <w:ind w:left="0" w:leftChars="0" w:right="0" w:rightChars="0"/>
                    <w:rPr>
                      <w:color w:val="000000" w:themeColor="text1"/>
                    </w:rPr>
                  </w:pPr>
                  <w:r>
                    <w:rPr>
                      <w:rFonts w:hint="eastAsia"/>
                      <w:color w:val="000000" w:themeColor="text1"/>
                    </w:rPr>
                    <w:t>厂界</w:t>
                  </w:r>
                  <w:r>
                    <w:rPr>
                      <w:color w:val="000000" w:themeColor="text1"/>
                    </w:rPr>
                    <w:t>外1m处</w:t>
                  </w:r>
                </w:p>
              </w:tc>
              <w:tc>
                <w:tcPr>
                  <w:tcW w:w="1718" w:type="dxa"/>
                  <w:tcBorders>
                    <w:tl2br w:val="nil"/>
                    <w:tr2bl w:val="nil"/>
                  </w:tcBorders>
                  <w:tcMar>
                    <w:top w:w="15" w:type="dxa"/>
                    <w:left w:w="15" w:type="dxa"/>
                    <w:bottom w:w="15" w:type="dxa"/>
                    <w:right w:w="15" w:type="dxa"/>
                  </w:tcMar>
                  <w:vAlign w:val="center"/>
                </w:tcPr>
                <w:p w14:paraId="346A03F2">
                  <w:pPr>
                    <w:pStyle w:val="35"/>
                    <w:ind w:left="0" w:leftChars="0" w:right="0" w:rightChars="0"/>
                    <w:rPr>
                      <w:color w:val="000000" w:themeColor="text1"/>
                    </w:rPr>
                  </w:pPr>
                  <w:r>
                    <w:rPr>
                      <w:color w:val="000000" w:themeColor="text1"/>
                    </w:rPr>
                    <w:t>等效连续A声级</w:t>
                  </w:r>
                </w:p>
              </w:tc>
              <w:tc>
                <w:tcPr>
                  <w:tcW w:w="1165" w:type="dxa"/>
                  <w:tcBorders>
                    <w:tl2br w:val="nil"/>
                    <w:tr2bl w:val="nil"/>
                  </w:tcBorders>
                  <w:tcMar>
                    <w:top w:w="15" w:type="dxa"/>
                    <w:left w:w="15" w:type="dxa"/>
                    <w:bottom w:w="15" w:type="dxa"/>
                    <w:right w:w="15" w:type="dxa"/>
                  </w:tcMar>
                  <w:vAlign w:val="center"/>
                </w:tcPr>
                <w:p w14:paraId="6C3CBAB4">
                  <w:pPr>
                    <w:pStyle w:val="35"/>
                    <w:ind w:left="0" w:leftChars="0" w:right="0" w:rightChars="0"/>
                    <w:rPr>
                      <w:color w:val="000000" w:themeColor="text1"/>
                    </w:rPr>
                  </w:pPr>
                  <w:r>
                    <w:rPr>
                      <w:color w:val="000000" w:themeColor="text1"/>
                    </w:rPr>
                    <w:t>1次</w:t>
                  </w:r>
                  <w:r>
                    <w:rPr>
                      <w:rFonts w:hint="eastAsia"/>
                      <w:color w:val="000000" w:themeColor="text1"/>
                    </w:rPr>
                    <w:t>/季度</w:t>
                  </w:r>
                </w:p>
              </w:tc>
              <w:tc>
                <w:tcPr>
                  <w:tcW w:w="3775" w:type="dxa"/>
                  <w:tcBorders>
                    <w:tl2br w:val="nil"/>
                    <w:tr2bl w:val="nil"/>
                  </w:tcBorders>
                  <w:tcMar>
                    <w:top w:w="15" w:type="dxa"/>
                    <w:left w:w="15" w:type="dxa"/>
                    <w:bottom w:w="15" w:type="dxa"/>
                    <w:right w:w="15" w:type="dxa"/>
                  </w:tcMar>
                  <w:vAlign w:val="center"/>
                </w:tcPr>
                <w:p w14:paraId="5A430E91">
                  <w:pPr>
                    <w:pStyle w:val="35"/>
                    <w:ind w:left="0" w:leftChars="0" w:right="0" w:rightChars="0"/>
                    <w:rPr>
                      <w:color w:val="000000" w:themeColor="text1"/>
                    </w:rPr>
                  </w:pPr>
                  <w:r>
                    <w:rPr>
                      <w:color w:val="000000" w:themeColor="text1"/>
                    </w:rPr>
                    <w:t>《工业企业厂界环境噪声排放标准》（GB12348-2008）中</w:t>
                  </w:r>
                  <w:r>
                    <w:rPr>
                      <w:rFonts w:hint="eastAsia"/>
                      <w:color w:val="000000" w:themeColor="text1"/>
                    </w:rPr>
                    <w:t>3</w:t>
                  </w:r>
                  <w:r>
                    <w:rPr>
                      <w:color w:val="000000" w:themeColor="text1"/>
                    </w:rPr>
                    <w:t>类标准</w:t>
                  </w:r>
                  <w:r>
                    <w:rPr>
                      <w:rFonts w:hint="eastAsia"/>
                      <w:color w:val="000000" w:themeColor="text1"/>
                    </w:rPr>
                    <w:t>：</w:t>
                  </w:r>
                  <w:r>
                    <w:rPr>
                      <w:color w:val="000000" w:themeColor="text1"/>
                      <w:lang w:val="zh-CN"/>
                    </w:rPr>
                    <w:t>昼间：</w:t>
                  </w:r>
                  <w:r>
                    <w:rPr>
                      <w:color w:val="000000" w:themeColor="text1"/>
                    </w:rPr>
                    <w:t>6</w:t>
                  </w:r>
                  <w:r>
                    <w:rPr>
                      <w:rFonts w:hint="eastAsia"/>
                      <w:color w:val="000000" w:themeColor="text1"/>
                    </w:rPr>
                    <w:t>5</w:t>
                  </w:r>
                  <w:r>
                    <w:rPr>
                      <w:color w:val="000000" w:themeColor="text1"/>
                      <w:lang w:val="zh-CN"/>
                    </w:rPr>
                    <w:t>dB（A）</w:t>
                  </w:r>
                  <w:r>
                    <w:rPr>
                      <w:rFonts w:hint="eastAsia"/>
                      <w:color w:val="000000" w:themeColor="text1"/>
                      <w:lang w:val="zh-CN"/>
                    </w:rPr>
                    <w:t>、夜间</w:t>
                  </w:r>
                  <w:r>
                    <w:rPr>
                      <w:rFonts w:hint="eastAsia"/>
                      <w:color w:val="000000" w:themeColor="text1"/>
                    </w:rPr>
                    <w:t>55</w:t>
                  </w:r>
                  <w:r>
                    <w:rPr>
                      <w:color w:val="000000" w:themeColor="text1"/>
                      <w:lang w:val="zh-CN"/>
                    </w:rPr>
                    <w:t>dB（A）</w:t>
                  </w:r>
                </w:p>
              </w:tc>
            </w:tr>
          </w:tbl>
          <w:p w14:paraId="5B9AE46B">
            <w:pPr>
              <w:spacing w:line="360" w:lineRule="auto"/>
              <w:ind w:firstLine="482"/>
              <w:rPr>
                <w:b/>
                <w:bCs/>
                <w:color w:val="000000" w:themeColor="text1"/>
              </w:rPr>
            </w:pPr>
            <w:r>
              <w:rPr>
                <w:rFonts w:hint="eastAsia"/>
                <w:b/>
                <w:bCs/>
                <w:color w:val="000000" w:themeColor="text1"/>
              </w:rPr>
              <w:t>4、固体废物</w:t>
            </w:r>
          </w:p>
          <w:p w14:paraId="55C3778C">
            <w:pPr>
              <w:spacing w:line="360" w:lineRule="auto"/>
              <w:ind w:firstLine="482"/>
              <w:rPr>
                <w:b/>
                <w:bCs/>
                <w:color w:val="000000" w:themeColor="text1"/>
              </w:rPr>
            </w:pPr>
            <w:r>
              <w:rPr>
                <w:rFonts w:hint="eastAsia"/>
                <w:b/>
                <w:bCs/>
                <w:color w:val="000000" w:themeColor="text1"/>
              </w:rPr>
              <w:t>4.1一般工业固体废物</w:t>
            </w:r>
          </w:p>
          <w:p w14:paraId="663A20C3">
            <w:pPr>
              <w:pStyle w:val="65"/>
              <w:spacing w:line="360" w:lineRule="auto"/>
              <w:ind w:firstLine="482"/>
              <w:rPr>
                <w:rFonts w:ascii="Times New Roman" w:hAnsi="Times New Roman" w:cs="Times New Roman"/>
                <w:b/>
                <w:bCs/>
                <w:color w:val="000000" w:themeColor="text1"/>
                <w:sz w:val="24"/>
                <w:szCs w:val="24"/>
                <w:lang w:eastAsia="zh-CN"/>
              </w:rPr>
            </w:pPr>
            <w:r>
              <w:rPr>
                <w:rFonts w:hint="eastAsia" w:ascii="Times New Roman" w:hAnsi="Times New Roman" w:cs="Times New Roman"/>
                <w:b/>
                <w:bCs/>
                <w:color w:val="000000" w:themeColor="text1"/>
                <w:sz w:val="24"/>
                <w:szCs w:val="24"/>
                <w:lang w:eastAsia="zh-CN"/>
              </w:rPr>
              <w:t>4.1.1一般工业固体废物基本情况</w:t>
            </w:r>
          </w:p>
          <w:p w14:paraId="6D14CCC5">
            <w:pPr>
              <w:ind w:firstLine="480"/>
              <w:rPr>
                <w:color w:val="000000" w:themeColor="text1"/>
              </w:rPr>
            </w:pPr>
            <w:r>
              <w:rPr>
                <w:color w:val="000000" w:themeColor="text1"/>
              </w:rPr>
              <w:t>本项目</w:t>
            </w:r>
            <w:r>
              <w:rPr>
                <w:rFonts w:hint="eastAsia"/>
                <w:color w:val="000000" w:themeColor="text1"/>
              </w:rPr>
              <w:t>一般工业</w:t>
            </w:r>
            <w:r>
              <w:rPr>
                <w:color w:val="000000" w:themeColor="text1"/>
              </w:rPr>
              <w:t>固体废物主要为</w:t>
            </w:r>
            <w:r>
              <w:rPr>
                <w:rFonts w:hint="eastAsia"/>
                <w:color w:val="000000" w:themeColor="text1"/>
              </w:rPr>
              <w:t>滚筒筛筛分</w:t>
            </w:r>
            <w:r>
              <w:rPr>
                <w:color w:val="000000" w:themeColor="text1"/>
              </w:rPr>
              <w:t>过程产生</w:t>
            </w:r>
            <w:r>
              <w:rPr>
                <w:rFonts w:hint="eastAsia"/>
                <w:color w:val="000000" w:themeColor="text1"/>
              </w:rPr>
              <w:t>的大块木废边角料，热风炉炉排下方排出的灰渣，砂石分离器分离出的石子等硬质杂质，振筛筛分过程产生的不合格品，包装过程产生的废包装袋，除尘器除尘灰及废布袋，厂房截留颗粒物（沉降粉尘）</w:t>
            </w:r>
            <w:r>
              <w:rPr>
                <w:color w:val="000000" w:themeColor="text1"/>
              </w:rPr>
              <w:t>。</w:t>
            </w:r>
          </w:p>
          <w:p w14:paraId="6368AFE3">
            <w:pPr>
              <w:ind w:firstLine="480"/>
              <w:rPr>
                <w:color w:val="000000" w:themeColor="text1"/>
              </w:rPr>
            </w:pPr>
            <w:r>
              <w:rPr>
                <w:rFonts w:hint="eastAsia"/>
                <w:color w:val="000000" w:themeColor="text1"/>
              </w:rPr>
              <w:t>（1）大块木废边角料（废物代码：900-009-S17）</w:t>
            </w:r>
          </w:p>
          <w:p w14:paraId="71A4DB6A">
            <w:pPr>
              <w:ind w:firstLine="480"/>
              <w:rPr>
                <w:color w:val="000000" w:themeColor="text1"/>
              </w:rPr>
            </w:pPr>
            <w:r>
              <w:rPr>
                <w:color w:val="000000" w:themeColor="text1"/>
              </w:rPr>
              <w:t>本项目锯末（湿料）原料先筛分出大块木废边角料，根据建设单位提供资料，大块木废边角料约占原料用量的0.01%，本项目锯末（湿料）原料用量为1004</w:t>
            </w:r>
            <w:r>
              <w:rPr>
                <w:rFonts w:hint="eastAsia"/>
                <w:color w:val="000000" w:themeColor="text1"/>
              </w:rPr>
              <w:t>9</w:t>
            </w:r>
            <w:r>
              <w:rPr>
                <w:color w:val="000000" w:themeColor="text1"/>
              </w:rPr>
              <w:t>t/a，则大块木废边角料产生量为1.00</w:t>
            </w:r>
            <w:r>
              <w:rPr>
                <w:rFonts w:hint="eastAsia"/>
                <w:color w:val="000000" w:themeColor="text1"/>
              </w:rPr>
              <w:t>5</w:t>
            </w:r>
            <w:r>
              <w:rPr>
                <w:color w:val="000000" w:themeColor="text1"/>
              </w:rPr>
              <w:t>t/a</w:t>
            </w:r>
            <w:r>
              <w:rPr>
                <w:rFonts w:hint="eastAsia"/>
                <w:color w:val="000000" w:themeColor="text1"/>
              </w:rPr>
              <w:t>，暂存于一般固废储存区，定期外售给下游收购商进行加工处理。</w:t>
            </w:r>
          </w:p>
          <w:p w14:paraId="0960A11C">
            <w:pPr>
              <w:ind w:firstLine="480"/>
              <w:rPr>
                <w:color w:val="000000" w:themeColor="text1"/>
              </w:rPr>
            </w:pPr>
            <w:r>
              <w:rPr>
                <w:rFonts w:hint="eastAsia"/>
                <w:color w:val="000000" w:themeColor="text1"/>
              </w:rPr>
              <w:t>（2）热风炉灰渣（废物代码：900-099-S03）</w:t>
            </w:r>
          </w:p>
          <w:p w14:paraId="6B945379">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本项目</w:t>
            </w:r>
            <w:r>
              <w:rPr>
                <w:rFonts w:ascii="Times New Roman" w:hAnsi="Times New Roman" w:cs="Times New Roman"/>
                <w:color w:val="000000" w:themeColor="text1"/>
                <w:sz w:val="24"/>
                <w:szCs w:val="24"/>
                <w:lang w:eastAsia="zh-CN"/>
              </w:rPr>
              <w:t>热风炉燃烧生物质</w:t>
            </w:r>
            <w:r>
              <w:rPr>
                <w:rFonts w:hint="eastAsia" w:ascii="Times New Roman" w:hAnsi="Times New Roman" w:cs="Times New Roman"/>
                <w:color w:val="000000" w:themeColor="text1"/>
                <w:sz w:val="24"/>
                <w:szCs w:val="24"/>
                <w:lang w:eastAsia="zh-CN"/>
              </w:rPr>
              <w:t>能源</w:t>
            </w:r>
            <w:r>
              <w:rPr>
                <w:rFonts w:ascii="Times New Roman" w:hAnsi="Times New Roman" w:cs="Times New Roman"/>
                <w:color w:val="000000" w:themeColor="text1"/>
                <w:sz w:val="24"/>
                <w:szCs w:val="24"/>
                <w:lang w:eastAsia="zh-CN"/>
              </w:rPr>
              <w:t>颗粒，燃烧过程中会产生木材灰分，</w:t>
            </w:r>
            <w:r>
              <w:rPr>
                <w:rFonts w:hint="eastAsia" w:ascii="Times New Roman" w:hAnsi="Times New Roman" w:cs="Times New Roman"/>
                <w:color w:val="000000" w:themeColor="text1"/>
                <w:sz w:val="24"/>
                <w:szCs w:val="24"/>
                <w:lang w:eastAsia="zh-CN"/>
              </w:rPr>
              <w:t>本项目生物质能源颗粒</w:t>
            </w:r>
            <w:r>
              <w:rPr>
                <w:rFonts w:ascii="Times New Roman" w:hAnsi="Times New Roman" w:cs="Times New Roman"/>
                <w:color w:val="000000" w:themeColor="text1"/>
                <w:sz w:val="24"/>
                <w:szCs w:val="24"/>
                <w:lang w:eastAsia="zh-CN"/>
              </w:rPr>
              <w:t>用</w:t>
            </w:r>
            <w:r>
              <w:rPr>
                <w:rFonts w:hint="eastAsia" w:ascii="Times New Roman" w:hAnsi="Times New Roman" w:cs="Times New Roman"/>
                <w:color w:val="000000" w:themeColor="text1"/>
                <w:sz w:val="24"/>
                <w:szCs w:val="24"/>
                <w:lang w:eastAsia="zh-CN"/>
              </w:rPr>
              <w:t>量为328</w:t>
            </w:r>
            <w:r>
              <w:rPr>
                <w:rFonts w:ascii="Times New Roman" w:hAnsi="Times New Roman" w:cs="Times New Roman"/>
                <w:color w:val="000000" w:themeColor="text1"/>
                <w:sz w:val="24"/>
                <w:szCs w:val="24"/>
                <w:lang w:eastAsia="zh-CN"/>
              </w:rPr>
              <w:t>t/a，灰分含量约</w:t>
            </w:r>
            <w:r>
              <w:rPr>
                <w:rFonts w:hint="eastAsia" w:ascii="Times New Roman" w:hAnsi="Times New Roman" w:cs="Times New Roman"/>
                <w:color w:val="000000" w:themeColor="text1"/>
                <w:sz w:val="24"/>
                <w:szCs w:val="24"/>
                <w:lang w:eastAsia="zh-CN"/>
              </w:rPr>
              <w:t>1.5</w:t>
            </w:r>
            <w:r>
              <w:rPr>
                <w:rFonts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eastAsia="zh-CN"/>
              </w:rPr>
              <w:t>灰渣产生量为4.920t/a，</w:t>
            </w:r>
            <w:r>
              <w:rPr>
                <w:rFonts w:ascii="Times New Roman" w:hAnsi="Times New Roman" w:cs="Times New Roman"/>
                <w:color w:val="000000" w:themeColor="text1"/>
                <w:sz w:val="24"/>
                <w:szCs w:val="24"/>
                <w:lang w:eastAsia="zh-CN"/>
              </w:rPr>
              <w:t>热风炉燃尽后的灰渣通过炉排缝隙自然下落至底部灰斗，定期打开灰斗门人工清理，</w:t>
            </w:r>
            <w:r>
              <w:rPr>
                <w:rFonts w:hint="eastAsia" w:cs="Times New Roman"/>
                <w:color w:val="000000" w:themeColor="text1"/>
                <w:sz w:val="24"/>
                <w:szCs w:val="24"/>
                <w:lang w:eastAsia="zh-CN"/>
              </w:rPr>
              <w:t>集中收集后</w:t>
            </w:r>
            <w:r>
              <w:rPr>
                <w:rFonts w:ascii="Times New Roman" w:hAnsi="Times New Roman" w:cs="Times New Roman"/>
                <w:color w:val="000000" w:themeColor="text1"/>
                <w:sz w:val="24"/>
                <w:szCs w:val="24"/>
                <w:lang w:eastAsia="zh-CN"/>
              </w:rPr>
              <w:t>暂存</w:t>
            </w:r>
            <w:r>
              <w:rPr>
                <w:rFonts w:hint="eastAsia" w:cs="Times New Roman"/>
                <w:color w:val="000000" w:themeColor="text1"/>
                <w:sz w:val="24"/>
                <w:szCs w:val="24"/>
                <w:lang w:eastAsia="zh-CN"/>
              </w:rPr>
              <w:t>于一般固废储存区，外售用作农田肥料。</w:t>
            </w:r>
          </w:p>
          <w:p w14:paraId="76B3F691">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（3）</w:t>
            </w:r>
            <w:r>
              <w:rPr>
                <w:rFonts w:hint="eastAsia" w:cs="Times New Roman"/>
                <w:color w:val="000000" w:themeColor="text1"/>
                <w:sz w:val="24"/>
                <w:szCs w:val="24"/>
                <w:lang w:eastAsia="zh-CN"/>
              </w:rPr>
              <w:t>石子等硬质杂质</w:t>
            </w:r>
            <w:r>
              <w:rPr>
                <w:rFonts w:hint="eastAsia" w:ascii="Times New Roman" w:hAnsi="Times New Roman" w:cs="Times New Roman"/>
                <w:color w:val="000000" w:themeColor="text1"/>
                <w:sz w:val="24"/>
                <w:szCs w:val="24"/>
                <w:lang w:eastAsia="zh-CN"/>
              </w:rPr>
              <w:t>（废物代码：900-099-S59）</w:t>
            </w:r>
          </w:p>
          <w:p w14:paraId="2C156F6C">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本项目烘干后的物料经砂石分离器分离出石子等硬质杂质，产生量为2.788t/a，</w:t>
            </w:r>
            <w:r>
              <w:rPr>
                <w:rFonts w:ascii="Times New Roman" w:hAnsi="Times New Roman" w:cs="Times New Roman"/>
                <w:color w:val="000000" w:themeColor="text1"/>
                <w:sz w:val="24"/>
                <w:szCs w:val="24"/>
                <w:lang w:eastAsia="zh-CN"/>
              </w:rPr>
              <w:t>暂存</w:t>
            </w:r>
            <w:r>
              <w:rPr>
                <w:rFonts w:hint="eastAsia" w:cs="Times New Roman"/>
                <w:color w:val="000000" w:themeColor="text1"/>
                <w:sz w:val="24"/>
                <w:szCs w:val="24"/>
                <w:lang w:eastAsia="zh-CN"/>
              </w:rPr>
              <w:t>于一般固废储存区，定期外售物资回收公司回收利用。</w:t>
            </w:r>
          </w:p>
          <w:p w14:paraId="1F3DB8CA">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（4）</w:t>
            </w:r>
            <w:r>
              <w:rPr>
                <w:rFonts w:hint="eastAsia" w:cs="Times New Roman"/>
                <w:color w:val="000000" w:themeColor="text1"/>
                <w:sz w:val="24"/>
                <w:szCs w:val="24"/>
                <w:lang w:eastAsia="zh-CN"/>
              </w:rPr>
              <w:t>不合格品（</w:t>
            </w:r>
            <w:r>
              <w:rPr>
                <w:rFonts w:hint="eastAsia" w:ascii="Times New Roman" w:hAnsi="Times New Roman" w:cs="Times New Roman"/>
                <w:color w:val="000000" w:themeColor="text1"/>
                <w:sz w:val="24"/>
                <w:szCs w:val="24"/>
                <w:lang w:eastAsia="zh-CN"/>
              </w:rPr>
              <w:t>废物代码：900-009-S17</w:t>
            </w:r>
            <w:r>
              <w:rPr>
                <w:rFonts w:hint="eastAsia" w:cs="Times New Roman"/>
                <w:color w:val="000000" w:themeColor="text1"/>
                <w:sz w:val="24"/>
                <w:szCs w:val="24"/>
                <w:lang w:eastAsia="zh-CN"/>
              </w:rPr>
              <w:t>）</w:t>
            </w:r>
          </w:p>
          <w:p w14:paraId="704BC749">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本项目振筛筛分出粒径小于8mm的不合格品约10t/a，经袋装收集后人工转移至中转仓返料至生物质颗粒机重新制粒</w:t>
            </w:r>
            <w:r>
              <w:rPr>
                <w:rFonts w:hint="eastAsia" w:ascii="Times New Roman" w:hAnsi="Times New Roman" w:cs="Times New Roman"/>
                <w:color w:val="000000" w:themeColor="text1"/>
                <w:sz w:val="24"/>
                <w:szCs w:val="24"/>
                <w:lang w:eastAsia="zh-CN"/>
              </w:rPr>
              <w:t>。</w:t>
            </w:r>
          </w:p>
          <w:p w14:paraId="331DC555">
            <w:pPr>
              <w:pStyle w:val="65"/>
              <w:spacing w:line="360" w:lineRule="auto"/>
              <w:ind w:firstLine="480"/>
              <w:rPr>
                <w:rFonts w:ascii="Times New Roman" w:hAnsi="Times New Roman" w:cs="Times New Roman"/>
                <w:color w:val="000000" w:themeColor="text1"/>
                <w:sz w:val="24"/>
                <w:szCs w:val="24"/>
                <w:lang w:eastAsia="zh-CN"/>
              </w:rPr>
            </w:pPr>
            <w:r>
              <w:rPr>
                <w:rFonts w:hint="eastAsia" w:ascii="Times New Roman" w:hAnsi="Times New Roman" w:cs="Times New Roman"/>
                <w:color w:val="000000" w:themeColor="text1"/>
                <w:sz w:val="24"/>
                <w:szCs w:val="24"/>
                <w:lang w:eastAsia="zh-CN"/>
              </w:rPr>
              <w:t>（5）废包装</w:t>
            </w:r>
            <w:r>
              <w:rPr>
                <w:rFonts w:hint="eastAsia" w:cs="Times New Roman"/>
                <w:color w:val="000000" w:themeColor="text1"/>
                <w:sz w:val="24"/>
                <w:szCs w:val="24"/>
                <w:lang w:eastAsia="zh-CN"/>
              </w:rPr>
              <w:t>袋</w:t>
            </w:r>
            <w:r>
              <w:rPr>
                <w:rFonts w:hint="eastAsia" w:ascii="Times New Roman" w:hAnsi="Times New Roman" w:cs="Times New Roman"/>
                <w:color w:val="000000" w:themeColor="text1"/>
                <w:sz w:val="24"/>
                <w:szCs w:val="24"/>
                <w:lang w:eastAsia="zh-CN"/>
              </w:rPr>
              <w:t>（废物代码：900-003-S17）</w:t>
            </w:r>
          </w:p>
          <w:p w14:paraId="21B689AC">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本项目</w:t>
            </w:r>
            <w:r>
              <w:rPr>
                <w:rFonts w:hint="eastAsia" w:ascii="Times New Roman" w:hAnsi="Times New Roman" w:cs="Times New Roman"/>
                <w:color w:val="000000" w:themeColor="text1"/>
                <w:sz w:val="24"/>
                <w:szCs w:val="24"/>
                <w:lang w:eastAsia="zh-CN"/>
              </w:rPr>
              <w:t>包装过程会产生废包装袋，废包装袋产生量约0.080t/a，暂存于一般固废储存区，定期外售废品回收站。</w:t>
            </w:r>
          </w:p>
          <w:p w14:paraId="41CE3C6A">
            <w:pPr>
              <w:ind w:firstLine="480"/>
              <w:rPr>
                <w:color w:val="000000" w:themeColor="text1"/>
              </w:rPr>
            </w:pPr>
            <w:r>
              <w:rPr>
                <w:color w:val="000000" w:themeColor="text1"/>
              </w:rPr>
              <w:t>（</w:t>
            </w:r>
            <w:r>
              <w:rPr>
                <w:rFonts w:hint="eastAsia"/>
                <w:color w:val="000000" w:themeColor="text1"/>
              </w:rPr>
              <w:t>6</w:t>
            </w:r>
            <w:r>
              <w:rPr>
                <w:color w:val="000000" w:themeColor="text1"/>
              </w:rPr>
              <w:t>）</w:t>
            </w:r>
            <w:r>
              <w:rPr>
                <w:rFonts w:hint="eastAsia"/>
                <w:color w:val="000000" w:themeColor="text1"/>
              </w:rPr>
              <w:t>除尘灰</w:t>
            </w:r>
            <w:r>
              <w:rPr>
                <w:color w:val="000000" w:themeColor="text1"/>
              </w:rPr>
              <w:t>（废物代码：900-099-S59）</w:t>
            </w:r>
          </w:p>
          <w:p w14:paraId="13CDAA8E">
            <w:pPr>
              <w:ind w:firstLine="480"/>
              <w:rPr>
                <w:color w:val="000000" w:themeColor="text1"/>
              </w:rPr>
            </w:pPr>
            <w:r>
              <w:rPr>
                <w:rFonts w:hint="eastAsia"/>
                <w:color w:val="000000" w:themeColor="text1"/>
              </w:rPr>
              <w:t>本项目沙克龙除尘器+布袋除尘器除尘灰产生量为52.381t/a，布袋除尘器除尘灰产生量为19.968t/a，除尘灰产生总量为72.349t/a，布袋除尘器的灰斗下方设置有带塑料内衬的密封袋，袋装收集后暂存于一般固废储存区，定期外售物资回收公司回收利用。</w:t>
            </w:r>
          </w:p>
          <w:p w14:paraId="71E15066">
            <w:pPr>
              <w:ind w:firstLine="480"/>
              <w:rPr>
                <w:color w:val="000000" w:themeColor="text1"/>
              </w:rPr>
            </w:pPr>
            <w:r>
              <w:rPr>
                <w:rFonts w:hint="eastAsia"/>
                <w:color w:val="000000" w:themeColor="text1"/>
              </w:rPr>
              <w:t>（7）废布袋</w:t>
            </w:r>
            <w:r>
              <w:rPr>
                <w:color w:val="000000" w:themeColor="text1"/>
              </w:rPr>
              <w:t>（废物代码：900-0</w:t>
            </w:r>
            <w:r>
              <w:rPr>
                <w:rFonts w:hint="eastAsia"/>
                <w:color w:val="000000" w:themeColor="text1"/>
              </w:rPr>
              <w:t>0</w:t>
            </w:r>
            <w:r>
              <w:rPr>
                <w:color w:val="000000" w:themeColor="text1"/>
              </w:rPr>
              <w:t>9-S59）</w:t>
            </w:r>
          </w:p>
          <w:p w14:paraId="4FA2EE67">
            <w:pPr>
              <w:ind w:firstLine="480"/>
              <w:rPr>
                <w:color w:val="000000" w:themeColor="text1"/>
              </w:rPr>
            </w:pPr>
            <w:r>
              <w:rPr>
                <w:color w:val="000000" w:themeColor="text1"/>
              </w:rPr>
              <w:t>本项目</w:t>
            </w:r>
            <w:r>
              <w:rPr>
                <w:rFonts w:hint="eastAsia"/>
                <w:color w:val="000000" w:themeColor="text1"/>
              </w:rPr>
              <w:t>布袋</w:t>
            </w:r>
            <w:r>
              <w:rPr>
                <w:color w:val="000000" w:themeColor="text1"/>
              </w:rPr>
              <w:t>除尘器需定期更换</w:t>
            </w:r>
            <w:r>
              <w:rPr>
                <w:rFonts w:hint="eastAsia"/>
                <w:color w:val="000000" w:themeColor="text1"/>
              </w:rPr>
              <w:t>布袋</w:t>
            </w:r>
            <w:r>
              <w:rPr>
                <w:color w:val="000000" w:themeColor="text1"/>
              </w:rPr>
              <w:t>，废</w:t>
            </w:r>
            <w:r>
              <w:rPr>
                <w:rFonts w:hint="eastAsia"/>
                <w:color w:val="000000" w:themeColor="text1"/>
              </w:rPr>
              <w:t>布袋</w:t>
            </w:r>
            <w:r>
              <w:rPr>
                <w:color w:val="000000" w:themeColor="text1"/>
              </w:rPr>
              <w:t>产生量</w:t>
            </w:r>
            <w:r>
              <w:rPr>
                <w:rFonts w:hint="eastAsia"/>
                <w:color w:val="000000" w:themeColor="text1"/>
              </w:rPr>
              <w:t>为2</w:t>
            </w:r>
            <w:r>
              <w:rPr>
                <w:color w:val="000000" w:themeColor="text1"/>
              </w:rPr>
              <w:t>t/a，暂存于一般固废储存区，定期外售废品回收站。</w:t>
            </w:r>
          </w:p>
          <w:p w14:paraId="420D5EEB">
            <w:pPr>
              <w:ind w:firstLine="480"/>
              <w:rPr>
                <w:color w:val="000000" w:themeColor="text1"/>
              </w:rPr>
            </w:pPr>
            <w:r>
              <w:rPr>
                <w:rFonts w:hint="eastAsia"/>
                <w:color w:val="000000" w:themeColor="text1"/>
              </w:rPr>
              <w:t>（8）厂房截留颗粒物（沉降粉尘）（</w:t>
            </w:r>
            <w:r>
              <w:rPr>
                <w:color w:val="000000" w:themeColor="text1"/>
              </w:rPr>
              <w:t>废物代码：900-099-S59</w:t>
            </w:r>
            <w:r>
              <w:rPr>
                <w:rFonts w:hint="eastAsia"/>
                <w:color w:val="000000" w:themeColor="text1"/>
              </w:rPr>
              <w:t>）</w:t>
            </w:r>
          </w:p>
          <w:p w14:paraId="1B6B67B7">
            <w:pPr>
              <w:ind w:firstLine="480"/>
              <w:rPr>
                <w:color w:val="000000" w:themeColor="text1"/>
              </w:rPr>
            </w:pPr>
            <w:r>
              <w:rPr>
                <w:color w:val="000000" w:themeColor="text1"/>
              </w:rPr>
              <w:t>参照《排放源统计调查产排污核算方法和系数手册》</w:t>
            </w:r>
            <w:r>
              <w:rPr>
                <w:rFonts w:hint="eastAsia"/>
                <w:color w:val="000000" w:themeColor="text1"/>
              </w:rPr>
              <w:t>附表2固体物料堆存颗粒物产排污核算系数手册中围挡控制措施粉尘控制效率60%及</w:t>
            </w:r>
            <w:r>
              <w:rPr>
                <w:color w:val="000000" w:themeColor="text1"/>
              </w:rPr>
              <w:t>《扬尘源颗粒物排放清单编制指南》中孔隙度﹤50%</w:t>
            </w:r>
            <w:r>
              <w:rPr>
                <w:rFonts w:hint="eastAsia"/>
                <w:color w:val="000000" w:themeColor="text1"/>
              </w:rPr>
              <w:t>厂房</w:t>
            </w:r>
            <w:r>
              <w:rPr>
                <w:color w:val="000000" w:themeColor="text1"/>
              </w:rPr>
              <w:t>抑尘效率60%</w:t>
            </w:r>
            <w:r>
              <w:rPr>
                <w:rFonts w:hint="eastAsia"/>
                <w:color w:val="000000" w:themeColor="text1"/>
              </w:rPr>
              <w:t>，厂房</w:t>
            </w:r>
            <w:r>
              <w:rPr>
                <w:color w:val="000000" w:themeColor="text1"/>
              </w:rPr>
              <w:t>抑尘效率</w:t>
            </w:r>
            <w:r>
              <w:rPr>
                <w:rFonts w:hint="eastAsia"/>
                <w:color w:val="000000" w:themeColor="text1"/>
              </w:rPr>
              <w:t>取</w:t>
            </w:r>
            <w:r>
              <w:rPr>
                <w:color w:val="000000" w:themeColor="text1"/>
              </w:rPr>
              <w:t>60%</w:t>
            </w:r>
            <w:r>
              <w:rPr>
                <w:rFonts w:hint="eastAsia"/>
                <w:color w:val="000000" w:themeColor="text1"/>
              </w:rPr>
              <w:t>，本项目厂房内无组织排放颗粒物经厂房截留，截留量为0.763t/a，定期</w:t>
            </w:r>
          </w:p>
        </w:tc>
      </w:tr>
    </w:tbl>
    <w:p w14:paraId="60392A12">
      <w:pPr>
        <w:ind w:firstLine="480"/>
        <w:rPr>
          <w:color w:val="000000" w:themeColor="text1"/>
        </w:rPr>
        <w:sectPr>
          <w:pgSz w:w="11906" w:h="16838"/>
          <w:pgMar w:top="1440" w:right="1247" w:bottom="1440" w:left="1417" w:header="851" w:footer="992" w:gutter="0"/>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414"/>
      </w:tblGrid>
      <w:tr w14:paraId="0E5A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5F9743AB">
            <w:pPr>
              <w:pStyle w:val="15"/>
              <w:ind w:left="1680" w:right="1680" w:firstLine="480"/>
              <w:rPr>
                <w:color w:val="000000" w:themeColor="text1"/>
              </w:rPr>
            </w:pPr>
          </w:p>
        </w:tc>
        <w:tc>
          <w:tcPr>
            <w:tcW w:w="13414" w:type="dxa"/>
          </w:tcPr>
          <w:p w14:paraId="00CFD7B1">
            <w:pPr>
              <w:ind w:firstLine="0" w:firstLineChars="0"/>
              <w:rPr>
                <w:color w:val="000000" w:themeColor="text1"/>
              </w:rPr>
            </w:pPr>
            <w:r>
              <w:rPr>
                <w:rFonts w:hint="eastAsia"/>
                <w:color w:val="000000" w:themeColor="text1"/>
              </w:rPr>
              <w:t>清扫厂房地面，集中袋装收集，暂存于一般固废储存区，定期外售物资回收公司回收利用。</w:t>
            </w:r>
          </w:p>
          <w:p w14:paraId="19BBB452">
            <w:pPr>
              <w:ind w:firstLine="480"/>
              <w:rPr>
                <w:color w:val="000000" w:themeColor="text1"/>
              </w:rPr>
            </w:pPr>
            <w:r>
              <w:rPr>
                <w:rFonts w:hint="eastAsia"/>
                <w:color w:val="000000" w:themeColor="text1"/>
              </w:rPr>
              <w:t>本项目一般工业固体废物产生及处置情况见下表。</w:t>
            </w:r>
          </w:p>
          <w:p w14:paraId="47CC9655">
            <w:pPr>
              <w:spacing w:line="360" w:lineRule="auto"/>
              <w:ind w:firstLine="0" w:firstLineChars="0"/>
              <w:jc w:val="center"/>
              <w:rPr>
                <w:b/>
                <w:bCs/>
                <w:color w:val="000000" w:themeColor="text1"/>
                <w:sz w:val="21"/>
                <w:szCs w:val="21"/>
              </w:rPr>
            </w:pPr>
            <w:r>
              <w:rPr>
                <w:rFonts w:hint="eastAsia"/>
                <w:b/>
                <w:bCs/>
                <w:color w:val="000000" w:themeColor="text1"/>
                <w:sz w:val="21"/>
                <w:szCs w:val="21"/>
              </w:rPr>
              <w:t>表51   本项目一般固体废物污染源及治理措施一览表</w:t>
            </w:r>
          </w:p>
          <w:tbl>
            <w:tblPr>
              <w:tblStyle w:val="25"/>
              <w:tblW w:w="49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83"/>
              <w:gridCol w:w="1095"/>
              <w:gridCol w:w="704"/>
              <w:gridCol w:w="733"/>
              <w:gridCol w:w="869"/>
              <w:gridCol w:w="1427"/>
              <w:gridCol w:w="2401"/>
              <w:gridCol w:w="2251"/>
              <w:gridCol w:w="1115"/>
            </w:tblGrid>
            <w:tr w14:paraId="43865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24" w:type="pct"/>
                  <w:tcBorders>
                    <w:tl2br w:val="nil"/>
                    <w:tr2bl w:val="nil"/>
                  </w:tcBorders>
                  <w:vAlign w:val="center"/>
                </w:tcPr>
                <w:p w14:paraId="06A5D877">
                  <w:pPr>
                    <w:spacing w:line="240" w:lineRule="auto"/>
                    <w:ind w:firstLine="0" w:firstLineChars="0"/>
                    <w:jc w:val="center"/>
                    <w:rPr>
                      <w:b/>
                      <w:bCs/>
                      <w:color w:val="000000" w:themeColor="text1"/>
                      <w:sz w:val="21"/>
                      <w:szCs w:val="21"/>
                    </w:rPr>
                  </w:pPr>
                  <w:r>
                    <w:rPr>
                      <w:b/>
                      <w:bCs/>
                      <w:color w:val="000000" w:themeColor="text1"/>
                      <w:sz w:val="21"/>
                      <w:szCs w:val="21"/>
                    </w:rPr>
                    <w:t>产生环节</w:t>
                  </w:r>
                </w:p>
              </w:tc>
              <w:tc>
                <w:tcPr>
                  <w:tcW w:w="527" w:type="pct"/>
                  <w:tcBorders>
                    <w:tl2br w:val="nil"/>
                    <w:tr2bl w:val="nil"/>
                  </w:tcBorders>
                  <w:vAlign w:val="center"/>
                </w:tcPr>
                <w:p w14:paraId="22AA9670">
                  <w:pPr>
                    <w:spacing w:line="240" w:lineRule="auto"/>
                    <w:ind w:firstLine="0" w:firstLineChars="0"/>
                    <w:jc w:val="center"/>
                    <w:rPr>
                      <w:b/>
                      <w:bCs/>
                      <w:color w:val="000000" w:themeColor="text1"/>
                      <w:sz w:val="21"/>
                      <w:szCs w:val="21"/>
                    </w:rPr>
                  </w:pPr>
                  <w:r>
                    <w:rPr>
                      <w:b/>
                      <w:bCs/>
                      <w:color w:val="000000" w:themeColor="text1"/>
                      <w:sz w:val="21"/>
                      <w:szCs w:val="21"/>
                    </w:rPr>
                    <w:t>名称</w:t>
                  </w:r>
                </w:p>
              </w:tc>
              <w:tc>
                <w:tcPr>
                  <w:tcW w:w="418" w:type="pct"/>
                  <w:tcBorders>
                    <w:tl2br w:val="nil"/>
                    <w:tr2bl w:val="nil"/>
                  </w:tcBorders>
                  <w:vAlign w:val="center"/>
                </w:tcPr>
                <w:p w14:paraId="079375FC">
                  <w:pPr>
                    <w:spacing w:line="240" w:lineRule="auto"/>
                    <w:ind w:firstLine="0" w:firstLineChars="0"/>
                    <w:jc w:val="center"/>
                    <w:rPr>
                      <w:b/>
                      <w:bCs/>
                      <w:color w:val="000000" w:themeColor="text1"/>
                      <w:sz w:val="21"/>
                      <w:szCs w:val="21"/>
                    </w:rPr>
                  </w:pPr>
                  <w:r>
                    <w:rPr>
                      <w:b/>
                      <w:bCs/>
                      <w:color w:val="000000" w:themeColor="text1"/>
                      <w:sz w:val="21"/>
                      <w:szCs w:val="21"/>
                    </w:rPr>
                    <w:t>主要有毒有害物质</w:t>
                  </w:r>
                </w:p>
              </w:tc>
              <w:tc>
                <w:tcPr>
                  <w:tcW w:w="269" w:type="pct"/>
                  <w:tcBorders>
                    <w:tl2br w:val="nil"/>
                    <w:tr2bl w:val="nil"/>
                  </w:tcBorders>
                  <w:vAlign w:val="center"/>
                </w:tcPr>
                <w:p w14:paraId="1FB578F0">
                  <w:pPr>
                    <w:spacing w:line="240" w:lineRule="auto"/>
                    <w:ind w:firstLine="0" w:firstLineChars="0"/>
                    <w:jc w:val="center"/>
                    <w:rPr>
                      <w:b/>
                      <w:bCs/>
                      <w:color w:val="000000" w:themeColor="text1"/>
                      <w:sz w:val="21"/>
                      <w:szCs w:val="21"/>
                    </w:rPr>
                  </w:pPr>
                  <w:r>
                    <w:rPr>
                      <w:b/>
                      <w:bCs/>
                      <w:color w:val="000000" w:themeColor="text1"/>
                      <w:sz w:val="21"/>
                      <w:szCs w:val="21"/>
                    </w:rPr>
                    <w:t>物理性状</w:t>
                  </w:r>
                </w:p>
              </w:tc>
              <w:tc>
                <w:tcPr>
                  <w:tcW w:w="280" w:type="pct"/>
                  <w:tcBorders>
                    <w:tl2br w:val="nil"/>
                    <w:tr2bl w:val="nil"/>
                  </w:tcBorders>
                  <w:vAlign w:val="center"/>
                </w:tcPr>
                <w:p w14:paraId="3B14ED8C">
                  <w:pPr>
                    <w:spacing w:line="240" w:lineRule="auto"/>
                    <w:ind w:firstLine="0" w:firstLineChars="0"/>
                    <w:jc w:val="center"/>
                    <w:rPr>
                      <w:b/>
                      <w:bCs/>
                      <w:color w:val="000000" w:themeColor="text1"/>
                      <w:sz w:val="21"/>
                      <w:szCs w:val="21"/>
                    </w:rPr>
                  </w:pPr>
                  <w:r>
                    <w:rPr>
                      <w:b/>
                      <w:bCs/>
                      <w:color w:val="000000" w:themeColor="text1"/>
                      <w:sz w:val="21"/>
                      <w:szCs w:val="21"/>
                    </w:rPr>
                    <w:t>危害特性</w:t>
                  </w:r>
                </w:p>
              </w:tc>
              <w:tc>
                <w:tcPr>
                  <w:tcW w:w="332" w:type="pct"/>
                  <w:tcBorders>
                    <w:tl2br w:val="nil"/>
                    <w:tr2bl w:val="nil"/>
                  </w:tcBorders>
                  <w:vAlign w:val="center"/>
                </w:tcPr>
                <w:p w14:paraId="5C884176">
                  <w:pPr>
                    <w:spacing w:line="240" w:lineRule="auto"/>
                    <w:ind w:firstLine="0" w:firstLineChars="0"/>
                    <w:jc w:val="center"/>
                    <w:rPr>
                      <w:b/>
                      <w:bCs/>
                      <w:color w:val="000000" w:themeColor="text1"/>
                      <w:sz w:val="21"/>
                      <w:szCs w:val="21"/>
                    </w:rPr>
                  </w:pPr>
                  <w:r>
                    <w:rPr>
                      <w:b/>
                      <w:bCs/>
                      <w:color w:val="000000" w:themeColor="text1"/>
                      <w:sz w:val="21"/>
                      <w:szCs w:val="21"/>
                    </w:rPr>
                    <w:t>产生量t/a</w:t>
                  </w:r>
                </w:p>
              </w:tc>
              <w:tc>
                <w:tcPr>
                  <w:tcW w:w="544" w:type="pct"/>
                  <w:tcBorders>
                    <w:tl2br w:val="nil"/>
                    <w:tr2bl w:val="nil"/>
                  </w:tcBorders>
                  <w:vAlign w:val="center"/>
                </w:tcPr>
                <w:p w14:paraId="63438591">
                  <w:pPr>
                    <w:spacing w:line="240" w:lineRule="auto"/>
                    <w:ind w:firstLine="0" w:firstLineChars="0"/>
                    <w:jc w:val="center"/>
                    <w:rPr>
                      <w:b/>
                      <w:bCs/>
                      <w:color w:val="000000" w:themeColor="text1"/>
                      <w:sz w:val="21"/>
                      <w:szCs w:val="21"/>
                    </w:rPr>
                  </w:pPr>
                  <w:r>
                    <w:rPr>
                      <w:b/>
                      <w:bCs/>
                      <w:color w:val="000000" w:themeColor="text1"/>
                      <w:sz w:val="21"/>
                      <w:szCs w:val="21"/>
                    </w:rPr>
                    <w:t>代码</w:t>
                  </w:r>
                </w:p>
              </w:tc>
              <w:tc>
                <w:tcPr>
                  <w:tcW w:w="916" w:type="pct"/>
                  <w:tcBorders>
                    <w:tl2br w:val="nil"/>
                    <w:tr2bl w:val="nil"/>
                  </w:tcBorders>
                  <w:vAlign w:val="center"/>
                </w:tcPr>
                <w:p w14:paraId="1BEC0818">
                  <w:pPr>
                    <w:spacing w:line="240" w:lineRule="auto"/>
                    <w:ind w:firstLine="0" w:firstLineChars="0"/>
                    <w:jc w:val="center"/>
                    <w:rPr>
                      <w:b/>
                      <w:bCs/>
                      <w:color w:val="000000" w:themeColor="text1"/>
                      <w:sz w:val="21"/>
                      <w:szCs w:val="21"/>
                    </w:rPr>
                  </w:pPr>
                  <w:r>
                    <w:rPr>
                      <w:b/>
                      <w:bCs/>
                      <w:color w:val="000000" w:themeColor="text1"/>
                      <w:sz w:val="21"/>
                      <w:szCs w:val="21"/>
                    </w:rPr>
                    <w:t>贮存方式</w:t>
                  </w:r>
                </w:p>
              </w:tc>
              <w:tc>
                <w:tcPr>
                  <w:tcW w:w="859" w:type="pct"/>
                  <w:tcBorders>
                    <w:tl2br w:val="nil"/>
                    <w:tr2bl w:val="nil"/>
                  </w:tcBorders>
                  <w:vAlign w:val="center"/>
                </w:tcPr>
                <w:p w14:paraId="1F59B9BF">
                  <w:pPr>
                    <w:spacing w:line="240" w:lineRule="auto"/>
                    <w:ind w:firstLine="0" w:firstLineChars="0"/>
                    <w:jc w:val="center"/>
                    <w:rPr>
                      <w:b/>
                      <w:bCs/>
                      <w:color w:val="000000" w:themeColor="text1"/>
                      <w:sz w:val="21"/>
                      <w:szCs w:val="21"/>
                    </w:rPr>
                  </w:pPr>
                  <w:r>
                    <w:rPr>
                      <w:b/>
                      <w:bCs/>
                      <w:color w:val="000000" w:themeColor="text1"/>
                      <w:sz w:val="21"/>
                      <w:szCs w:val="21"/>
                    </w:rPr>
                    <w:t>利用处置方式和去向</w:t>
                  </w:r>
                </w:p>
              </w:tc>
              <w:tc>
                <w:tcPr>
                  <w:tcW w:w="426" w:type="pct"/>
                  <w:tcBorders>
                    <w:tl2br w:val="nil"/>
                    <w:tr2bl w:val="nil"/>
                  </w:tcBorders>
                  <w:vAlign w:val="center"/>
                </w:tcPr>
                <w:p w14:paraId="1BFB87B0">
                  <w:pPr>
                    <w:spacing w:line="240" w:lineRule="auto"/>
                    <w:ind w:firstLine="0" w:firstLineChars="0"/>
                    <w:jc w:val="center"/>
                    <w:rPr>
                      <w:b/>
                      <w:bCs/>
                      <w:color w:val="000000" w:themeColor="text1"/>
                      <w:sz w:val="21"/>
                      <w:szCs w:val="21"/>
                    </w:rPr>
                  </w:pPr>
                  <w:r>
                    <w:rPr>
                      <w:b/>
                      <w:bCs/>
                      <w:color w:val="000000" w:themeColor="text1"/>
                      <w:sz w:val="21"/>
                      <w:szCs w:val="21"/>
                    </w:rPr>
                    <w:t>利用或处置量t/a</w:t>
                  </w:r>
                </w:p>
              </w:tc>
            </w:tr>
            <w:tr w14:paraId="3C370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39896EE4">
                  <w:pPr>
                    <w:pStyle w:val="66"/>
                    <w:spacing w:line="240" w:lineRule="auto"/>
                    <w:ind w:left="0" w:right="0" w:firstLine="0" w:firstLineChars="0"/>
                    <w:rPr>
                      <w:color w:val="000000" w:themeColor="text1"/>
                      <w:sz w:val="21"/>
                    </w:rPr>
                  </w:pPr>
                  <w:r>
                    <w:rPr>
                      <w:rFonts w:hint="eastAsia"/>
                      <w:color w:val="000000" w:themeColor="text1"/>
                      <w:sz w:val="21"/>
                    </w:rPr>
                    <w:t>滚筒筛筛分</w:t>
                  </w:r>
                </w:p>
              </w:tc>
              <w:tc>
                <w:tcPr>
                  <w:tcW w:w="527" w:type="pct"/>
                  <w:tcBorders>
                    <w:tl2br w:val="nil"/>
                    <w:tr2bl w:val="nil"/>
                  </w:tcBorders>
                  <w:vAlign w:val="center"/>
                </w:tcPr>
                <w:p w14:paraId="668A1304">
                  <w:pPr>
                    <w:pStyle w:val="66"/>
                    <w:spacing w:line="240" w:lineRule="auto"/>
                    <w:ind w:left="0" w:right="0" w:firstLine="0" w:firstLineChars="0"/>
                    <w:rPr>
                      <w:color w:val="000000" w:themeColor="text1"/>
                      <w:sz w:val="21"/>
                    </w:rPr>
                  </w:pPr>
                  <w:r>
                    <w:rPr>
                      <w:rFonts w:hint="eastAsia"/>
                      <w:color w:val="000000" w:themeColor="text1"/>
                      <w:sz w:val="21"/>
                    </w:rPr>
                    <w:t>大块木废边角料</w:t>
                  </w:r>
                </w:p>
              </w:tc>
              <w:tc>
                <w:tcPr>
                  <w:tcW w:w="418" w:type="pct"/>
                  <w:tcBorders>
                    <w:tl2br w:val="nil"/>
                    <w:tr2bl w:val="nil"/>
                  </w:tcBorders>
                  <w:vAlign w:val="center"/>
                </w:tcPr>
                <w:p w14:paraId="7D7B0D55">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269" w:type="pct"/>
                  <w:tcBorders>
                    <w:tl2br w:val="nil"/>
                    <w:tr2bl w:val="nil"/>
                  </w:tcBorders>
                  <w:vAlign w:val="center"/>
                </w:tcPr>
                <w:p w14:paraId="6FBE8548">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vAlign w:val="center"/>
                </w:tcPr>
                <w:p w14:paraId="3C84C941">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37E1DE86">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c>
                <w:tcPr>
                  <w:tcW w:w="544" w:type="pct"/>
                  <w:tcBorders>
                    <w:tl2br w:val="nil"/>
                    <w:tr2bl w:val="nil"/>
                  </w:tcBorders>
                  <w:vAlign w:val="center"/>
                </w:tcPr>
                <w:p w14:paraId="66205E84">
                  <w:pPr>
                    <w:spacing w:line="240" w:lineRule="auto"/>
                    <w:ind w:firstLine="0" w:firstLineChars="0"/>
                    <w:jc w:val="center"/>
                    <w:rPr>
                      <w:color w:val="000000" w:themeColor="text1"/>
                      <w:sz w:val="21"/>
                      <w:szCs w:val="21"/>
                    </w:rPr>
                  </w:pPr>
                  <w:r>
                    <w:rPr>
                      <w:rFonts w:hint="eastAsia"/>
                      <w:color w:val="000000" w:themeColor="text1"/>
                      <w:sz w:val="21"/>
                      <w:szCs w:val="21"/>
                    </w:rPr>
                    <w:t>900-009-S17</w:t>
                  </w:r>
                </w:p>
              </w:tc>
              <w:tc>
                <w:tcPr>
                  <w:tcW w:w="916" w:type="pct"/>
                  <w:tcBorders>
                    <w:tl2br w:val="nil"/>
                    <w:tr2bl w:val="nil"/>
                  </w:tcBorders>
                  <w:vAlign w:val="center"/>
                </w:tcPr>
                <w:p w14:paraId="233E201D">
                  <w:pPr>
                    <w:spacing w:line="240" w:lineRule="auto"/>
                    <w:ind w:firstLine="0" w:firstLineChars="0"/>
                    <w:jc w:val="center"/>
                    <w:rPr>
                      <w:b/>
                      <w:bCs/>
                      <w:color w:val="000000" w:themeColor="text1"/>
                      <w:sz w:val="21"/>
                      <w:szCs w:val="21"/>
                    </w:rPr>
                  </w:pPr>
                  <w:r>
                    <w:rPr>
                      <w:rFonts w:hint="eastAsia"/>
                      <w:color w:val="000000" w:themeColor="text1"/>
                      <w:sz w:val="21"/>
                      <w:szCs w:val="21"/>
                    </w:rPr>
                    <w:t>集中收集，暂存于</w:t>
                  </w:r>
                  <w:r>
                    <w:rPr>
                      <w:rFonts w:hint="eastAsia"/>
                      <w:snapToGrid w:val="0"/>
                      <w:color w:val="000000" w:themeColor="text1"/>
                      <w:sz w:val="21"/>
                      <w:szCs w:val="21"/>
                    </w:rPr>
                    <w:t>一般固废储存区</w:t>
                  </w:r>
                </w:p>
              </w:tc>
              <w:tc>
                <w:tcPr>
                  <w:tcW w:w="859" w:type="pct"/>
                  <w:tcBorders>
                    <w:tl2br w:val="nil"/>
                    <w:tr2bl w:val="nil"/>
                  </w:tcBorders>
                  <w:vAlign w:val="center"/>
                </w:tcPr>
                <w:p w14:paraId="13A5685B">
                  <w:pPr>
                    <w:spacing w:line="240" w:lineRule="auto"/>
                    <w:ind w:firstLine="0" w:firstLineChars="0"/>
                    <w:jc w:val="center"/>
                    <w:rPr>
                      <w:b/>
                      <w:bCs/>
                      <w:color w:val="000000" w:themeColor="text1"/>
                      <w:sz w:val="21"/>
                      <w:szCs w:val="21"/>
                    </w:rPr>
                  </w:pPr>
                  <w:r>
                    <w:rPr>
                      <w:rFonts w:hint="eastAsia"/>
                      <w:color w:val="000000" w:themeColor="text1"/>
                      <w:sz w:val="21"/>
                      <w:szCs w:val="21"/>
                    </w:rPr>
                    <w:t>定期外售给下游收购商进行加工处理</w:t>
                  </w:r>
                </w:p>
              </w:tc>
              <w:tc>
                <w:tcPr>
                  <w:tcW w:w="426" w:type="pct"/>
                  <w:tcBorders>
                    <w:tl2br w:val="nil"/>
                    <w:tr2bl w:val="nil"/>
                  </w:tcBorders>
                  <w:vAlign w:val="center"/>
                </w:tcPr>
                <w:p w14:paraId="5F1E8661">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r>
            <w:tr w14:paraId="241DC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4B7C7144">
                  <w:pPr>
                    <w:pStyle w:val="66"/>
                    <w:spacing w:line="240" w:lineRule="auto"/>
                    <w:ind w:left="0" w:right="0" w:firstLine="0" w:firstLineChars="0"/>
                    <w:rPr>
                      <w:color w:val="000000" w:themeColor="text1"/>
                      <w:sz w:val="21"/>
                    </w:rPr>
                  </w:pPr>
                  <w:r>
                    <w:rPr>
                      <w:rFonts w:hint="eastAsia"/>
                      <w:color w:val="000000" w:themeColor="text1"/>
                      <w:kern w:val="2"/>
                      <w:sz w:val="21"/>
                    </w:rPr>
                    <w:t>热风炉</w:t>
                  </w:r>
                </w:p>
              </w:tc>
              <w:tc>
                <w:tcPr>
                  <w:tcW w:w="527" w:type="pct"/>
                  <w:tcBorders>
                    <w:tl2br w:val="nil"/>
                    <w:tr2bl w:val="nil"/>
                  </w:tcBorders>
                  <w:vAlign w:val="center"/>
                </w:tcPr>
                <w:p w14:paraId="1CD2C5EE">
                  <w:pPr>
                    <w:pStyle w:val="66"/>
                    <w:spacing w:line="240" w:lineRule="auto"/>
                    <w:ind w:left="0" w:right="0" w:firstLine="0" w:firstLineChars="0"/>
                    <w:rPr>
                      <w:color w:val="000000" w:themeColor="text1"/>
                      <w:sz w:val="21"/>
                    </w:rPr>
                  </w:pPr>
                  <w:r>
                    <w:rPr>
                      <w:rFonts w:hint="eastAsia"/>
                      <w:color w:val="000000" w:themeColor="text1"/>
                      <w:sz w:val="21"/>
                    </w:rPr>
                    <w:t>灰渣</w:t>
                  </w:r>
                </w:p>
              </w:tc>
              <w:tc>
                <w:tcPr>
                  <w:tcW w:w="418" w:type="pct"/>
                  <w:tcBorders>
                    <w:tl2br w:val="nil"/>
                    <w:tr2bl w:val="nil"/>
                  </w:tcBorders>
                  <w:shd w:val="clear" w:color="auto" w:fill="auto"/>
                  <w:vAlign w:val="center"/>
                </w:tcPr>
                <w:p w14:paraId="12832B0E">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6FC969AD">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13400B2B">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41D916B2">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c>
                <w:tcPr>
                  <w:tcW w:w="544" w:type="pct"/>
                  <w:tcBorders>
                    <w:tl2br w:val="nil"/>
                    <w:tr2bl w:val="nil"/>
                  </w:tcBorders>
                  <w:vAlign w:val="center"/>
                </w:tcPr>
                <w:p w14:paraId="28B80187">
                  <w:pPr>
                    <w:spacing w:line="240" w:lineRule="auto"/>
                    <w:ind w:firstLine="0" w:firstLineChars="0"/>
                    <w:jc w:val="center"/>
                    <w:rPr>
                      <w:color w:val="000000" w:themeColor="text1"/>
                      <w:sz w:val="21"/>
                      <w:szCs w:val="21"/>
                    </w:rPr>
                  </w:pPr>
                  <w:r>
                    <w:rPr>
                      <w:rFonts w:hint="eastAsia"/>
                      <w:color w:val="000000" w:themeColor="text1"/>
                      <w:sz w:val="21"/>
                      <w:szCs w:val="21"/>
                    </w:rPr>
                    <w:t>900-099-S03</w:t>
                  </w:r>
                </w:p>
              </w:tc>
              <w:tc>
                <w:tcPr>
                  <w:tcW w:w="916" w:type="pct"/>
                  <w:tcBorders>
                    <w:tl2br w:val="nil"/>
                    <w:tr2bl w:val="nil"/>
                  </w:tcBorders>
                  <w:vAlign w:val="center"/>
                </w:tcPr>
                <w:p w14:paraId="47B2EF71">
                  <w:pPr>
                    <w:spacing w:line="240" w:lineRule="auto"/>
                    <w:ind w:firstLine="0" w:firstLineChars="0"/>
                    <w:jc w:val="center"/>
                    <w:rPr>
                      <w:color w:val="000000" w:themeColor="text1"/>
                      <w:sz w:val="21"/>
                      <w:szCs w:val="21"/>
                    </w:rPr>
                  </w:pPr>
                  <w:r>
                    <w:rPr>
                      <w:color w:val="000000" w:themeColor="text1"/>
                      <w:sz w:val="21"/>
                      <w:szCs w:val="21"/>
                    </w:rPr>
                    <w:t>热风炉燃尽后的灰渣通过炉排缝隙自然下落至底部灰斗</w:t>
                  </w:r>
                  <w:r>
                    <w:rPr>
                      <w:rFonts w:hint="eastAsia"/>
                      <w:color w:val="000000" w:themeColor="text1"/>
                      <w:sz w:val="21"/>
                      <w:szCs w:val="21"/>
                    </w:rPr>
                    <w:t>，</w:t>
                  </w:r>
                  <w:r>
                    <w:rPr>
                      <w:color w:val="000000" w:themeColor="text1"/>
                      <w:sz w:val="21"/>
                      <w:szCs w:val="21"/>
                    </w:rPr>
                    <w:t>定期打开灰斗门人工清理</w:t>
                  </w:r>
                  <w:r>
                    <w:rPr>
                      <w:rFonts w:hint="eastAsia"/>
                      <w:color w:val="000000" w:themeColor="text1"/>
                      <w:sz w:val="21"/>
                      <w:szCs w:val="21"/>
                    </w:rPr>
                    <w:t>，集中收集后</w:t>
                  </w:r>
                  <w:r>
                    <w:rPr>
                      <w:color w:val="000000" w:themeColor="text1"/>
                      <w:sz w:val="21"/>
                      <w:szCs w:val="21"/>
                    </w:rPr>
                    <w:t>暂存</w:t>
                  </w:r>
                  <w:r>
                    <w:rPr>
                      <w:rFonts w:hint="eastAsia"/>
                      <w:color w:val="000000" w:themeColor="text1"/>
                      <w:sz w:val="21"/>
                      <w:szCs w:val="21"/>
                    </w:rPr>
                    <w:t>于一般固废储存区</w:t>
                  </w:r>
                </w:p>
              </w:tc>
              <w:tc>
                <w:tcPr>
                  <w:tcW w:w="859" w:type="pct"/>
                  <w:tcBorders>
                    <w:tl2br w:val="nil"/>
                    <w:tr2bl w:val="nil"/>
                  </w:tcBorders>
                  <w:shd w:val="clear" w:color="auto" w:fill="auto"/>
                  <w:vAlign w:val="center"/>
                </w:tcPr>
                <w:p w14:paraId="392EB0D4">
                  <w:pPr>
                    <w:pStyle w:val="66"/>
                    <w:spacing w:line="240" w:lineRule="auto"/>
                    <w:ind w:left="0" w:right="0" w:firstLine="0" w:firstLineChars="0"/>
                    <w:rPr>
                      <w:color w:val="000000" w:themeColor="text1"/>
                      <w:sz w:val="21"/>
                    </w:rPr>
                  </w:pPr>
                  <w:r>
                    <w:rPr>
                      <w:rFonts w:hint="eastAsia"/>
                      <w:color w:val="000000" w:themeColor="text1"/>
                      <w:sz w:val="21"/>
                    </w:rPr>
                    <w:t>外售用作农田肥料</w:t>
                  </w:r>
                </w:p>
              </w:tc>
              <w:tc>
                <w:tcPr>
                  <w:tcW w:w="426" w:type="pct"/>
                  <w:tcBorders>
                    <w:tl2br w:val="nil"/>
                    <w:tr2bl w:val="nil"/>
                  </w:tcBorders>
                  <w:shd w:val="clear" w:color="auto" w:fill="auto"/>
                  <w:vAlign w:val="center"/>
                </w:tcPr>
                <w:p w14:paraId="7856B188">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r>
            <w:tr w14:paraId="71A86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09781F4C">
                  <w:pPr>
                    <w:pStyle w:val="66"/>
                    <w:spacing w:line="240" w:lineRule="auto"/>
                    <w:ind w:left="0" w:right="0" w:firstLine="0" w:firstLineChars="0"/>
                    <w:rPr>
                      <w:color w:val="000000" w:themeColor="text1"/>
                      <w:sz w:val="21"/>
                    </w:rPr>
                  </w:pPr>
                  <w:r>
                    <w:rPr>
                      <w:rFonts w:hint="eastAsia"/>
                      <w:color w:val="000000" w:themeColor="text1"/>
                      <w:sz w:val="21"/>
                    </w:rPr>
                    <w:t>砂石分离器</w:t>
                  </w:r>
                </w:p>
              </w:tc>
              <w:tc>
                <w:tcPr>
                  <w:tcW w:w="527" w:type="pct"/>
                  <w:tcBorders>
                    <w:tl2br w:val="nil"/>
                    <w:tr2bl w:val="nil"/>
                  </w:tcBorders>
                  <w:vAlign w:val="center"/>
                </w:tcPr>
                <w:p w14:paraId="4779033F">
                  <w:pPr>
                    <w:pStyle w:val="66"/>
                    <w:spacing w:line="240" w:lineRule="auto"/>
                    <w:ind w:left="0" w:right="0" w:firstLine="0" w:firstLineChars="0"/>
                    <w:rPr>
                      <w:color w:val="000000" w:themeColor="text1"/>
                      <w:sz w:val="21"/>
                    </w:rPr>
                  </w:pPr>
                  <w:r>
                    <w:rPr>
                      <w:rFonts w:hint="eastAsia"/>
                      <w:color w:val="000000" w:themeColor="text1"/>
                      <w:sz w:val="21"/>
                    </w:rPr>
                    <w:t>石子等硬质杂质</w:t>
                  </w:r>
                </w:p>
              </w:tc>
              <w:tc>
                <w:tcPr>
                  <w:tcW w:w="418" w:type="pct"/>
                  <w:tcBorders>
                    <w:tl2br w:val="nil"/>
                    <w:tr2bl w:val="nil"/>
                  </w:tcBorders>
                  <w:shd w:val="clear" w:color="auto" w:fill="auto"/>
                  <w:vAlign w:val="center"/>
                </w:tcPr>
                <w:p w14:paraId="10E1D1A0">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6415275D">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7493C509">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247E0A0B">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c>
                <w:tcPr>
                  <w:tcW w:w="544" w:type="pct"/>
                  <w:tcBorders>
                    <w:tl2br w:val="nil"/>
                    <w:tr2bl w:val="nil"/>
                  </w:tcBorders>
                  <w:vAlign w:val="center"/>
                </w:tcPr>
                <w:p w14:paraId="03973D8D">
                  <w:pPr>
                    <w:spacing w:line="240" w:lineRule="auto"/>
                    <w:ind w:firstLine="0" w:firstLineChars="0"/>
                    <w:jc w:val="center"/>
                    <w:rPr>
                      <w:color w:val="000000" w:themeColor="text1"/>
                      <w:sz w:val="21"/>
                      <w:szCs w:val="21"/>
                    </w:rPr>
                  </w:pPr>
                  <w:r>
                    <w:rPr>
                      <w:rFonts w:hint="eastAsia"/>
                      <w:color w:val="000000" w:themeColor="text1"/>
                      <w:sz w:val="21"/>
                      <w:szCs w:val="21"/>
                    </w:rPr>
                    <w:t>900-099-S59</w:t>
                  </w:r>
                </w:p>
              </w:tc>
              <w:tc>
                <w:tcPr>
                  <w:tcW w:w="916" w:type="pct"/>
                  <w:tcBorders>
                    <w:tl2br w:val="nil"/>
                    <w:tr2bl w:val="nil"/>
                  </w:tcBorders>
                  <w:vAlign w:val="center"/>
                </w:tcPr>
                <w:p w14:paraId="369C5273">
                  <w:pPr>
                    <w:spacing w:line="240" w:lineRule="auto"/>
                    <w:ind w:firstLine="0" w:firstLineChars="0"/>
                    <w:jc w:val="center"/>
                    <w:rPr>
                      <w:color w:val="000000" w:themeColor="text1"/>
                      <w:sz w:val="21"/>
                      <w:szCs w:val="21"/>
                    </w:rPr>
                  </w:pPr>
                  <w:r>
                    <w:rPr>
                      <w:rFonts w:hint="eastAsia"/>
                      <w:color w:val="000000" w:themeColor="text1"/>
                      <w:sz w:val="21"/>
                      <w:szCs w:val="21"/>
                    </w:rPr>
                    <w:t>集中收集，暂存于</w:t>
                  </w:r>
                  <w:r>
                    <w:rPr>
                      <w:rFonts w:hint="eastAsia"/>
                      <w:snapToGrid w:val="0"/>
                      <w:color w:val="000000" w:themeColor="text1"/>
                      <w:sz w:val="21"/>
                      <w:szCs w:val="21"/>
                    </w:rPr>
                    <w:t>一般固废储存区</w:t>
                  </w:r>
                </w:p>
              </w:tc>
              <w:tc>
                <w:tcPr>
                  <w:tcW w:w="859" w:type="pct"/>
                  <w:tcBorders>
                    <w:tl2br w:val="nil"/>
                    <w:tr2bl w:val="nil"/>
                  </w:tcBorders>
                  <w:shd w:val="clear" w:color="auto" w:fill="auto"/>
                  <w:vAlign w:val="center"/>
                </w:tcPr>
                <w:p w14:paraId="00B1D2B5">
                  <w:pPr>
                    <w:pStyle w:val="66"/>
                    <w:spacing w:line="240" w:lineRule="auto"/>
                    <w:ind w:left="0" w:right="0" w:firstLine="0" w:firstLineChars="0"/>
                    <w:rPr>
                      <w:color w:val="000000" w:themeColor="text1"/>
                      <w:sz w:val="21"/>
                    </w:rPr>
                  </w:pPr>
                  <w:r>
                    <w:rPr>
                      <w:rFonts w:hint="eastAsia"/>
                      <w:color w:val="000000" w:themeColor="text1"/>
                      <w:sz w:val="21"/>
                    </w:rPr>
                    <w:t>定期外售物资回收公司回收利用</w:t>
                  </w:r>
                </w:p>
              </w:tc>
              <w:tc>
                <w:tcPr>
                  <w:tcW w:w="426" w:type="pct"/>
                  <w:tcBorders>
                    <w:tl2br w:val="nil"/>
                    <w:tr2bl w:val="nil"/>
                  </w:tcBorders>
                  <w:shd w:val="clear" w:color="auto" w:fill="auto"/>
                  <w:vAlign w:val="center"/>
                </w:tcPr>
                <w:p w14:paraId="6A07B759">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r>
            <w:tr w14:paraId="3B3D1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065B27C9">
                  <w:pPr>
                    <w:pStyle w:val="66"/>
                    <w:spacing w:line="240" w:lineRule="auto"/>
                    <w:ind w:left="0" w:right="0" w:firstLine="0" w:firstLineChars="0"/>
                    <w:rPr>
                      <w:color w:val="000000" w:themeColor="text1"/>
                      <w:sz w:val="21"/>
                    </w:rPr>
                  </w:pPr>
                  <w:r>
                    <w:rPr>
                      <w:rFonts w:hint="eastAsia"/>
                      <w:color w:val="000000" w:themeColor="text1"/>
                      <w:sz w:val="21"/>
                    </w:rPr>
                    <w:t>振筛筛分</w:t>
                  </w:r>
                </w:p>
              </w:tc>
              <w:tc>
                <w:tcPr>
                  <w:tcW w:w="527" w:type="pct"/>
                  <w:tcBorders>
                    <w:tl2br w:val="nil"/>
                    <w:tr2bl w:val="nil"/>
                  </w:tcBorders>
                  <w:vAlign w:val="center"/>
                </w:tcPr>
                <w:p w14:paraId="48D85760">
                  <w:pPr>
                    <w:pStyle w:val="66"/>
                    <w:spacing w:line="240" w:lineRule="auto"/>
                    <w:ind w:left="0" w:right="0" w:firstLine="0" w:firstLineChars="0"/>
                    <w:rPr>
                      <w:color w:val="000000" w:themeColor="text1"/>
                      <w:sz w:val="21"/>
                    </w:rPr>
                  </w:pPr>
                  <w:r>
                    <w:rPr>
                      <w:rFonts w:hint="eastAsia"/>
                      <w:color w:val="000000" w:themeColor="text1"/>
                      <w:sz w:val="21"/>
                    </w:rPr>
                    <w:t>不合格品</w:t>
                  </w:r>
                </w:p>
              </w:tc>
              <w:tc>
                <w:tcPr>
                  <w:tcW w:w="418" w:type="pct"/>
                  <w:tcBorders>
                    <w:tl2br w:val="nil"/>
                    <w:tr2bl w:val="nil"/>
                  </w:tcBorders>
                  <w:shd w:val="clear" w:color="auto" w:fill="auto"/>
                  <w:vAlign w:val="center"/>
                </w:tcPr>
                <w:p w14:paraId="4CC0D7DB">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5598BB04">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6860BDF4">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4AC3B291">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544" w:type="pct"/>
                  <w:tcBorders>
                    <w:tl2br w:val="nil"/>
                    <w:tr2bl w:val="nil"/>
                  </w:tcBorders>
                  <w:vAlign w:val="center"/>
                </w:tcPr>
                <w:p w14:paraId="2C71FE34">
                  <w:pPr>
                    <w:spacing w:line="240" w:lineRule="auto"/>
                    <w:ind w:firstLine="0" w:firstLineChars="0"/>
                    <w:jc w:val="center"/>
                    <w:rPr>
                      <w:color w:val="000000" w:themeColor="text1"/>
                      <w:sz w:val="21"/>
                      <w:szCs w:val="21"/>
                    </w:rPr>
                  </w:pPr>
                  <w:r>
                    <w:rPr>
                      <w:rFonts w:hint="eastAsia"/>
                      <w:color w:val="000000" w:themeColor="text1"/>
                      <w:sz w:val="21"/>
                      <w:szCs w:val="21"/>
                    </w:rPr>
                    <w:t>900-009-S17</w:t>
                  </w:r>
                </w:p>
              </w:tc>
              <w:tc>
                <w:tcPr>
                  <w:tcW w:w="916" w:type="pct"/>
                  <w:tcBorders>
                    <w:tl2br w:val="nil"/>
                    <w:tr2bl w:val="nil"/>
                  </w:tcBorders>
                  <w:vAlign w:val="center"/>
                </w:tcPr>
                <w:p w14:paraId="406AE73D">
                  <w:pPr>
                    <w:spacing w:line="240" w:lineRule="auto"/>
                    <w:ind w:firstLine="0" w:firstLineChars="0"/>
                    <w:jc w:val="center"/>
                    <w:rPr>
                      <w:color w:val="000000" w:themeColor="text1"/>
                      <w:sz w:val="21"/>
                      <w:szCs w:val="21"/>
                    </w:rPr>
                  </w:pPr>
                  <w:r>
                    <w:rPr>
                      <w:color w:val="000000" w:themeColor="text1"/>
                      <w:sz w:val="21"/>
                      <w:szCs w:val="21"/>
                    </w:rPr>
                    <w:t>袋装收集</w:t>
                  </w:r>
                </w:p>
              </w:tc>
              <w:tc>
                <w:tcPr>
                  <w:tcW w:w="859" w:type="pct"/>
                  <w:tcBorders>
                    <w:tl2br w:val="nil"/>
                    <w:tr2bl w:val="nil"/>
                  </w:tcBorders>
                  <w:shd w:val="clear" w:color="auto" w:fill="auto"/>
                  <w:vAlign w:val="center"/>
                </w:tcPr>
                <w:p w14:paraId="595C86B9">
                  <w:pPr>
                    <w:pStyle w:val="66"/>
                    <w:spacing w:line="240" w:lineRule="auto"/>
                    <w:ind w:left="0" w:right="0" w:firstLine="0" w:firstLineChars="0"/>
                    <w:rPr>
                      <w:color w:val="000000" w:themeColor="text1"/>
                      <w:sz w:val="21"/>
                    </w:rPr>
                  </w:pPr>
                  <w:r>
                    <w:rPr>
                      <w:color w:val="000000" w:themeColor="text1"/>
                      <w:sz w:val="21"/>
                    </w:rPr>
                    <w:t>人工转移至中转仓返料至生物质颗粒机重新制粒</w:t>
                  </w:r>
                </w:p>
              </w:tc>
              <w:tc>
                <w:tcPr>
                  <w:tcW w:w="426" w:type="pct"/>
                  <w:tcBorders>
                    <w:tl2br w:val="nil"/>
                    <w:tr2bl w:val="nil"/>
                  </w:tcBorders>
                  <w:shd w:val="clear" w:color="auto" w:fill="auto"/>
                  <w:vAlign w:val="center"/>
                </w:tcPr>
                <w:p w14:paraId="41A7867C">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r>
            <w:tr w14:paraId="013AE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31A52478">
                  <w:pPr>
                    <w:spacing w:line="240" w:lineRule="auto"/>
                    <w:ind w:firstLine="0" w:firstLineChars="0"/>
                    <w:jc w:val="center"/>
                    <w:rPr>
                      <w:color w:val="000000" w:themeColor="text1"/>
                      <w:sz w:val="21"/>
                      <w:szCs w:val="21"/>
                    </w:rPr>
                  </w:pPr>
                  <w:r>
                    <w:rPr>
                      <w:rFonts w:hint="eastAsia"/>
                      <w:color w:val="000000" w:themeColor="text1"/>
                      <w:sz w:val="21"/>
                      <w:szCs w:val="21"/>
                    </w:rPr>
                    <w:t>包装</w:t>
                  </w:r>
                </w:p>
              </w:tc>
              <w:tc>
                <w:tcPr>
                  <w:tcW w:w="527" w:type="pct"/>
                  <w:tcBorders>
                    <w:tl2br w:val="nil"/>
                    <w:tr2bl w:val="nil"/>
                  </w:tcBorders>
                  <w:vAlign w:val="center"/>
                </w:tcPr>
                <w:p w14:paraId="70C53FC2">
                  <w:pPr>
                    <w:spacing w:line="240" w:lineRule="auto"/>
                    <w:ind w:firstLine="0" w:firstLineChars="0"/>
                    <w:jc w:val="center"/>
                    <w:rPr>
                      <w:color w:val="000000" w:themeColor="text1"/>
                      <w:sz w:val="21"/>
                      <w:szCs w:val="21"/>
                    </w:rPr>
                  </w:pPr>
                  <w:r>
                    <w:rPr>
                      <w:rFonts w:hint="eastAsia"/>
                      <w:color w:val="000000" w:themeColor="text1"/>
                      <w:sz w:val="21"/>
                      <w:szCs w:val="21"/>
                    </w:rPr>
                    <w:t>废包装袋</w:t>
                  </w:r>
                </w:p>
              </w:tc>
              <w:tc>
                <w:tcPr>
                  <w:tcW w:w="418" w:type="pct"/>
                  <w:tcBorders>
                    <w:tl2br w:val="nil"/>
                    <w:tr2bl w:val="nil"/>
                  </w:tcBorders>
                  <w:vAlign w:val="center"/>
                </w:tcPr>
                <w:p w14:paraId="1F430008">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vAlign w:val="center"/>
                </w:tcPr>
                <w:p w14:paraId="5F59D54C">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vAlign w:val="center"/>
                </w:tcPr>
                <w:p w14:paraId="06604EAF">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19F7EA5A">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c>
                <w:tcPr>
                  <w:tcW w:w="544" w:type="pct"/>
                  <w:tcBorders>
                    <w:tl2br w:val="nil"/>
                    <w:tr2bl w:val="nil"/>
                  </w:tcBorders>
                  <w:vAlign w:val="center"/>
                </w:tcPr>
                <w:p w14:paraId="170FB1F7">
                  <w:pPr>
                    <w:spacing w:line="240" w:lineRule="auto"/>
                    <w:ind w:firstLine="0" w:firstLineChars="0"/>
                    <w:jc w:val="center"/>
                    <w:rPr>
                      <w:color w:val="000000" w:themeColor="text1"/>
                      <w:sz w:val="21"/>
                      <w:szCs w:val="21"/>
                    </w:rPr>
                  </w:pPr>
                  <w:r>
                    <w:rPr>
                      <w:rFonts w:hint="eastAsia"/>
                      <w:color w:val="000000" w:themeColor="text1"/>
                      <w:sz w:val="21"/>
                      <w:szCs w:val="21"/>
                    </w:rPr>
                    <w:t>900-003-S17</w:t>
                  </w:r>
                </w:p>
              </w:tc>
              <w:tc>
                <w:tcPr>
                  <w:tcW w:w="916" w:type="pct"/>
                  <w:vMerge w:val="restart"/>
                  <w:tcBorders>
                    <w:tl2br w:val="nil"/>
                    <w:tr2bl w:val="nil"/>
                  </w:tcBorders>
                  <w:vAlign w:val="center"/>
                </w:tcPr>
                <w:p w14:paraId="61EB07CA">
                  <w:pPr>
                    <w:spacing w:line="240" w:lineRule="auto"/>
                    <w:ind w:firstLine="0" w:firstLineChars="0"/>
                    <w:jc w:val="center"/>
                    <w:rPr>
                      <w:b/>
                      <w:bCs/>
                      <w:color w:val="000000" w:themeColor="text1"/>
                      <w:sz w:val="21"/>
                      <w:szCs w:val="21"/>
                    </w:rPr>
                  </w:pPr>
                  <w:r>
                    <w:rPr>
                      <w:rFonts w:hint="eastAsia"/>
                      <w:color w:val="000000" w:themeColor="text1"/>
                      <w:sz w:val="21"/>
                      <w:szCs w:val="21"/>
                    </w:rPr>
                    <w:t>集中收集，暂存于</w:t>
                  </w:r>
                  <w:r>
                    <w:rPr>
                      <w:rFonts w:hint="eastAsia"/>
                      <w:snapToGrid w:val="0"/>
                      <w:color w:val="000000" w:themeColor="text1"/>
                      <w:sz w:val="21"/>
                      <w:szCs w:val="21"/>
                    </w:rPr>
                    <w:t>一般固废储存区</w:t>
                  </w:r>
                </w:p>
              </w:tc>
              <w:tc>
                <w:tcPr>
                  <w:tcW w:w="859" w:type="pct"/>
                  <w:tcBorders>
                    <w:tl2br w:val="nil"/>
                    <w:tr2bl w:val="nil"/>
                  </w:tcBorders>
                  <w:shd w:val="clear" w:color="auto" w:fill="auto"/>
                  <w:vAlign w:val="center"/>
                </w:tcPr>
                <w:p w14:paraId="4697496F">
                  <w:pPr>
                    <w:pStyle w:val="66"/>
                    <w:spacing w:line="240" w:lineRule="auto"/>
                    <w:ind w:left="0" w:right="0" w:firstLine="0" w:firstLineChars="0"/>
                    <w:rPr>
                      <w:b/>
                      <w:bCs/>
                      <w:color w:val="000000" w:themeColor="text1"/>
                      <w:kern w:val="2"/>
                      <w:sz w:val="21"/>
                    </w:rPr>
                  </w:pPr>
                  <w:r>
                    <w:rPr>
                      <w:rFonts w:hint="eastAsia"/>
                      <w:color w:val="000000" w:themeColor="text1"/>
                      <w:sz w:val="21"/>
                    </w:rPr>
                    <w:t>定期外售废品回收站</w:t>
                  </w:r>
                </w:p>
              </w:tc>
              <w:tc>
                <w:tcPr>
                  <w:tcW w:w="426" w:type="pct"/>
                  <w:tcBorders>
                    <w:tl2br w:val="nil"/>
                    <w:tr2bl w:val="nil"/>
                  </w:tcBorders>
                  <w:shd w:val="clear" w:color="auto" w:fill="auto"/>
                  <w:vAlign w:val="center"/>
                </w:tcPr>
                <w:p w14:paraId="7E9D3525">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r>
            <w:tr w14:paraId="2AC3C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tcBorders>
                    <w:tl2br w:val="nil"/>
                    <w:tr2bl w:val="nil"/>
                  </w:tcBorders>
                  <w:vAlign w:val="center"/>
                </w:tcPr>
                <w:p w14:paraId="2D60341C">
                  <w:pPr>
                    <w:spacing w:line="240" w:lineRule="auto"/>
                    <w:ind w:firstLine="0" w:firstLineChars="0"/>
                    <w:jc w:val="center"/>
                    <w:rPr>
                      <w:color w:val="000000" w:themeColor="text1"/>
                      <w:sz w:val="21"/>
                      <w:szCs w:val="21"/>
                    </w:rPr>
                  </w:pPr>
                  <w:r>
                    <w:rPr>
                      <w:rFonts w:hint="eastAsia"/>
                      <w:color w:val="000000" w:themeColor="text1"/>
                      <w:sz w:val="21"/>
                      <w:szCs w:val="21"/>
                    </w:rPr>
                    <w:t>除尘器</w:t>
                  </w:r>
                </w:p>
              </w:tc>
              <w:tc>
                <w:tcPr>
                  <w:tcW w:w="527" w:type="pct"/>
                  <w:tcBorders>
                    <w:tl2br w:val="nil"/>
                    <w:tr2bl w:val="nil"/>
                  </w:tcBorders>
                  <w:vAlign w:val="center"/>
                </w:tcPr>
                <w:p w14:paraId="3F92D224">
                  <w:pPr>
                    <w:spacing w:line="240" w:lineRule="auto"/>
                    <w:ind w:firstLine="0" w:firstLineChars="0"/>
                    <w:jc w:val="center"/>
                    <w:rPr>
                      <w:color w:val="000000" w:themeColor="text1"/>
                      <w:sz w:val="21"/>
                      <w:szCs w:val="21"/>
                    </w:rPr>
                  </w:pPr>
                  <w:r>
                    <w:rPr>
                      <w:rFonts w:hint="eastAsia"/>
                      <w:color w:val="000000" w:themeColor="text1"/>
                      <w:sz w:val="21"/>
                      <w:szCs w:val="21"/>
                    </w:rPr>
                    <w:t>除尘灰</w:t>
                  </w:r>
                </w:p>
              </w:tc>
              <w:tc>
                <w:tcPr>
                  <w:tcW w:w="418" w:type="pct"/>
                  <w:tcBorders>
                    <w:tl2br w:val="nil"/>
                    <w:tr2bl w:val="nil"/>
                  </w:tcBorders>
                  <w:shd w:val="clear" w:color="auto" w:fill="auto"/>
                  <w:vAlign w:val="center"/>
                </w:tcPr>
                <w:p w14:paraId="014C6210">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1BB5D263">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585C788E">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308BB566">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c>
                <w:tcPr>
                  <w:tcW w:w="544" w:type="pct"/>
                  <w:tcBorders>
                    <w:tl2br w:val="nil"/>
                    <w:tr2bl w:val="nil"/>
                  </w:tcBorders>
                  <w:vAlign w:val="center"/>
                </w:tcPr>
                <w:p w14:paraId="449614C2">
                  <w:pPr>
                    <w:spacing w:line="240" w:lineRule="auto"/>
                    <w:ind w:firstLine="0" w:firstLineChars="0"/>
                    <w:jc w:val="center"/>
                    <w:rPr>
                      <w:color w:val="000000" w:themeColor="text1"/>
                      <w:sz w:val="21"/>
                      <w:szCs w:val="21"/>
                    </w:rPr>
                  </w:pPr>
                  <w:r>
                    <w:rPr>
                      <w:color w:val="000000" w:themeColor="text1"/>
                      <w:sz w:val="21"/>
                      <w:szCs w:val="21"/>
                    </w:rPr>
                    <w:t>900-099-S59</w:t>
                  </w:r>
                </w:p>
              </w:tc>
              <w:tc>
                <w:tcPr>
                  <w:tcW w:w="916" w:type="pct"/>
                  <w:vMerge w:val="continue"/>
                  <w:tcBorders>
                    <w:tl2br w:val="nil"/>
                    <w:tr2bl w:val="nil"/>
                  </w:tcBorders>
                  <w:vAlign w:val="center"/>
                </w:tcPr>
                <w:p w14:paraId="49E02763">
                  <w:pPr>
                    <w:spacing w:line="240" w:lineRule="auto"/>
                    <w:ind w:firstLine="0" w:firstLineChars="0"/>
                    <w:jc w:val="center"/>
                    <w:rPr>
                      <w:b/>
                      <w:bCs/>
                      <w:color w:val="000000" w:themeColor="text1"/>
                      <w:sz w:val="21"/>
                      <w:szCs w:val="21"/>
                    </w:rPr>
                  </w:pPr>
                </w:p>
              </w:tc>
              <w:tc>
                <w:tcPr>
                  <w:tcW w:w="859" w:type="pct"/>
                  <w:tcBorders>
                    <w:tl2br w:val="nil"/>
                    <w:tr2bl w:val="nil"/>
                  </w:tcBorders>
                  <w:shd w:val="clear" w:color="auto" w:fill="auto"/>
                  <w:vAlign w:val="center"/>
                </w:tcPr>
                <w:p w14:paraId="637745D2">
                  <w:pPr>
                    <w:pStyle w:val="66"/>
                    <w:spacing w:line="240" w:lineRule="auto"/>
                    <w:ind w:left="0" w:right="0" w:firstLine="0" w:firstLineChars="0"/>
                    <w:rPr>
                      <w:color w:val="000000" w:themeColor="text1"/>
                      <w:sz w:val="21"/>
                    </w:rPr>
                  </w:pPr>
                  <w:r>
                    <w:rPr>
                      <w:rFonts w:hint="eastAsia"/>
                      <w:color w:val="000000" w:themeColor="text1"/>
                      <w:sz w:val="21"/>
                    </w:rPr>
                    <w:t>定期外售物资回收公司回收利用</w:t>
                  </w:r>
                </w:p>
              </w:tc>
              <w:tc>
                <w:tcPr>
                  <w:tcW w:w="426" w:type="pct"/>
                  <w:tcBorders>
                    <w:tl2br w:val="nil"/>
                    <w:tr2bl w:val="nil"/>
                  </w:tcBorders>
                  <w:shd w:val="clear" w:color="auto" w:fill="auto"/>
                  <w:vAlign w:val="center"/>
                </w:tcPr>
                <w:p w14:paraId="6E2AFF78">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r>
            <w:tr w14:paraId="595FD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tcBorders>
                    <w:tl2br w:val="nil"/>
                    <w:tr2bl w:val="nil"/>
                  </w:tcBorders>
                  <w:vAlign w:val="center"/>
                </w:tcPr>
                <w:p w14:paraId="0484D0EF">
                  <w:pPr>
                    <w:spacing w:line="240" w:lineRule="auto"/>
                    <w:ind w:firstLine="0" w:firstLineChars="0"/>
                    <w:jc w:val="center"/>
                    <w:rPr>
                      <w:color w:val="000000" w:themeColor="text1"/>
                      <w:sz w:val="21"/>
                      <w:szCs w:val="21"/>
                    </w:rPr>
                  </w:pPr>
                </w:p>
              </w:tc>
              <w:tc>
                <w:tcPr>
                  <w:tcW w:w="527" w:type="pct"/>
                  <w:tcBorders>
                    <w:tl2br w:val="nil"/>
                    <w:tr2bl w:val="nil"/>
                  </w:tcBorders>
                  <w:vAlign w:val="center"/>
                </w:tcPr>
                <w:p w14:paraId="42896E34">
                  <w:pPr>
                    <w:spacing w:line="240" w:lineRule="auto"/>
                    <w:ind w:firstLine="0" w:firstLineChars="0"/>
                    <w:jc w:val="center"/>
                    <w:rPr>
                      <w:color w:val="000000" w:themeColor="text1"/>
                      <w:sz w:val="21"/>
                      <w:szCs w:val="21"/>
                    </w:rPr>
                  </w:pPr>
                  <w:r>
                    <w:rPr>
                      <w:rFonts w:hint="eastAsia"/>
                      <w:color w:val="000000" w:themeColor="text1"/>
                      <w:sz w:val="21"/>
                      <w:szCs w:val="21"/>
                    </w:rPr>
                    <w:t>废布袋</w:t>
                  </w:r>
                </w:p>
              </w:tc>
              <w:tc>
                <w:tcPr>
                  <w:tcW w:w="418" w:type="pct"/>
                  <w:tcBorders>
                    <w:tl2br w:val="nil"/>
                    <w:tr2bl w:val="nil"/>
                  </w:tcBorders>
                  <w:vAlign w:val="center"/>
                </w:tcPr>
                <w:p w14:paraId="210E8AA5">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vAlign w:val="center"/>
                </w:tcPr>
                <w:p w14:paraId="6198BADE">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vAlign w:val="center"/>
                </w:tcPr>
                <w:p w14:paraId="31A640D2">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7D063295">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544" w:type="pct"/>
                  <w:tcBorders>
                    <w:tl2br w:val="nil"/>
                    <w:tr2bl w:val="nil"/>
                  </w:tcBorders>
                  <w:vAlign w:val="center"/>
                </w:tcPr>
                <w:p w14:paraId="494A95B4">
                  <w:pPr>
                    <w:spacing w:line="240" w:lineRule="auto"/>
                    <w:ind w:firstLine="0" w:firstLineChars="0"/>
                    <w:jc w:val="center"/>
                    <w:rPr>
                      <w:color w:val="000000" w:themeColor="text1"/>
                      <w:sz w:val="21"/>
                      <w:szCs w:val="21"/>
                    </w:rPr>
                  </w:pPr>
                  <w:r>
                    <w:rPr>
                      <w:color w:val="000000" w:themeColor="text1"/>
                      <w:sz w:val="21"/>
                      <w:szCs w:val="21"/>
                    </w:rPr>
                    <w:t>900-0</w:t>
                  </w:r>
                  <w:r>
                    <w:rPr>
                      <w:rFonts w:hint="eastAsia"/>
                      <w:color w:val="000000" w:themeColor="text1"/>
                      <w:sz w:val="21"/>
                      <w:szCs w:val="21"/>
                    </w:rPr>
                    <w:t>0</w:t>
                  </w:r>
                  <w:r>
                    <w:rPr>
                      <w:color w:val="000000" w:themeColor="text1"/>
                      <w:sz w:val="21"/>
                      <w:szCs w:val="21"/>
                    </w:rPr>
                    <w:t>9-S59</w:t>
                  </w:r>
                </w:p>
              </w:tc>
              <w:tc>
                <w:tcPr>
                  <w:tcW w:w="916" w:type="pct"/>
                  <w:vMerge w:val="continue"/>
                  <w:tcBorders>
                    <w:tl2br w:val="nil"/>
                    <w:tr2bl w:val="nil"/>
                  </w:tcBorders>
                  <w:vAlign w:val="center"/>
                </w:tcPr>
                <w:p w14:paraId="70AF0FDA">
                  <w:pPr>
                    <w:spacing w:line="240" w:lineRule="auto"/>
                    <w:ind w:firstLine="0" w:firstLineChars="0"/>
                    <w:jc w:val="center"/>
                    <w:rPr>
                      <w:b/>
                      <w:bCs/>
                      <w:color w:val="000000" w:themeColor="text1"/>
                      <w:sz w:val="21"/>
                      <w:szCs w:val="21"/>
                    </w:rPr>
                  </w:pPr>
                </w:p>
              </w:tc>
              <w:tc>
                <w:tcPr>
                  <w:tcW w:w="859" w:type="pct"/>
                  <w:tcBorders>
                    <w:tl2br w:val="nil"/>
                    <w:tr2bl w:val="nil"/>
                  </w:tcBorders>
                  <w:shd w:val="clear" w:color="auto" w:fill="auto"/>
                  <w:vAlign w:val="center"/>
                </w:tcPr>
                <w:p w14:paraId="6ECA7351">
                  <w:pPr>
                    <w:pStyle w:val="66"/>
                    <w:spacing w:line="240" w:lineRule="auto"/>
                    <w:ind w:left="0" w:right="0" w:firstLine="0" w:firstLineChars="0"/>
                    <w:rPr>
                      <w:color w:val="000000" w:themeColor="text1"/>
                      <w:sz w:val="21"/>
                    </w:rPr>
                  </w:pPr>
                  <w:r>
                    <w:rPr>
                      <w:rFonts w:hint="eastAsia"/>
                      <w:color w:val="000000" w:themeColor="text1"/>
                      <w:sz w:val="21"/>
                    </w:rPr>
                    <w:t>定期外售废品回收站</w:t>
                  </w:r>
                </w:p>
              </w:tc>
              <w:tc>
                <w:tcPr>
                  <w:tcW w:w="426" w:type="pct"/>
                  <w:tcBorders>
                    <w:tl2br w:val="nil"/>
                    <w:tr2bl w:val="nil"/>
                  </w:tcBorders>
                  <w:shd w:val="clear" w:color="auto" w:fill="auto"/>
                  <w:vAlign w:val="center"/>
                </w:tcPr>
                <w:p w14:paraId="62F50599">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r>
            <w:tr w14:paraId="3115C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vAlign w:val="center"/>
                </w:tcPr>
                <w:p w14:paraId="599F8472">
                  <w:pPr>
                    <w:spacing w:line="240" w:lineRule="auto"/>
                    <w:ind w:firstLine="0" w:firstLineChars="0"/>
                    <w:jc w:val="center"/>
                    <w:rPr>
                      <w:color w:val="000000" w:themeColor="text1"/>
                      <w:sz w:val="21"/>
                      <w:szCs w:val="21"/>
                    </w:rPr>
                  </w:pPr>
                  <w:r>
                    <w:rPr>
                      <w:rFonts w:hint="eastAsia"/>
                      <w:color w:val="000000" w:themeColor="text1"/>
                      <w:sz w:val="21"/>
                      <w:szCs w:val="21"/>
                    </w:rPr>
                    <w:t>厂房截留颗粒物</w:t>
                  </w:r>
                </w:p>
              </w:tc>
              <w:tc>
                <w:tcPr>
                  <w:tcW w:w="527" w:type="pct"/>
                  <w:tcBorders>
                    <w:tl2br w:val="nil"/>
                    <w:tr2bl w:val="nil"/>
                  </w:tcBorders>
                  <w:vAlign w:val="center"/>
                </w:tcPr>
                <w:p w14:paraId="74235391">
                  <w:pPr>
                    <w:spacing w:line="240" w:lineRule="auto"/>
                    <w:ind w:firstLine="0" w:firstLineChars="0"/>
                    <w:jc w:val="center"/>
                    <w:rPr>
                      <w:color w:val="000000" w:themeColor="text1"/>
                      <w:sz w:val="21"/>
                      <w:szCs w:val="21"/>
                    </w:rPr>
                  </w:pPr>
                  <w:r>
                    <w:rPr>
                      <w:rFonts w:hint="eastAsia"/>
                      <w:color w:val="000000" w:themeColor="text1"/>
                      <w:sz w:val="21"/>
                      <w:szCs w:val="21"/>
                    </w:rPr>
                    <w:t>沉降粉尘</w:t>
                  </w:r>
                </w:p>
              </w:tc>
              <w:tc>
                <w:tcPr>
                  <w:tcW w:w="418" w:type="pct"/>
                  <w:tcBorders>
                    <w:tl2br w:val="nil"/>
                    <w:tr2bl w:val="nil"/>
                  </w:tcBorders>
                  <w:shd w:val="clear" w:color="auto" w:fill="auto"/>
                  <w:vAlign w:val="center"/>
                </w:tcPr>
                <w:p w14:paraId="5DEF661F">
                  <w:pPr>
                    <w:spacing w:line="240" w:lineRule="auto"/>
                    <w:ind w:firstLine="0" w:firstLineChars="0"/>
                    <w:jc w:val="center"/>
                    <w:rPr>
                      <w:color w:val="000000" w:themeColor="text1"/>
                      <w:sz w:val="21"/>
                      <w:szCs w:val="21"/>
                    </w:rPr>
                  </w:pPr>
                  <w:r>
                    <w:rPr>
                      <w:color w:val="000000" w:themeColor="text1"/>
                      <w:sz w:val="21"/>
                      <w:szCs w:val="21"/>
                    </w:rPr>
                    <w:t>/</w:t>
                  </w:r>
                </w:p>
              </w:tc>
              <w:tc>
                <w:tcPr>
                  <w:tcW w:w="269" w:type="pct"/>
                  <w:tcBorders>
                    <w:tl2br w:val="nil"/>
                    <w:tr2bl w:val="nil"/>
                  </w:tcBorders>
                  <w:shd w:val="clear" w:color="auto" w:fill="auto"/>
                  <w:vAlign w:val="center"/>
                </w:tcPr>
                <w:p w14:paraId="3BB73F35">
                  <w:pPr>
                    <w:spacing w:line="240" w:lineRule="auto"/>
                    <w:ind w:firstLine="0" w:firstLineChars="0"/>
                    <w:jc w:val="center"/>
                    <w:rPr>
                      <w:color w:val="000000" w:themeColor="text1"/>
                      <w:sz w:val="21"/>
                      <w:szCs w:val="21"/>
                    </w:rPr>
                  </w:pPr>
                  <w:r>
                    <w:rPr>
                      <w:color w:val="000000" w:themeColor="text1"/>
                      <w:sz w:val="21"/>
                      <w:szCs w:val="21"/>
                    </w:rPr>
                    <w:t>固体</w:t>
                  </w:r>
                </w:p>
              </w:tc>
              <w:tc>
                <w:tcPr>
                  <w:tcW w:w="280" w:type="pct"/>
                  <w:tcBorders>
                    <w:tl2br w:val="nil"/>
                    <w:tr2bl w:val="nil"/>
                  </w:tcBorders>
                  <w:shd w:val="clear" w:color="auto" w:fill="auto"/>
                  <w:vAlign w:val="center"/>
                </w:tcPr>
                <w:p w14:paraId="0C671F00">
                  <w:pPr>
                    <w:spacing w:line="240" w:lineRule="auto"/>
                    <w:ind w:firstLine="0" w:firstLineChars="0"/>
                    <w:jc w:val="center"/>
                    <w:rPr>
                      <w:color w:val="000000" w:themeColor="text1"/>
                      <w:sz w:val="21"/>
                      <w:szCs w:val="21"/>
                    </w:rPr>
                  </w:pPr>
                  <w:r>
                    <w:rPr>
                      <w:color w:val="000000" w:themeColor="text1"/>
                      <w:sz w:val="21"/>
                      <w:szCs w:val="21"/>
                    </w:rPr>
                    <w:t>/</w:t>
                  </w:r>
                </w:p>
              </w:tc>
              <w:tc>
                <w:tcPr>
                  <w:tcW w:w="332" w:type="pct"/>
                  <w:tcBorders>
                    <w:tl2br w:val="nil"/>
                    <w:tr2bl w:val="nil"/>
                  </w:tcBorders>
                  <w:vAlign w:val="center"/>
                </w:tcPr>
                <w:p w14:paraId="58E3D80D">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c>
                <w:tcPr>
                  <w:tcW w:w="544" w:type="pct"/>
                  <w:tcBorders>
                    <w:tl2br w:val="nil"/>
                    <w:tr2bl w:val="nil"/>
                  </w:tcBorders>
                  <w:vAlign w:val="center"/>
                </w:tcPr>
                <w:p w14:paraId="6E4D7F15">
                  <w:pPr>
                    <w:spacing w:line="240" w:lineRule="auto"/>
                    <w:ind w:firstLine="0" w:firstLineChars="0"/>
                    <w:jc w:val="center"/>
                    <w:rPr>
                      <w:color w:val="000000" w:themeColor="text1"/>
                      <w:sz w:val="21"/>
                      <w:szCs w:val="21"/>
                    </w:rPr>
                  </w:pPr>
                  <w:r>
                    <w:rPr>
                      <w:color w:val="000000" w:themeColor="text1"/>
                      <w:sz w:val="21"/>
                      <w:szCs w:val="21"/>
                    </w:rPr>
                    <w:t>900-099-S59</w:t>
                  </w:r>
                </w:p>
              </w:tc>
              <w:tc>
                <w:tcPr>
                  <w:tcW w:w="916" w:type="pct"/>
                  <w:tcBorders>
                    <w:tl2br w:val="nil"/>
                    <w:tr2bl w:val="nil"/>
                  </w:tcBorders>
                  <w:vAlign w:val="center"/>
                </w:tcPr>
                <w:p w14:paraId="4102B18D">
                  <w:pPr>
                    <w:spacing w:line="240" w:lineRule="auto"/>
                    <w:ind w:firstLine="0" w:firstLineChars="0"/>
                    <w:jc w:val="center"/>
                    <w:rPr>
                      <w:b/>
                      <w:bCs/>
                      <w:color w:val="000000" w:themeColor="text1"/>
                      <w:sz w:val="21"/>
                      <w:szCs w:val="21"/>
                    </w:rPr>
                  </w:pPr>
                  <w:r>
                    <w:rPr>
                      <w:rFonts w:hint="eastAsia"/>
                      <w:color w:val="000000" w:themeColor="text1"/>
                      <w:sz w:val="21"/>
                      <w:szCs w:val="21"/>
                    </w:rPr>
                    <w:t>定期清扫厂房地面，集中袋装收集，暂存于</w:t>
                  </w:r>
                  <w:r>
                    <w:rPr>
                      <w:rFonts w:hint="eastAsia"/>
                      <w:snapToGrid w:val="0"/>
                      <w:color w:val="000000" w:themeColor="text1"/>
                      <w:sz w:val="21"/>
                      <w:szCs w:val="21"/>
                    </w:rPr>
                    <w:t>一般固废储存区</w:t>
                  </w:r>
                </w:p>
              </w:tc>
              <w:tc>
                <w:tcPr>
                  <w:tcW w:w="859" w:type="pct"/>
                  <w:tcBorders>
                    <w:tl2br w:val="nil"/>
                    <w:tr2bl w:val="nil"/>
                  </w:tcBorders>
                  <w:shd w:val="clear" w:color="auto" w:fill="auto"/>
                  <w:vAlign w:val="center"/>
                </w:tcPr>
                <w:p w14:paraId="62A52523">
                  <w:pPr>
                    <w:pStyle w:val="66"/>
                    <w:spacing w:line="240" w:lineRule="auto"/>
                    <w:ind w:left="0" w:right="0" w:firstLine="0" w:firstLineChars="0"/>
                    <w:rPr>
                      <w:color w:val="000000" w:themeColor="text1"/>
                      <w:sz w:val="21"/>
                    </w:rPr>
                  </w:pPr>
                  <w:r>
                    <w:rPr>
                      <w:rFonts w:hint="eastAsia"/>
                      <w:color w:val="000000" w:themeColor="text1"/>
                      <w:sz w:val="21"/>
                    </w:rPr>
                    <w:t>定期外售物资回收公司回收利用</w:t>
                  </w:r>
                </w:p>
              </w:tc>
              <w:tc>
                <w:tcPr>
                  <w:tcW w:w="426" w:type="pct"/>
                  <w:tcBorders>
                    <w:tl2br w:val="nil"/>
                    <w:tr2bl w:val="nil"/>
                  </w:tcBorders>
                  <w:shd w:val="clear" w:color="auto" w:fill="auto"/>
                  <w:vAlign w:val="center"/>
                </w:tcPr>
                <w:p w14:paraId="77F7B7AA">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r>
          </w:tbl>
          <w:p w14:paraId="5061C393">
            <w:pPr>
              <w:pStyle w:val="15"/>
              <w:spacing w:after="0" w:line="360" w:lineRule="auto"/>
              <w:ind w:left="0" w:leftChars="0" w:right="0" w:rightChars="0" w:firstLine="0" w:firstLineChars="0"/>
              <w:rPr>
                <w:color w:val="000000" w:themeColor="text1"/>
              </w:rPr>
            </w:pPr>
          </w:p>
        </w:tc>
      </w:tr>
    </w:tbl>
    <w:p w14:paraId="44DC27DE">
      <w:pPr>
        <w:pStyle w:val="15"/>
        <w:ind w:left="1680" w:right="1680" w:firstLine="480"/>
        <w:rPr>
          <w:color w:val="000000" w:themeColor="text1"/>
        </w:rPr>
        <w:sectPr>
          <w:pgSz w:w="16838" w:h="11906" w:orient="landscape"/>
          <w:pgMar w:top="1417" w:right="1440" w:bottom="1247" w:left="1440" w:header="851" w:footer="992" w:gutter="0"/>
          <w:cols w:space="425" w:num="1"/>
          <w:docGrid w:type="lines" w:linePitch="312" w:charSpace="0"/>
        </w:sectPr>
      </w:pPr>
    </w:p>
    <w:tbl>
      <w:tblPr>
        <w:tblStyle w:val="2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311"/>
      </w:tblGrid>
      <w:tr w14:paraId="4F207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2" w:hRule="atLeast"/>
          <w:jc w:val="center"/>
        </w:trPr>
        <w:tc>
          <w:tcPr>
            <w:tcW w:w="760" w:type="dxa"/>
            <w:tcBorders>
              <w:tl2br w:val="nil"/>
              <w:tr2bl w:val="nil"/>
            </w:tcBorders>
          </w:tcPr>
          <w:p w14:paraId="310EA6BC">
            <w:pPr>
              <w:ind w:firstLine="480"/>
              <w:rPr>
                <w:color w:val="000000" w:themeColor="text1"/>
              </w:rPr>
            </w:pPr>
          </w:p>
        </w:tc>
        <w:tc>
          <w:tcPr>
            <w:tcW w:w="8311" w:type="dxa"/>
            <w:tcBorders>
              <w:tl2br w:val="nil"/>
              <w:tr2bl w:val="nil"/>
            </w:tcBorders>
          </w:tcPr>
          <w:p w14:paraId="65F80607">
            <w:pPr>
              <w:spacing w:line="360" w:lineRule="auto"/>
              <w:ind w:firstLine="482"/>
              <w:rPr>
                <w:b/>
                <w:bCs/>
                <w:color w:val="000000" w:themeColor="text1"/>
              </w:rPr>
            </w:pPr>
            <w:r>
              <w:rPr>
                <w:rFonts w:hint="eastAsia"/>
                <w:b/>
                <w:bCs/>
                <w:color w:val="000000" w:themeColor="text1"/>
              </w:rPr>
              <w:t>4.1.2一般工业固体废物管理措施</w:t>
            </w:r>
          </w:p>
          <w:p w14:paraId="4AE86396">
            <w:pPr>
              <w:spacing w:line="360" w:lineRule="auto"/>
              <w:ind w:firstLine="480"/>
              <w:rPr>
                <w:color w:val="000000" w:themeColor="text1"/>
                <w:szCs w:val="21"/>
              </w:rPr>
            </w:pPr>
            <w:r>
              <w:rPr>
                <w:rFonts w:hint="eastAsia"/>
                <w:color w:val="000000" w:themeColor="text1"/>
              </w:rPr>
              <w:t>（1）本项目厂房内南侧设置</w:t>
            </w:r>
            <w:r>
              <w:rPr>
                <w:rFonts w:hint="eastAsia"/>
                <w:color w:val="000000" w:themeColor="text1"/>
                <w:szCs w:val="21"/>
              </w:rPr>
              <w:t>24m</w:t>
            </w:r>
            <w:r>
              <w:rPr>
                <w:rFonts w:hint="eastAsia"/>
                <w:color w:val="000000" w:themeColor="text1"/>
                <w:szCs w:val="21"/>
                <w:vertAlign w:val="superscript"/>
              </w:rPr>
              <w:t>2</w:t>
            </w:r>
            <w:r>
              <w:rPr>
                <w:rFonts w:hint="eastAsia"/>
                <w:color w:val="000000" w:themeColor="text1"/>
                <w:szCs w:val="21"/>
              </w:rPr>
              <w:t>的一般固废储存区</w:t>
            </w:r>
            <w:r>
              <w:rPr>
                <w:color w:val="000000" w:themeColor="text1"/>
                <w:szCs w:val="21"/>
              </w:rPr>
              <w:t>，</w:t>
            </w:r>
            <w:r>
              <w:rPr>
                <w:rFonts w:hint="eastAsia"/>
                <w:color w:val="000000" w:themeColor="text1"/>
                <w:szCs w:val="21"/>
              </w:rPr>
              <w:t>一般固废储存区</w:t>
            </w:r>
            <w:r>
              <w:rPr>
                <w:color w:val="000000" w:themeColor="text1"/>
                <w:szCs w:val="21"/>
              </w:rPr>
              <w:t>地面采取硬化处理措施，采用抗渗混凝土</w:t>
            </w:r>
            <w:r>
              <w:rPr>
                <w:rFonts w:hint="eastAsia"/>
                <w:color w:val="000000" w:themeColor="text1"/>
                <w:szCs w:val="21"/>
              </w:rPr>
              <w:t>浇筑，涂敷3层环氧树脂，2层玻璃布进行防腐防渗</w:t>
            </w:r>
            <w:r>
              <w:rPr>
                <w:color w:val="000000" w:themeColor="text1"/>
                <w:szCs w:val="21"/>
              </w:rPr>
              <w:t>，渗透系数≤1.0×10</w:t>
            </w:r>
            <w:r>
              <w:rPr>
                <w:color w:val="000000" w:themeColor="text1"/>
                <w:szCs w:val="21"/>
                <w:vertAlign w:val="superscript"/>
              </w:rPr>
              <w:t>-7</w:t>
            </w:r>
            <w:r>
              <w:rPr>
                <w:color w:val="000000" w:themeColor="text1"/>
                <w:szCs w:val="21"/>
              </w:rPr>
              <w:t>cm/s。</w:t>
            </w:r>
            <w:r>
              <w:rPr>
                <w:rFonts w:hint="eastAsia"/>
                <w:color w:val="000000" w:themeColor="text1"/>
                <w:szCs w:val="21"/>
              </w:rPr>
              <w:t>本项目一般工业固体废物采用包装工具（桶、包装袋等）收集，暂存于一般固废储存区，贮存过程满足相应防流失、防渗漏、防雨淋、防扬尘等环境保护要求。不得擅自倾倒、堆放、丢弃、遗撒固体废物。</w:t>
            </w:r>
          </w:p>
          <w:p w14:paraId="38B4A413">
            <w:pPr>
              <w:spacing w:line="360" w:lineRule="auto"/>
              <w:ind w:firstLine="480"/>
              <w:rPr>
                <w:color w:val="000000" w:themeColor="text1"/>
              </w:rPr>
            </w:pPr>
            <w:r>
              <w:rPr>
                <w:rFonts w:hint="eastAsia"/>
                <w:color w:val="000000" w:themeColor="text1"/>
              </w:rPr>
              <w:t>（2）危险废物和生活垃圾不得进入一般工业固体废物贮存场及填埋场。</w:t>
            </w:r>
          </w:p>
          <w:p w14:paraId="19EF701C">
            <w:pPr>
              <w:spacing w:line="360" w:lineRule="auto"/>
              <w:ind w:firstLine="480"/>
              <w:rPr>
                <w:color w:val="000000" w:themeColor="text1"/>
              </w:rPr>
            </w:pPr>
            <w:r>
              <w:rPr>
                <w:rFonts w:hint="eastAsia"/>
                <w:color w:val="000000" w:themeColor="text1"/>
              </w:rPr>
              <w:t>（3）不相容的一般工业固体废物设置不同的分区进行贮存。</w:t>
            </w:r>
          </w:p>
          <w:p w14:paraId="73A91DA9">
            <w:pPr>
              <w:spacing w:line="360" w:lineRule="auto"/>
              <w:ind w:firstLine="480"/>
              <w:rPr>
                <w:color w:val="000000" w:themeColor="text1"/>
              </w:rPr>
            </w:pPr>
            <w:r>
              <w:rPr>
                <w:rFonts w:hint="eastAsia"/>
                <w:color w:val="000000" w:themeColor="text1"/>
              </w:rPr>
              <w:t>（4）贮存场设置清晰、完整的一般工业固体废物标志牌等。</w:t>
            </w:r>
          </w:p>
          <w:p w14:paraId="4D36CDE2">
            <w:pPr>
              <w:spacing w:line="360" w:lineRule="auto"/>
              <w:ind w:firstLine="480"/>
              <w:rPr>
                <w:color w:val="000000" w:themeColor="text1"/>
              </w:rPr>
            </w:pPr>
            <w:r>
              <w:rPr>
                <w:rFonts w:hint="eastAsia"/>
                <w:color w:val="000000" w:themeColor="text1"/>
              </w:rPr>
              <w:t>（5）排污单位生产运营期间一般工业固体废物自行贮存/利用/处置设施的环境管理和相关设施运行维护要求还应符合GB15562.2、GB18599、GB30485 和HJ2035等相关标准规范要求。</w:t>
            </w:r>
          </w:p>
          <w:p w14:paraId="500396FA">
            <w:pPr>
              <w:spacing w:line="360" w:lineRule="auto"/>
              <w:ind w:firstLine="480"/>
              <w:rPr>
                <w:color w:val="000000" w:themeColor="text1"/>
              </w:rPr>
            </w:pPr>
            <w:r>
              <w:rPr>
                <w:rFonts w:hint="eastAsia"/>
                <w:color w:val="000000" w:themeColor="text1"/>
              </w:rPr>
              <w:t>（6）布袋除尘器、旋风除尘器清灰时采用密闭清灰方式，保证除尘灰不落地。</w:t>
            </w:r>
          </w:p>
          <w:p w14:paraId="3791985E">
            <w:pPr>
              <w:spacing w:line="360" w:lineRule="auto"/>
              <w:ind w:firstLine="482"/>
              <w:rPr>
                <w:b/>
                <w:bCs/>
                <w:color w:val="000000" w:themeColor="text1"/>
              </w:rPr>
            </w:pPr>
            <w:r>
              <w:rPr>
                <w:rFonts w:hint="eastAsia"/>
                <w:b/>
                <w:bCs/>
                <w:color w:val="000000" w:themeColor="text1"/>
              </w:rPr>
              <w:t>4.1.3一般工业固体废物台账管理要求</w:t>
            </w:r>
          </w:p>
          <w:p w14:paraId="5E4F582B">
            <w:pPr>
              <w:spacing w:line="360" w:lineRule="auto"/>
              <w:ind w:firstLine="480"/>
              <w:rPr>
                <w:color w:val="000000" w:themeColor="text1"/>
              </w:rPr>
            </w:pPr>
            <w:r>
              <w:rPr>
                <w:rFonts w:hint="eastAsia"/>
                <w:color w:val="000000" w:themeColor="text1"/>
              </w:rPr>
              <w:t>（1）一般工业固体废物</w:t>
            </w:r>
            <w:r>
              <w:rPr>
                <w:rFonts w:hint="eastAsia"/>
                <w:color w:val="000000" w:themeColor="text1"/>
                <w:lang w:eastAsia="zh-CN"/>
              </w:rPr>
              <w:t>管理台账</w:t>
            </w:r>
            <w:r>
              <w:rPr>
                <w:rFonts w:hint="eastAsia"/>
                <w:color w:val="000000" w:themeColor="text1"/>
              </w:rPr>
              <w:t>实施分级管理，主要用于记录固体废物 的基础信息及流向信息，固体废物的产生、贮存、利用、处置数量和利用、处 置方式等信息，按批次记录每一批次固体废物的出厂以及转移信息。具体要求 参见《一般工业固体废物管理台账制定指南》（试行）（公告2021年第82号）。</w:t>
            </w:r>
          </w:p>
          <w:p w14:paraId="0AE95C1C">
            <w:pPr>
              <w:spacing w:line="360" w:lineRule="auto"/>
              <w:ind w:firstLine="480"/>
              <w:rPr>
                <w:color w:val="000000" w:themeColor="text1"/>
              </w:rPr>
            </w:pPr>
            <w:r>
              <w:rPr>
                <w:rFonts w:hint="eastAsia"/>
                <w:color w:val="000000" w:themeColor="text1"/>
              </w:rPr>
              <w:t>（2）产废单位填写台账记录表时，应当根据自身固体废物产生情况，并根据固体废物种类确定固体废物的具体名称。</w:t>
            </w:r>
          </w:p>
          <w:p w14:paraId="520E45CF">
            <w:pPr>
              <w:spacing w:line="360" w:lineRule="auto"/>
              <w:ind w:firstLine="480"/>
              <w:rPr>
                <w:color w:val="000000" w:themeColor="text1"/>
              </w:rPr>
            </w:pPr>
            <w:r>
              <w:rPr>
                <w:rFonts w:hint="eastAsia"/>
                <w:color w:val="000000" w:themeColor="text1"/>
              </w:rPr>
              <w:t>（3）台账记录表各表单的负责人对记录信息的真实性、完整性和规范性 负责。</w:t>
            </w:r>
          </w:p>
          <w:p w14:paraId="426A668D">
            <w:pPr>
              <w:spacing w:line="360" w:lineRule="auto"/>
              <w:ind w:firstLine="480"/>
              <w:rPr>
                <w:color w:val="000000" w:themeColor="text1"/>
              </w:rPr>
            </w:pPr>
            <w:r>
              <w:rPr>
                <w:rFonts w:hint="eastAsia"/>
                <w:color w:val="000000" w:themeColor="text1"/>
              </w:rPr>
              <w:t>（4）产废单位应当设立专人负责台账的管理与归档，一般工业固体废物 管理台账保存期限不少于5年。</w:t>
            </w:r>
          </w:p>
          <w:p w14:paraId="6CD4F7F3">
            <w:pPr>
              <w:spacing w:line="360" w:lineRule="auto"/>
              <w:ind w:firstLine="482"/>
              <w:rPr>
                <w:b/>
                <w:bCs/>
                <w:color w:val="000000" w:themeColor="text1"/>
                <w:sz w:val="21"/>
                <w:szCs w:val="21"/>
              </w:rPr>
            </w:pPr>
            <w:r>
              <w:rPr>
                <w:rFonts w:hint="eastAsia"/>
                <w:b/>
                <w:bCs/>
                <w:color w:val="000000" w:themeColor="text1"/>
              </w:rPr>
              <w:t>4.2生活垃圾</w:t>
            </w:r>
          </w:p>
          <w:p w14:paraId="57D2A412">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职工生活产生的生活垃圾主要为废纸、废塑料袋等，</w:t>
            </w:r>
            <w:r>
              <w:rPr>
                <w:rFonts w:hint="eastAsia" w:ascii="Times New Roman" w:hAnsi="Times New Roman" w:cs="Times New Roman"/>
                <w:color w:val="000000" w:themeColor="text1"/>
                <w:sz w:val="24"/>
                <w:szCs w:val="24"/>
                <w:lang w:eastAsia="zh-CN"/>
              </w:rPr>
              <w:t>废物代码：900-001-S62、900-002-S62。</w:t>
            </w:r>
          </w:p>
          <w:p w14:paraId="4593F71B">
            <w:pPr>
              <w:pStyle w:val="65"/>
              <w:spacing w:line="360" w:lineRule="auto"/>
              <w:ind w:firstLine="48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eastAsia="zh-CN"/>
              </w:rPr>
              <w:t>生活垃圾产生量按0.5kg/人·d，劳动定员</w:t>
            </w:r>
            <w:r>
              <w:rPr>
                <w:rFonts w:hint="eastAsia" w:ascii="Times New Roman" w:hAnsi="Times New Roman" w:cs="Times New Roman"/>
                <w:color w:val="000000" w:themeColor="text1"/>
                <w:sz w:val="24"/>
                <w:szCs w:val="24"/>
                <w:lang w:eastAsia="zh-CN"/>
              </w:rPr>
              <w:t>6</w:t>
            </w:r>
            <w:r>
              <w:rPr>
                <w:rFonts w:ascii="Times New Roman" w:hAnsi="Times New Roman" w:cs="Times New Roman"/>
                <w:color w:val="000000" w:themeColor="text1"/>
                <w:sz w:val="24"/>
                <w:szCs w:val="24"/>
                <w:lang w:eastAsia="zh-CN"/>
              </w:rPr>
              <w:t>人，</w:t>
            </w:r>
            <w:r>
              <w:rPr>
                <w:rFonts w:hint="eastAsia" w:ascii="Times New Roman" w:hAnsi="Times New Roman" w:cs="Times New Roman"/>
                <w:color w:val="000000" w:themeColor="text1"/>
                <w:sz w:val="24"/>
                <w:szCs w:val="24"/>
                <w:lang w:eastAsia="zh-CN"/>
              </w:rPr>
              <w:t>年生产300d，</w:t>
            </w:r>
            <w:r>
              <w:rPr>
                <w:rFonts w:ascii="Times New Roman" w:hAnsi="Times New Roman" w:cs="Times New Roman"/>
                <w:color w:val="000000" w:themeColor="text1"/>
                <w:sz w:val="24"/>
                <w:szCs w:val="24"/>
                <w:lang w:eastAsia="zh-CN"/>
              </w:rPr>
              <w:t>则本项目生活垃圾产生量为</w:t>
            </w:r>
            <w:r>
              <w:rPr>
                <w:rFonts w:hint="eastAsia" w:ascii="Times New Roman" w:hAnsi="Times New Roman" w:cs="Times New Roman"/>
                <w:color w:val="000000" w:themeColor="text1"/>
                <w:sz w:val="24"/>
                <w:szCs w:val="24"/>
                <w:lang w:eastAsia="zh-CN"/>
              </w:rPr>
              <w:t>0.9t</w:t>
            </w:r>
            <w:r>
              <w:rPr>
                <w:rFonts w:ascii="Times New Roman" w:hAnsi="Times New Roman" w:cs="Times New Roman"/>
                <w:color w:val="000000" w:themeColor="text1"/>
                <w:sz w:val="24"/>
                <w:szCs w:val="24"/>
                <w:lang w:eastAsia="zh-CN"/>
              </w:rPr>
              <w:t>/a，集中袋装收集，由当地环卫部门统一处理。</w:t>
            </w:r>
          </w:p>
          <w:p w14:paraId="7FFD7153">
            <w:pPr>
              <w:spacing w:line="360" w:lineRule="auto"/>
              <w:ind w:firstLine="482"/>
              <w:rPr>
                <w:b/>
                <w:bCs/>
                <w:color w:val="000000" w:themeColor="text1"/>
              </w:rPr>
            </w:pPr>
            <w:r>
              <w:rPr>
                <w:rFonts w:hint="eastAsia"/>
                <w:b/>
                <w:bCs/>
                <w:color w:val="000000" w:themeColor="text1"/>
              </w:rPr>
              <w:t>4.3危险废物</w:t>
            </w:r>
          </w:p>
          <w:p w14:paraId="2C65527D">
            <w:pPr>
              <w:ind w:firstLine="482"/>
              <w:rPr>
                <w:b/>
                <w:bCs/>
                <w:color w:val="000000" w:themeColor="text1"/>
              </w:rPr>
            </w:pPr>
            <w:r>
              <w:rPr>
                <w:rFonts w:hint="eastAsia"/>
                <w:b/>
                <w:bCs/>
                <w:color w:val="000000" w:themeColor="text1"/>
              </w:rPr>
              <w:t>4.3.1 危险废物基本情况</w:t>
            </w:r>
          </w:p>
          <w:p w14:paraId="280237DA">
            <w:pPr>
              <w:ind w:firstLine="480"/>
              <w:rPr>
                <w:color w:val="000000" w:themeColor="text1"/>
              </w:rPr>
            </w:pPr>
            <w:r>
              <w:rPr>
                <w:rFonts w:hint="eastAsia"/>
                <w:color w:val="000000" w:themeColor="text1"/>
              </w:rPr>
              <w:t>本项目产生的危险废物为</w:t>
            </w:r>
            <w:r>
              <w:rPr>
                <w:color w:val="000000" w:themeColor="text1"/>
              </w:rPr>
              <w:t>设备维护</w:t>
            </w:r>
            <w:r>
              <w:rPr>
                <w:rFonts w:hint="eastAsia"/>
                <w:color w:val="000000" w:themeColor="text1"/>
              </w:rPr>
              <w:t>和</w:t>
            </w:r>
            <w:r>
              <w:rPr>
                <w:color w:val="000000" w:themeColor="text1"/>
              </w:rPr>
              <w:t>保养产生的</w:t>
            </w:r>
            <w:r>
              <w:rPr>
                <w:rFonts w:hint="eastAsia"/>
                <w:color w:val="000000" w:themeColor="text1"/>
              </w:rPr>
              <w:t>废液压油、废机油、</w:t>
            </w:r>
            <w:r>
              <w:rPr>
                <w:color w:val="000000" w:themeColor="text1"/>
              </w:rPr>
              <w:t>废润滑油、废油桶</w:t>
            </w:r>
            <w:r>
              <w:rPr>
                <w:rFonts w:hint="eastAsia"/>
                <w:color w:val="000000" w:themeColor="text1"/>
              </w:rPr>
              <w:t>。</w:t>
            </w:r>
          </w:p>
          <w:p w14:paraId="699730A3">
            <w:pPr>
              <w:ind w:firstLine="480"/>
              <w:rPr>
                <w:color w:val="000000" w:themeColor="text1"/>
              </w:rPr>
            </w:pPr>
            <w:r>
              <w:rPr>
                <w:color w:val="000000" w:themeColor="text1"/>
              </w:rPr>
              <w:t>根据《国家危险废物名录</w:t>
            </w:r>
            <w:r>
              <w:rPr>
                <w:rFonts w:hint="eastAsia"/>
                <w:color w:val="000000" w:themeColor="text1"/>
              </w:rPr>
              <w:t>（2025年版）</w:t>
            </w:r>
            <w:r>
              <w:rPr>
                <w:color w:val="000000" w:themeColor="text1"/>
              </w:rPr>
              <w:t>》中的规定</w:t>
            </w:r>
            <w:r>
              <w:rPr>
                <w:rFonts w:hint="eastAsia"/>
                <w:color w:val="000000" w:themeColor="text1"/>
              </w:rPr>
              <w:t>，本项目危险废物类别、代码、产生量及收集、处置方式见下表。</w:t>
            </w:r>
          </w:p>
          <w:p w14:paraId="6DAB22E3">
            <w:pPr>
              <w:adjustRightInd w:val="0"/>
              <w:snapToGrid w:val="0"/>
              <w:ind w:firstLine="0" w:firstLineChars="0"/>
              <w:jc w:val="center"/>
              <w:rPr>
                <w:b/>
                <w:bCs/>
                <w:color w:val="000000" w:themeColor="text1"/>
                <w:sz w:val="21"/>
                <w:szCs w:val="21"/>
              </w:rPr>
            </w:pPr>
            <w:r>
              <w:rPr>
                <w:b/>
                <w:bCs/>
                <w:color w:val="000000" w:themeColor="text1"/>
                <w:sz w:val="21"/>
                <w:szCs w:val="21"/>
                <w:lang w:val="zh-CN"/>
              </w:rPr>
              <w:t>表</w:t>
            </w:r>
            <w:r>
              <w:rPr>
                <w:rFonts w:hint="eastAsia"/>
                <w:b/>
                <w:bCs/>
                <w:color w:val="000000" w:themeColor="text1"/>
                <w:sz w:val="21"/>
                <w:szCs w:val="21"/>
              </w:rPr>
              <w:t>52</w:t>
            </w:r>
            <w:r>
              <w:rPr>
                <w:b/>
                <w:bCs/>
                <w:color w:val="000000" w:themeColor="text1"/>
                <w:sz w:val="21"/>
                <w:szCs w:val="21"/>
                <w:lang w:val="zh-CN"/>
              </w:rPr>
              <w:t xml:space="preserve"> </w:t>
            </w:r>
            <w:r>
              <w:rPr>
                <w:b/>
                <w:bCs/>
                <w:color w:val="000000" w:themeColor="text1"/>
                <w:sz w:val="21"/>
                <w:szCs w:val="21"/>
              </w:rPr>
              <w:t xml:space="preserve"> </w:t>
            </w:r>
            <w:r>
              <w:rPr>
                <w:rFonts w:hint="eastAsia"/>
                <w:b/>
                <w:bCs/>
                <w:color w:val="000000" w:themeColor="text1"/>
                <w:sz w:val="21"/>
                <w:szCs w:val="21"/>
              </w:rPr>
              <w:t>本项目危险废物污染源及治理措施</w:t>
            </w:r>
            <w:r>
              <w:rPr>
                <w:rFonts w:hint="eastAsia"/>
                <w:b/>
                <w:bCs/>
                <w:color w:val="000000" w:themeColor="text1"/>
                <w:sz w:val="21"/>
                <w:szCs w:val="21"/>
                <w:lang w:val="zh-CN"/>
              </w:rPr>
              <w:t>一览</w:t>
            </w:r>
            <w:r>
              <w:rPr>
                <w:b/>
                <w:bCs/>
                <w:color w:val="000000" w:themeColor="text1"/>
                <w:sz w:val="21"/>
                <w:szCs w:val="21"/>
                <w:lang w:val="zh-CN"/>
              </w:rPr>
              <w:t>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60"/>
              <w:gridCol w:w="668"/>
              <w:gridCol w:w="672"/>
              <w:gridCol w:w="646"/>
              <w:gridCol w:w="660"/>
              <w:gridCol w:w="420"/>
              <w:gridCol w:w="659"/>
              <w:gridCol w:w="614"/>
              <w:gridCol w:w="706"/>
              <w:gridCol w:w="590"/>
              <w:gridCol w:w="1344"/>
            </w:tblGrid>
            <w:tr w14:paraId="78E57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0DB1CEC6">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序号</w:t>
                  </w:r>
                </w:p>
              </w:tc>
              <w:tc>
                <w:tcPr>
                  <w:tcW w:w="409" w:type="pct"/>
                  <w:tcBorders>
                    <w:tl2br w:val="nil"/>
                    <w:tr2bl w:val="nil"/>
                  </w:tcBorders>
                  <w:vAlign w:val="center"/>
                </w:tcPr>
                <w:p w14:paraId="519CF652">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危险废物名称</w:t>
                  </w:r>
                </w:p>
              </w:tc>
              <w:tc>
                <w:tcPr>
                  <w:tcW w:w="414" w:type="pct"/>
                  <w:tcBorders>
                    <w:tl2br w:val="nil"/>
                    <w:tr2bl w:val="nil"/>
                  </w:tcBorders>
                  <w:vAlign w:val="center"/>
                </w:tcPr>
                <w:p w14:paraId="1FA7859E">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危险废物类别</w:t>
                  </w:r>
                </w:p>
              </w:tc>
              <w:tc>
                <w:tcPr>
                  <w:tcW w:w="416" w:type="pct"/>
                  <w:tcBorders>
                    <w:tl2br w:val="nil"/>
                    <w:tr2bl w:val="nil"/>
                  </w:tcBorders>
                  <w:vAlign w:val="center"/>
                </w:tcPr>
                <w:p w14:paraId="2939BA77">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危险废物代码</w:t>
                  </w:r>
                </w:p>
              </w:tc>
              <w:tc>
                <w:tcPr>
                  <w:tcW w:w="400" w:type="pct"/>
                  <w:tcBorders>
                    <w:tl2br w:val="nil"/>
                    <w:tr2bl w:val="nil"/>
                  </w:tcBorders>
                  <w:vAlign w:val="center"/>
                </w:tcPr>
                <w:p w14:paraId="42F5848D">
                  <w:pPr>
                    <w:spacing w:line="240" w:lineRule="auto"/>
                    <w:ind w:firstLine="0" w:firstLineChars="0"/>
                    <w:jc w:val="center"/>
                    <w:rPr>
                      <w:b/>
                      <w:bCs/>
                      <w:color w:val="000000" w:themeColor="text1"/>
                      <w:sz w:val="21"/>
                      <w:szCs w:val="21"/>
                    </w:rPr>
                  </w:pPr>
                  <w:r>
                    <w:rPr>
                      <w:b/>
                      <w:bCs/>
                      <w:color w:val="000000" w:themeColor="text1"/>
                      <w:sz w:val="21"/>
                      <w:szCs w:val="21"/>
                    </w:rPr>
                    <w:t>产生量t/a</w:t>
                  </w:r>
                </w:p>
              </w:tc>
              <w:tc>
                <w:tcPr>
                  <w:tcW w:w="409" w:type="pct"/>
                  <w:tcBorders>
                    <w:tl2br w:val="nil"/>
                    <w:tr2bl w:val="nil"/>
                  </w:tcBorders>
                  <w:vAlign w:val="center"/>
                </w:tcPr>
                <w:p w14:paraId="7BF39981">
                  <w:pPr>
                    <w:topLinePunct/>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rPr>
                    <w:t>产生工序及装置</w:t>
                  </w:r>
                </w:p>
              </w:tc>
              <w:tc>
                <w:tcPr>
                  <w:tcW w:w="260" w:type="pct"/>
                  <w:tcBorders>
                    <w:tl2br w:val="nil"/>
                    <w:tr2bl w:val="nil"/>
                  </w:tcBorders>
                  <w:vAlign w:val="center"/>
                </w:tcPr>
                <w:p w14:paraId="107B4825">
                  <w:pPr>
                    <w:spacing w:line="240" w:lineRule="auto"/>
                    <w:ind w:firstLine="0" w:firstLineChars="0"/>
                    <w:jc w:val="center"/>
                    <w:rPr>
                      <w:b/>
                      <w:bCs/>
                      <w:color w:val="000000" w:themeColor="text1"/>
                      <w:sz w:val="21"/>
                      <w:szCs w:val="21"/>
                    </w:rPr>
                  </w:pPr>
                  <w:r>
                    <w:rPr>
                      <w:rFonts w:hint="eastAsia"/>
                      <w:b/>
                      <w:bCs/>
                      <w:color w:val="000000" w:themeColor="text1"/>
                      <w:sz w:val="21"/>
                      <w:szCs w:val="21"/>
                    </w:rPr>
                    <w:t>形态</w:t>
                  </w:r>
                </w:p>
              </w:tc>
              <w:tc>
                <w:tcPr>
                  <w:tcW w:w="409" w:type="pct"/>
                  <w:tcBorders>
                    <w:tl2br w:val="nil"/>
                    <w:tr2bl w:val="nil"/>
                  </w:tcBorders>
                  <w:vAlign w:val="center"/>
                </w:tcPr>
                <w:p w14:paraId="575A5BB4">
                  <w:pPr>
                    <w:spacing w:line="240" w:lineRule="auto"/>
                    <w:ind w:firstLine="0" w:firstLineChars="0"/>
                    <w:jc w:val="center"/>
                    <w:rPr>
                      <w:b/>
                      <w:bCs/>
                      <w:color w:val="000000" w:themeColor="text1"/>
                      <w:sz w:val="21"/>
                      <w:szCs w:val="21"/>
                    </w:rPr>
                  </w:pPr>
                  <w:r>
                    <w:rPr>
                      <w:b/>
                      <w:bCs/>
                      <w:color w:val="000000" w:themeColor="text1"/>
                      <w:sz w:val="21"/>
                      <w:szCs w:val="21"/>
                    </w:rPr>
                    <w:t>主要</w:t>
                  </w:r>
                  <w:r>
                    <w:rPr>
                      <w:rFonts w:hint="eastAsia"/>
                      <w:b/>
                      <w:bCs/>
                      <w:color w:val="000000" w:themeColor="text1"/>
                      <w:sz w:val="21"/>
                      <w:szCs w:val="21"/>
                    </w:rPr>
                    <w:t>成分</w:t>
                  </w:r>
                </w:p>
              </w:tc>
              <w:tc>
                <w:tcPr>
                  <w:tcW w:w="381" w:type="pct"/>
                  <w:tcBorders>
                    <w:tl2br w:val="nil"/>
                    <w:tr2bl w:val="nil"/>
                  </w:tcBorders>
                  <w:vAlign w:val="center"/>
                </w:tcPr>
                <w:p w14:paraId="4B8F8507">
                  <w:pPr>
                    <w:spacing w:line="240" w:lineRule="auto"/>
                    <w:ind w:firstLine="0" w:firstLineChars="0"/>
                    <w:jc w:val="center"/>
                    <w:rPr>
                      <w:b/>
                      <w:bCs/>
                      <w:color w:val="000000" w:themeColor="text1"/>
                      <w:sz w:val="21"/>
                      <w:szCs w:val="21"/>
                    </w:rPr>
                  </w:pPr>
                  <w:r>
                    <w:rPr>
                      <w:rFonts w:hint="eastAsia"/>
                      <w:b/>
                      <w:bCs/>
                      <w:color w:val="000000" w:themeColor="text1"/>
                      <w:sz w:val="21"/>
                      <w:szCs w:val="21"/>
                    </w:rPr>
                    <w:t>有害成分</w:t>
                  </w:r>
                </w:p>
              </w:tc>
              <w:tc>
                <w:tcPr>
                  <w:tcW w:w="438" w:type="pct"/>
                  <w:tcBorders>
                    <w:tl2br w:val="nil"/>
                    <w:tr2bl w:val="nil"/>
                  </w:tcBorders>
                  <w:vAlign w:val="center"/>
                </w:tcPr>
                <w:p w14:paraId="527F87A7">
                  <w:pPr>
                    <w:spacing w:line="240" w:lineRule="auto"/>
                    <w:ind w:firstLine="0" w:firstLineChars="0"/>
                    <w:jc w:val="center"/>
                    <w:rPr>
                      <w:b/>
                      <w:bCs/>
                      <w:color w:val="000000" w:themeColor="text1"/>
                      <w:sz w:val="21"/>
                      <w:szCs w:val="21"/>
                    </w:rPr>
                  </w:pPr>
                  <w:r>
                    <w:rPr>
                      <w:rFonts w:hint="eastAsia"/>
                      <w:b/>
                      <w:bCs/>
                      <w:color w:val="000000" w:themeColor="text1"/>
                      <w:sz w:val="21"/>
                      <w:szCs w:val="21"/>
                    </w:rPr>
                    <w:t>产废周期</w:t>
                  </w:r>
                </w:p>
              </w:tc>
              <w:tc>
                <w:tcPr>
                  <w:tcW w:w="366" w:type="pct"/>
                  <w:tcBorders>
                    <w:tl2br w:val="nil"/>
                    <w:tr2bl w:val="nil"/>
                  </w:tcBorders>
                  <w:vAlign w:val="center"/>
                </w:tcPr>
                <w:p w14:paraId="4A93C373">
                  <w:pPr>
                    <w:spacing w:line="240" w:lineRule="auto"/>
                    <w:ind w:firstLine="0" w:firstLineChars="0"/>
                    <w:jc w:val="center"/>
                    <w:rPr>
                      <w:b/>
                      <w:bCs/>
                      <w:color w:val="000000" w:themeColor="text1"/>
                      <w:sz w:val="21"/>
                      <w:szCs w:val="21"/>
                    </w:rPr>
                  </w:pPr>
                  <w:r>
                    <w:rPr>
                      <w:b/>
                      <w:bCs/>
                      <w:color w:val="000000" w:themeColor="text1"/>
                      <w:sz w:val="21"/>
                      <w:szCs w:val="21"/>
                    </w:rPr>
                    <w:t>危害特性</w:t>
                  </w:r>
                </w:p>
              </w:tc>
              <w:tc>
                <w:tcPr>
                  <w:tcW w:w="833" w:type="pct"/>
                  <w:tcBorders>
                    <w:tl2br w:val="nil"/>
                    <w:tr2bl w:val="nil"/>
                  </w:tcBorders>
                  <w:vAlign w:val="center"/>
                </w:tcPr>
                <w:p w14:paraId="3F2C4D28">
                  <w:pPr>
                    <w:spacing w:line="240" w:lineRule="auto"/>
                    <w:ind w:firstLine="0" w:firstLineChars="0"/>
                    <w:jc w:val="center"/>
                    <w:rPr>
                      <w:b/>
                      <w:bCs/>
                      <w:color w:val="000000" w:themeColor="text1"/>
                      <w:sz w:val="21"/>
                      <w:szCs w:val="21"/>
                    </w:rPr>
                  </w:pPr>
                  <w:r>
                    <w:rPr>
                      <w:rFonts w:hint="eastAsia"/>
                      <w:b/>
                      <w:bCs/>
                      <w:color w:val="000000" w:themeColor="text1"/>
                      <w:sz w:val="21"/>
                      <w:szCs w:val="21"/>
                    </w:rPr>
                    <w:t>污染防治措施</w:t>
                  </w:r>
                </w:p>
              </w:tc>
            </w:tr>
            <w:tr w14:paraId="578DA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1991B042">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409" w:type="pct"/>
                  <w:tcBorders>
                    <w:tl2br w:val="nil"/>
                    <w:tr2bl w:val="nil"/>
                  </w:tcBorders>
                  <w:vAlign w:val="center"/>
                </w:tcPr>
                <w:p w14:paraId="2E5A91C6">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414" w:type="pct"/>
                  <w:vMerge w:val="restart"/>
                  <w:tcBorders>
                    <w:tl2br w:val="nil"/>
                    <w:tr2bl w:val="nil"/>
                  </w:tcBorders>
                  <w:vAlign w:val="center"/>
                </w:tcPr>
                <w:p w14:paraId="156CFAB8">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HW08废矿物油与含矿物油废物</w:t>
                  </w:r>
                </w:p>
              </w:tc>
              <w:tc>
                <w:tcPr>
                  <w:tcW w:w="416" w:type="pct"/>
                  <w:tcBorders>
                    <w:tl2br w:val="nil"/>
                    <w:tr2bl w:val="nil"/>
                  </w:tcBorders>
                  <w:shd w:val="clear" w:color="auto" w:fill="auto"/>
                  <w:vAlign w:val="center"/>
                </w:tcPr>
                <w:p w14:paraId="35B6B7CD">
                  <w:pPr>
                    <w:spacing w:line="240" w:lineRule="auto"/>
                    <w:ind w:firstLine="0" w:firstLineChars="0"/>
                    <w:jc w:val="center"/>
                    <w:rPr>
                      <w:snapToGrid w:val="0"/>
                      <w:color w:val="000000" w:themeColor="text1"/>
                      <w:sz w:val="21"/>
                      <w:szCs w:val="21"/>
                    </w:rPr>
                  </w:pPr>
                  <w:r>
                    <w:rPr>
                      <w:rFonts w:hint="eastAsia"/>
                      <w:color w:val="000000" w:themeColor="text1"/>
                      <w:sz w:val="21"/>
                      <w:szCs w:val="21"/>
                    </w:rPr>
                    <w:t>900-218-08</w:t>
                  </w:r>
                </w:p>
              </w:tc>
              <w:tc>
                <w:tcPr>
                  <w:tcW w:w="400" w:type="pct"/>
                  <w:tcBorders>
                    <w:tl2br w:val="nil"/>
                    <w:tr2bl w:val="nil"/>
                  </w:tcBorders>
                  <w:shd w:val="clear" w:color="auto" w:fill="auto"/>
                  <w:vAlign w:val="center"/>
                </w:tcPr>
                <w:p w14:paraId="7C504BC0">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409" w:type="pct"/>
                  <w:vMerge w:val="restart"/>
                  <w:tcBorders>
                    <w:tl2br w:val="nil"/>
                    <w:tr2bl w:val="nil"/>
                  </w:tcBorders>
                  <w:shd w:val="clear" w:color="auto" w:fill="auto"/>
                  <w:vAlign w:val="center"/>
                </w:tcPr>
                <w:p w14:paraId="4900D8CE">
                  <w:pPr>
                    <w:pStyle w:val="15"/>
                    <w:spacing w:after="0" w:line="240" w:lineRule="auto"/>
                    <w:ind w:left="0" w:leftChars="0" w:right="0" w:rightChars="0" w:firstLine="0" w:firstLineChars="0"/>
                    <w:jc w:val="center"/>
                    <w:rPr>
                      <w:color w:val="000000" w:themeColor="text1"/>
                      <w:sz w:val="21"/>
                      <w:szCs w:val="21"/>
                    </w:rPr>
                  </w:pPr>
                  <w:r>
                    <w:rPr>
                      <w:rFonts w:hint="eastAsia"/>
                      <w:color w:val="000000" w:themeColor="text1"/>
                      <w:sz w:val="21"/>
                      <w:szCs w:val="21"/>
                    </w:rPr>
                    <w:t>设备维护和保养</w:t>
                  </w:r>
                </w:p>
              </w:tc>
              <w:tc>
                <w:tcPr>
                  <w:tcW w:w="260" w:type="pct"/>
                  <w:tcBorders>
                    <w:tl2br w:val="nil"/>
                    <w:tr2bl w:val="nil"/>
                  </w:tcBorders>
                  <w:shd w:val="clear" w:color="auto" w:fill="auto"/>
                  <w:vAlign w:val="center"/>
                </w:tcPr>
                <w:p w14:paraId="392065BB">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液态</w:t>
                  </w:r>
                </w:p>
              </w:tc>
              <w:tc>
                <w:tcPr>
                  <w:tcW w:w="409" w:type="pct"/>
                  <w:tcBorders>
                    <w:tl2br w:val="nil"/>
                    <w:tr2bl w:val="nil"/>
                  </w:tcBorders>
                  <w:shd w:val="clear" w:color="auto" w:fill="auto"/>
                  <w:vAlign w:val="center"/>
                </w:tcPr>
                <w:p w14:paraId="7A9FB1DE">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381" w:type="pct"/>
                  <w:vMerge w:val="restart"/>
                  <w:tcBorders>
                    <w:tl2br w:val="nil"/>
                    <w:tr2bl w:val="nil"/>
                  </w:tcBorders>
                  <w:shd w:val="clear" w:color="auto" w:fill="auto"/>
                  <w:vAlign w:val="center"/>
                </w:tcPr>
                <w:p w14:paraId="4125CD92">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多环芳烃等</w:t>
                  </w:r>
                </w:p>
              </w:tc>
              <w:tc>
                <w:tcPr>
                  <w:tcW w:w="438" w:type="pct"/>
                  <w:tcBorders>
                    <w:tl2br w:val="nil"/>
                    <w:tr2bl w:val="nil"/>
                  </w:tcBorders>
                  <w:shd w:val="clear" w:color="auto" w:fill="auto"/>
                  <w:vAlign w:val="center"/>
                </w:tcPr>
                <w:p w14:paraId="5F6A3B8F">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150d</w:t>
                  </w:r>
                </w:p>
              </w:tc>
              <w:tc>
                <w:tcPr>
                  <w:tcW w:w="366" w:type="pct"/>
                  <w:tcBorders>
                    <w:tl2br w:val="nil"/>
                    <w:tr2bl w:val="nil"/>
                  </w:tcBorders>
                  <w:shd w:val="clear" w:color="auto" w:fill="auto"/>
                  <w:vAlign w:val="center"/>
                </w:tcPr>
                <w:p w14:paraId="17082002">
                  <w:pPr>
                    <w:topLinePunct/>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T，I</w:t>
                  </w:r>
                </w:p>
              </w:tc>
              <w:tc>
                <w:tcPr>
                  <w:tcW w:w="833" w:type="pct"/>
                  <w:vMerge w:val="restart"/>
                  <w:tcBorders>
                    <w:tl2br w:val="nil"/>
                    <w:tr2bl w:val="nil"/>
                  </w:tcBorders>
                  <w:vAlign w:val="center"/>
                </w:tcPr>
                <w:p w14:paraId="6EE1B5BF">
                  <w:pPr>
                    <w:spacing w:line="240" w:lineRule="auto"/>
                    <w:ind w:firstLine="0" w:firstLineChars="0"/>
                    <w:jc w:val="center"/>
                    <w:rPr>
                      <w:color w:val="000000" w:themeColor="text1"/>
                      <w:sz w:val="21"/>
                      <w:szCs w:val="21"/>
                    </w:rPr>
                  </w:pPr>
                  <w:r>
                    <w:rPr>
                      <w:rFonts w:hint="eastAsia"/>
                      <w:color w:val="000000" w:themeColor="text1"/>
                      <w:sz w:val="21"/>
                      <w:szCs w:val="21"/>
                    </w:rPr>
                    <w:t>桶装加盖收集</w:t>
                  </w:r>
                  <w:r>
                    <w:rPr>
                      <w:color w:val="000000" w:themeColor="text1"/>
                      <w:sz w:val="21"/>
                      <w:szCs w:val="21"/>
                    </w:rPr>
                    <w:t>，暂存于危废暂存间</w:t>
                  </w:r>
                  <w:r>
                    <w:rPr>
                      <w:rFonts w:hint="eastAsia"/>
                      <w:color w:val="000000" w:themeColor="text1"/>
                      <w:sz w:val="21"/>
                      <w:szCs w:val="21"/>
                    </w:rPr>
                    <w:t>，</w:t>
                  </w:r>
                  <w:r>
                    <w:rPr>
                      <w:color w:val="000000" w:themeColor="text1"/>
                      <w:sz w:val="21"/>
                      <w:szCs w:val="21"/>
                    </w:rPr>
                    <w:t>定期交由有资质单位处置</w:t>
                  </w:r>
                </w:p>
              </w:tc>
            </w:tr>
            <w:tr w14:paraId="5C116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2E3D6347">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409" w:type="pct"/>
                  <w:tcBorders>
                    <w:tl2br w:val="nil"/>
                    <w:tr2bl w:val="nil"/>
                  </w:tcBorders>
                  <w:shd w:val="clear" w:color="auto" w:fill="auto"/>
                  <w:vAlign w:val="center"/>
                </w:tcPr>
                <w:p w14:paraId="1943F76A">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414" w:type="pct"/>
                  <w:vMerge w:val="continue"/>
                  <w:tcBorders>
                    <w:tl2br w:val="nil"/>
                    <w:tr2bl w:val="nil"/>
                  </w:tcBorders>
                  <w:shd w:val="clear" w:color="auto" w:fill="auto"/>
                  <w:vAlign w:val="center"/>
                </w:tcPr>
                <w:p w14:paraId="6CBAE491">
                  <w:pPr>
                    <w:pStyle w:val="15"/>
                    <w:spacing w:after="0" w:line="240" w:lineRule="auto"/>
                    <w:ind w:left="0" w:leftChars="0" w:right="0" w:rightChars="0" w:firstLine="0" w:firstLineChars="0"/>
                    <w:jc w:val="center"/>
                    <w:rPr>
                      <w:color w:val="000000" w:themeColor="text1"/>
                      <w:sz w:val="21"/>
                      <w:szCs w:val="21"/>
                    </w:rPr>
                  </w:pPr>
                </w:p>
              </w:tc>
              <w:tc>
                <w:tcPr>
                  <w:tcW w:w="416" w:type="pct"/>
                  <w:vMerge w:val="restart"/>
                  <w:tcBorders>
                    <w:tl2br w:val="nil"/>
                    <w:tr2bl w:val="nil"/>
                  </w:tcBorders>
                  <w:shd w:val="clear" w:color="auto" w:fill="auto"/>
                  <w:vAlign w:val="center"/>
                </w:tcPr>
                <w:p w14:paraId="685F736D">
                  <w:pPr>
                    <w:spacing w:line="240" w:lineRule="auto"/>
                    <w:ind w:firstLine="0" w:firstLineChars="0"/>
                    <w:jc w:val="center"/>
                    <w:rPr>
                      <w:color w:val="000000" w:themeColor="text1"/>
                      <w:sz w:val="21"/>
                      <w:szCs w:val="21"/>
                    </w:rPr>
                  </w:pPr>
                  <w:r>
                    <w:rPr>
                      <w:snapToGrid w:val="0"/>
                      <w:color w:val="000000" w:themeColor="text1"/>
                      <w:sz w:val="21"/>
                      <w:szCs w:val="21"/>
                    </w:rPr>
                    <w:t>900-217-08</w:t>
                  </w:r>
                </w:p>
              </w:tc>
              <w:tc>
                <w:tcPr>
                  <w:tcW w:w="400" w:type="pct"/>
                  <w:tcBorders>
                    <w:tl2br w:val="nil"/>
                    <w:tr2bl w:val="nil"/>
                  </w:tcBorders>
                  <w:shd w:val="clear" w:color="auto" w:fill="auto"/>
                  <w:vAlign w:val="center"/>
                </w:tcPr>
                <w:p w14:paraId="4913E983">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409" w:type="pct"/>
                  <w:vMerge w:val="continue"/>
                  <w:tcBorders>
                    <w:tl2br w:val="nil"/>
                    <w:tr2bl w:val="nil"/>
                  </w:tcBorders>
                  <w:shd w:val="clear" w:color="auto" w:fill="auto"/>
                  <w:vAlign w:val="center"/>
                </w:tcPr>
                <w:p w14:paraId="3608350C">
                  <w:pPr>
                    <w:pStyle w:val="15"/>
                    <w:spacing w:after="0" w:line="240" w:lineRule="auto"/>
                    <w:ind w:left="0" w:leftChars="0" w:right="0" w:rightChars="0" w:firstLine="0" w:firstLineChars="0"/>
                    <w:jc w:val="center"/>
                    <w:rPr>
                      <w:color w:val="000000" w:themeColor="text1"/>
                      <w:sz w:val="21"/>
                      <w:szCs w:val="21"/>
                    </w:rPr>
                  </w:pPr>
                </w:p>
              </w:tc>
              <w:tc>
                <w:tcPr>
                  <w:tcW w:w="260" w:type="pct"/>
                  <w:tcBorders>
                    <w:tl2br w:val="nil"/>
                    <w:tr2bl w:val="nil"/>
                  </w:tcBorders>
                  <w:shd w:val="clear" w:color="auto" w:fill="auto"/>
                  <w:vAlign w:val="center"/>
                </w:tcPr>
                <w:p w14:paraId="7D26870A">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液态</w:t>
                  </w:r>
                </w:p>
              </w:tc>
              <w:tc>
                <w:tcPr>
                  <w:tcW w:w="409" w:type="pct"/>
                  <w:tcBorders>
                    <w:tl2br w:val="nil"/>
                    <w:tr2bl w:val="nil"/>
                  </w:tcBorders>
                  <w:shd w:val="clear" w:color="auto" w:fill="auto"/>
                  <w:vAlign w:val="center"/>
                </w:tcPr>
                <w:p w14:paraId="0DBEF497">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381" w:type="pct"/>
                  <w:vMerge w:val="continue"/>
                  <w:tcBorders>
                    <w:tl2br w:val="nil"/>
                    <w:tr2bl w:val="nil"/>
                  </w:tcBorders>
                  <w:shd w:val="clear" w:color="auto" w:fill="auto"/>
                  <w:vAlign w:val="center"/>
                </w:tcPr>
                <w:p w14:paraId="5AA44EB8">
                  <w:pPr>
                    <w:topLinePunct/>
                    <w:adjustRightInd w:val="0"/>
                    <w:snapToGrid w:val="0"/>
                    <w:spacing w:line="240" w:lineRule="auto"/>
                    <w:ind w:firstLine="0" w:firstLineChars="0"/>
                    <w:jc w:val="center"/>
                    <w:rPr>
                      <w:color w:val="000000" w:themeColor="text1"/>
                      <w:sz w:val="21"/>
                      <w:szCs w:val="21"/>
                    </w:rPr>
                  </w:pPr>
                </w:p>
              </w:tc>
              <w:tc>
                <w:tcPr>
                  <w:tcW w:w="438" w:type="pct"/>
                  <w:tcBorders>
                    <w:tl2br w:val="nil"/>
                    <w:tr2bl w:val="nil"/>
                  </w:tcBorders>
                  <w:shd w:val="clear" w:color="auto" w:fill="auto"/>
                  <w:vAlign w:val="center"/>
                </w:tcPr>
                <w:p w14:paraId="5DE53941">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75d</w:t>
                  </w:r>
                </w:p>
              </w:tc>
              <w:tc>
                <w:tcPr>
                  <w:tcW w:w="366" w:type="pct"/>
                  <w:vMerge w:val="restart"/>
                  <w:tcBorders>
                    <w:tl2br w:val="nil"/>
                    <w:tr2bl w:val="nil"/>
                  </w:tcBorders>
                  <w:shd w:val="clear" w:color="auto" w:fill="auto"/>
                  <w:vAlign w:val="center"/>
                </w:tcPr>
                <w:p w14:paraId="7A32B523">
                  <w:pPr>
                    <w:topLinePunct/>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T，I</w:t>
                  </w:r>
                </w:p>
              </w:tc>
              <w:tc>
                <w:tcPr>
                  <w:tcW w:w="833" w:type="pct"/>
                  <w:vMerge w:val="continue"/>
                  <w:tcBorders>
                    <w:tl2br w:val="nil"/>
                    <w:tr2bl w:val="nil"/>
                  </w:tcBorders>
                  <w:vAlign w:val="center"/>
                </w:tcPr>
                <w:p w14:paraId="39C2702B">
                  <w:pPr>
                    <w:spacing w:line="240" w:lineRule="auto"/>
                    <w:ind w:firstLine="0" w:firstLineChars="0"/>
                    <w:jc w:val="center"/>
                    <w:rPr>
                      <w:color w:val="000000" w:themeColor="text1"/>
                      <w:sz w:val="21"/>
                      <w:szCs w:val="21"/>
                    </w:rPr>
                  </w:pPr>
                </w:p>
              </w:tc>
            </w:tr>
            <w:tr w14:paraId="2F150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3898153E">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3</w:t>
                  </w:r>
                </w:p>
              </w:tc>
              <w:tc>
                <w:tcPr>
                  <w:tcW w:w="409" w:type="pct"/>
                  <w:tcBorders>
                    <w:tl2br w:val="nil"/>
                    <w:tr2bl w:val="nil"/>
                  </w:tcBorders>
                  <w:vAlign w:val="center"/>
                </w:tcPr>
                <w:p w14:paraId="20867716">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废润滑油</w:t>
                  </w:r>
                </w:p>
              </w:tc>
              <w:tc>
                <w:tcPr>
                  <w:tcW w:w="414" w:type="pct"/>
                  <w:vMerge w:val="continue"/>
                  <w:tcBorders>
                    <w:tl2br w:val="nil"/>
                    <w:tr2bl w:val="nil"/>
                  </w:tcBorders>
                  <w:vAlign w:val="center"/>
                </w:tcPr>
                <w:p w14:paraId="7929B9FE">
                  <w:pPr>
                    <w:pStyle w:val="15"/>
                    <w:spacing w:after="0" w:line="240" w:lineRule="auto"/>
                    <w:ind w:left="0" w:leftChars="0" w:right="0" w:rightChars="0" w:firstLine="0" w:firstLineChars="0"/>
                    <w:jc w:val="center"/>
                    <w:rPr>
                      <w:color w:val="000000" w:themeColor="text1"/>
                      <w:sz w:val="21"/>
                      <w:szCs w:val="21"/>
                    </w:rPr>
                  </w:pPr>
                </w:p>
              </w:tc>
              <w:tc>
                <w:tcPr>
                  <w:tcW w:w="416" w:type="pct"/>
                  <w:vMerge w:val="continue"/>
                  <w:tcBorders>
                    <w:tl2br w:val="nil"/>
                    <w:tr2bl w:val="nil"/>
                  </w:tcBorders>
                  <w:vAlign w:val="center"/>
                </w:tcPr>
                <w:p w14:paraId="1DEF08DC">
                  <w:pPr>
                    <w:spacing w:line="240" w:lineRule="auto"/>
                    <w:ind w:firstLine="0" w:firstLineChars="0"/>
                    <w:jc w:val="center"/>
                    <w:rPr>
                      <w:color w:val="000000" w:themeColor="text1"/>
                      <w:sz w:val="21"/>
                      <w:szCs w:val="21"/>
                    </w:rPr>
                  </w:pPr>
                </w:p>
              </w:tc>
              <w:tc>
                <w:tcPr>
                  <w:tcW w:w="400" w:type="pct"/>
                  <w:tcBorders>
                    <w:tl2br w:val="nil"/>
                    <w:tr2bl w:val="nil"/>
                  </w:tcBorders>
                  <w:vAlign w:val="center"/>
                </w:tcPr>
                <w:p w14:paraId="4FA1C84B">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409" w:type="pct"/>
                  <w:vMerge w:val="continue"/>
                  <w:tcBorders>
                    <w:tl2br w:val="nil"/>
                    <w:tr2bl w:val="nil"/>
                  </w:tcBorders>
                  <w:vAlign w:val="center"/>
                </w:tcPr>
                <w:p w14:paraId="72E30622">
                  <w:pPr>
                    <w:pStyle w:val="15"/>
                    <w:spacing w:after="0" w:line="240" w:lineRule="auto"/>
                    <w:ind w:left="0" w:leftChars="0" w:right="0" w:rightChars="0" w:firstLine="0" w:firstLineChars="0"/>
                    <w:jc w:val="center"/>
                    <w:rPr>
                      <w:color w:val="000000" w:themeColor="text1"/>
                      <w:sz w:val="21"/>
                      <w:szCs w:val="21"/>
                    </w:rPr>
                  </w:pPr>
                </w:p>
              </w:tc>
              <w:tc>
                <w:tcPr>
                  <w:tcW w:w="260" w:type="pct"/>
                  <w:tcBorders>
                    <w:tl2br w:val="nil"/>
                    <w:tr2bl w:val="nil"/>
                  </w:tcBorders>
                  <w:vAlign w:val="center"/>
                </w:tcPr>
                <w:p w14:paraId="44EFDF36">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液态</w:t>
                  </w:r>
                </w:p>
              </w:tc>
              <w:tc>
                <w:tcPr>
                  <w:tcW w:w="409" w:type="pct"/>
                  <w:tcBorders>
                    <w:tl2br w:val="nil"/>
                    <w:tr2bl w:val="nil"/>
                  </w:tcBorders>
                  <w:vAlign w:val="center"/>
                </w:tcPr>
                <w:p w14:paraId="17F9B924">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w:t>
                  </w:r>
                  <w:r>
                    <w:rPr>
                      <w:rFonts w:hint="eastAsia"/>
                      <w:color w:val="000000" w:themeColor="text1"/>
                      <w:sz w:val="21"/>
                      <w:szCs w:val="21"/>
                    </w:rPr>
                    <w:t>润滑油</w:t>
                  </w:r>
                </w:p>
              </w:tc>
              <w:tc>
                <w:tcPr>
                  <w:tcW w:w="381" w:type="pct"/>
                  <w:vMerge w:val="continue"/>
                  <w:tcBorders>
                    <w:tl2br w:val="nil"/>
                    <w:tr2bl w:val="nil"/>
                  </w:tcBorders>
                  <w:vAlign w:val="center"/>
                </w:tcPr>
                <w:p w14:paraId="2FDDC983">
                  <w:pPr>
                    <w:topLinePunct/>
                    <w:adjustRightInd w:val="0"/>
                    <w:snapToGrid w:val="0"/>
                    <w:spacing w:line="240" w:lineRule="auto"/>
                    <w:ind w:firstLine="0" w:firstLineChars="0"/>
                    <w:jc w:val="center"/>
                    <w:rPr>
                      <w:color w:val="000000" w:themeColor="text1"/>
                      <w:sz w:val="21"/>
                      <w:szCs w:val="21"/>
                    </w:rPr>
                  </w:pPr>
                </w:p>
              </w:tc>
              <w:tc>
                <w:tcPr>
                  <w:tcW w:w="438" w:type="pct"/>
                  <w:tcBorders>
                    <w:tl2br w:val="nil"/>
                    <w:tr2bl w:val="nil"/>
                  </w:tcBorders>
                  <w:vAlign w:val="center"/>
                </w:tcPr>
                <w:p w14:paraId="0F16CF6A">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75d</w:t>
                  </w:r>
                </w:p>
              </w:tc>
              <w:tc>
                <w:tcPr>
                  <w:tcW w:w="366" w:type="pct"/>
                  <w:vMerge w:val="continue"/>
                  <w:tcBorders>
                    <w:tl2br w:val="nil"/>
                    <w:tr2bl w:val="nil"/>
                  </w:tcBorders>
                  <w:vAlign w:val="center"/>
                </w:tcPr>
                <w:p w14:paraId="7564B379">
                  <w:pPr>
                    <w:topLinePunct/>
                    <w:adjustRightInd w:val="0"/>
                    <w:snapToGrid w:val="0"/>
                    <w:spacing w:line="240" w:lineRule="auto"/>
                    <w:ind w:firstLine="0" w:firstLineChars="0"/>
                    <w:jc w:val="center"/>
                    <w:rPr>
                      <w:color w:val="000000" w:themeColor="text1"/>
                      <w:kern w:val="0"/>
                      <w:sz w:val="21"/>
                      <w:szCs w:val="21"/>
                    </w:rPr>
                  </w:pPr>
                </w:p>
              </w:tc>
              <w:tc>
                <w:tcPr>
                  <w:tcW w:w="833" w:type="pct"/>
                  <w:vMerge w:val="continue"/>
                  <w:tcBorders>
                    <w:tl2br w:val="nil"/>
                    <w:tr2bl w:val="nil"/>
                  </w:tcBorders>
                  <w:vAlign w:val="center"/>
                </w:tcPr>
                <w:p w14:paraId="484DEEFB">
                  <w:pPr>
                    <w:spacing w:line="240" w:lineRule="auto"/>
                    <w:ind w:firstLine="0" w:firstLineChars="0"/>
                    <w:jc w:val="center"/>
                    <w:rPr>
                      <w:color w:val="000000" w:themeColor="text1"/>
                      <w:sz w:val="21"/>
                      <w:szCs w:val="21"/>
                    </w:rPr>
                  </w:pPr>
                </w:p>
              </w:tc>
            </w:tr>
            <w:tr w14:paraId="2D259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l2br w:val="nil"/>
                    <w:tr2bl w:val="nil"/>
                  </w:tcBorders>
                  <w:vAlign w:val="center"/>
                </w:tcPr>
                <w:p w14:paraId="7F9EE2D9">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4</w:t>
                  </w:r>
                </w:p>
              </w:tc>
              <w:tc>
                <w:tcPr>
                  <w:tcW w:w="409" w:type="pct"/>
                  <w:tcBorders>
                    <w:tl2br w:val="nil"/>
                    <w:tr2bl w:val="nil"/>
                  </w:tcBorders>
                  <w:vAlign w:val="center"/>
                </w:tcPr>
                <w:p w14:paraId="71B75031">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废油桶</w:t>
                  </w:r>
                </w:p>
              </w:tc>
              <w:tc>
                <w:tcPr>
                  <w:tcW w:w="414" w:type="pct"/>
                  <w:vMerge w:val="continue"/>
                  <w:tcBorders>
                    <w:tl2br w:val="nil"/>
                    <w:tr2bl w:val="nil"/>
                  </w:tcBorders>
                  <w:vAlign w:val="center"/>
                </w:tcPr>
                <w:p w14:paraId="54D1F847">
                  <w:pPr>
                    <w:pStyle w:val="15"/>
                    <w:spacing w:after="0" w:line="240" w:lineRule="auto"/>
                    <w:ind w:left="0" w:leftChars="0" w:right="0" w:rightChars="0" w:firstLine="0" w:firstLineChars="0"/>
                    <w:jc w:val="center"/>
                    <w:rPr>
                      <w:color w:val="000000" w:themeColor="text1"/>
                      <w:sz w:val="21"/>
                      <w:szCs w:val="21"/>
                    </w:rPr>
                  </w:pPr>
                </w:p>
              </w:tc>
              <w:tc>
                <w:tcPr>
                  <w:tcW w:w="416" w:type="pct"/>
                  <w:tcBorders>
                    <w:tl2br w:val="nil"/>
                    <w:tr2bl w:val="nil"/>
                  </w:tcBorders>
                  <w:vAlign w:val="center"/>
                </w:tcPr>
                <w:p w14:paraId="2DCCD57F">
                  <w:pPr>
                    <w:spacing w:line="240" w:lineRule="auto"/>
                    <w:ind w:firstLine="0" w:firstLineChars="0"/>
                    <w:jc w:val="center"/>
                    <w:rPr>
                      <w:color w:val="000000" w:themeColor="text1"/>
                      <w:sz w:val="21"/>
                      <w:szCs w:val="21"/>
                    </w:rPr>
                  </w:pPr>
                  <w:r>
                    <w:rPr>
                      <w:color w:val="000000" w:themeColor="text1"/>
                      <w:kern w:val="0"/>
                      <w:sz w:val="21"/>
                      <w:szCs w:val="21"/>
                    </w:rPr>
                    <w:t>900-249-08</w:t>
                  </w:r>
                </w:p>
              </w:tc>
              <w:tc>
                <w:tcPr>
                  <w:tcW w:w="400" w:type="pct"/>
                  <w:tcBorders>
                    <w:tl2br w:val="nil"/>
                    <w:tr2bl w:val="nil"/>
                  </w:tcBorders>
                  <w:vAlign w:val="center"/>
                </w:tcPr>
                <w:p w14:paraId="7E9742FB">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0.09</w:t>
                  </w:r>
                </w:p>
              </w:tc>
              <w:tc>
                <w:tcPr>
                  <w:tcW w:w="409" w:type="pct"/>
                  <w:vMerge w:val="continue"/>
                  <w:tcBorders>
                    <w:tl2br w:val="nil"/>
                    <w:tr2bl w:val="nil"/>
                  </w:tcBorders>
                  <w:vAlign w:val="center"/>
                </w:tcPr>
                <w:p w14:paraId="75660501">
                  <w:pPr>
                    <w:pStyle w:val="15"/>
                    <w:spacing w:after="0" w:line="240" w:lineRule="auto"/>
                    <w:ind w:left="0" w:leftChars="0" w:right="0" w:rightChars="0" w:firstLine="0" w:firstLineChars="0"/>
                    <w:jc w:val="center"/>
                    <w:rPr>
                      <w:color w:val="000000" w:themeColor="text1"/>
                      <w:sz w:val="21"/>
                      <w:szCs w:val="21"/>
                    </w:rPr>
                  </w:pPr>
                </w:p>
              </w:tc>
              <w:tc>
                <w:tcPr>
                  <w:tcW w:w="260" w:type="pct"/>
                  <w:tcBorders>
                    <w:tl2br w:val="nil"/>
                    <w:tr2bl w:val="nil"/>
                  </w:tcBorders>
                  <w:vAlign w:val="center"/>
                </w:tcPr>
                <w:p w14:paraId="7C20803C">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固态</w:t>
                  </w:r>
                </w:p>
              </w:tc>
              <w:tc>
                <w:tcPr>
                  <w:tcW w:w="409" w:type="pct"/>
                  <w:tcBorders>
                    <w:tl2br w:val="nil"/>
                    <w:tr2bl w:val="nil"/>
                  </w:tcBorders>
                  <w:vAlign w:val="center"/>
                </w:tcPr>
                <w:p w14:paraId="3542EF0A">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润滑油、机油、液压油</w:t>
                  </w:r>
                </w:p>
              </w:tc>
              <w:tc>
                <w:tcPr>
                  <w:tcW w:w="381" w:type="pct"/>
                  <w:vMerge w:val="continue"/>
                  <w:tcBorders>
                    <w:tl2br w:val="nil"/>
                    <w:tr2bl w:val="nil"/>
                  </w:tcBorders>
                  <w:vAlign w:val="center"/>
                </w:tcPr>
                <w:p w14:paraId="606C8F71">
                  <w:pPr>
                    <w:topLinePunct/>
                    <w:adjustRightInd w:val="0"/>
                    <w:snapToGrid w:val="0"/>
                    <w:spacing w:line="240" w:lineRule="auto"/>
                    <w:ind w:firstLine="0" w:firstLineChars="0"/>
                    <w:jc w:val="center"/>
                    <w:rPr>
                      <w:color w:val="000000" w:themeColor="text1"/>
                      <w:sz w:val="21"/>
                      <w:szCs w:val="21"/>
                    </w:rPr>
                  </w:pPr>
                </w:p>
              </w:tc>
              <w:tc>
                <w:tcPr>
                  <w:tcW w:w="438" w:type="pct"/>
                  <w:tcBorders>
                    <w:tl2br w:val="nil"/>
                    <w:tr2bl w:val="nil"/>
                  </w:tcBorders>
                  <w:vAlign w:val="center"/>
                </w:tcPr>
                <w:p w14:paraId="6D79557C">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75d</w:t>
                  </w:r>
                </w:p>
              </w:tc>
              <w:tc>
                <w:tcPr>
                  <w:tcW w:w="366" w:type="pct"/>
                  <w:tcBorders>
                    <w:tl2br w:val="nil"/>
                    <w:tr2bl w:val="nil"/>
                  </w:tcBorders>
                  <w:vAlign w:val="center"/>
                </w:tcPr>
                <w:p w14:paraId="685684F7">
                  <w:pPr>
                    <w:topLinePunct/>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T，I</w:t>
                  </w:r>
                </w:p>
              </w:tc>
              <w:tc>
                <w:tcPr>
                  <w:tcW w:w="833" w:type="pct"/>
                  <w:tcBorders>
                    <w:tl2br w:val="nil"/>
                    <w:tr2bl w:val="nil"/>
                  </w:tcBorders>
                  <w:vAlign w:val="center"/>
                </w:tcPr>
                <w:p w14:paraId="5D50D474">
                  <w:pPr>
                    <w:spacing w:line="240" w:lineRule="auto"/>
                    <w:ind w:firstLine="0" w:firstLineChars="0"/>
                    <w:jc w:val="center"/>
                    <w:rPr>
                      <w:color w:val="000000" w:themeColor="text1"/>
                      <w:sz w:val="21"/>
                      <w:szCs w:val="21"/>
                    </w:rPr>
                  </w:pPr>
                  <w:r>
                    <w:rPr>
                      <w:rFonts w:hint="eastAsia"/>
                      <w:color w:val="000000" w:themeColor="text1"/>
                      <w:sz w:val="21"/>
                      <w:szCs w:val="21"/>
                    </w:rPr>
                    <w:t>加盖，</w:t>
                  </w:r>
                  <w:r>
                    <w:rPr>
                      <w:color w:val="000000" w:themeColor="text1"/>
                      <w:sz w:val="21"/>
                      <w:szCs w:val="21"/>
                    </w:rPr>
                    <w:t>暂存于危废暂存间</w:t>
                  </w:r>
                  <w:r>
                    <w:rPr>
                      <w:rFonts w:hint="eastAsia"/>
                      <w:color w:val="000000" w:themeColor="text1"/>
                      <w:sz w:val="21"/>
                      <w:szCs w:val="21"/>
                    </w:rPr>
                    <w:t>，</w:t>
                  </w:r>
                  <w:r>
                    <w:rPr>
                      <w:color w:val="000000" w:themeColor="text1"/>
                      <w:sz w:val="21"/>
                      <w:szCs w:val="21"/>
                    </w:rPr>
                    <w:t>定期交由有资质单位处置</w:t>
                  </w:r>
                </w:p>
              </w:tc>
            </w:tr>
          </w:tbl>
          <w:p w14:paraId="1A2F8B97">
            <w:pPr>
              <w:pStyle w:val="15"/>
              <w:spacing w:after="0"/>
              <w:ind w:left="0" w:leftChars="0" w:right="0" w:rightChars="0" w:firstLine="482"/>
              <w:rPr>
                <w:b/>
                <w:bCs/>
                <w:color w:val="000000" w:themeColor="text1"/>
              </w:rPr>
            </w:pPr>
            <w:r>
              <w:rPr>
                <w:rFonts w:hint="eastAsia"/>
                <w:b/>
                <w:bCs/>
                <w:color w:val="000000" w:themeColor="text1"/>
              </w:rPr>
              <w:t>4.3.2</w:t>
            </w:r>
            <w:r>
              <w:rPr>
                <w:b/>
                <w:bCs/>
                <w:color w:val="000000" w:themeColor="text1"/>
              </w:rPr>
              <w:t>危险废物环境管理要求</w:t>
            </w:r>
          </w:p>
          <w:p w14:paraId="384DC390">
            <w:pPr>
              <w:ind w:firstLine="480"/>
              <w:rPr>
                <w:color w:val="000000" w:themeColor="text1"/>
              </w:rPr>
            </w:pPr>
            <w:r>
              <w:rPr>
                <w:color w:val="000000" w:themeColor="text1"/>
              </w:rPr>
              <w:t>危险废物应按</w:t>
            </w:r>
            <w:r>
              <w:rPr>
                <w:rFonts w:hint="eastAsia"/>
                <w:color w:val="000000" w:themeColor="text1"/>
              </w:rPr>
              <w:t>《危险废物贮存污染控制标准》（GB18597-2023）</w:t>
            </w:r>
            <w:r>
              <w:rPr>
                <w:color w:val="000000" w:themeColor="text1"/>
              </w:rPr>
              <w:t>、《危险废物收集、贮存、运输技术规范》</w:t>
            </w:r>
            <w:r>
              <w:rPr>
                <w:rFonts w:hint="eastAsia"/>
                <w:color w:val="000000" w:themeColor="text1"/>
              </w:rPr>
              <w:t>（</w:t>
            </w:r>
            <w:r>
              <w:rPr>
                <w:color w:val="000000" w:themeColor="text1"/>
              </w:rPr>
              <w:t>HJ2025-2012</w:t>
            </w:r>
            <w:r>
              <w:rPr>
                <w:rFonts w:hint="eastAsia"/>
                <w:color w:val="000000" w:themeColor="text1"/>
              </w:rPr>
              <w:t>）</w:t>
            </w:r>
            <w:r>
              <w:rPr>
                <w:color w:val="000000" w:themeColor="text1"/>
              </w:rPr>
              <w:t>和《河北省环境保护厅办公室关于建设全省危险废物智能监控体系的通知》</w:t>
            </w:r>
            <w:r>
              <w:rPr>
                <w:rFonts w:hint="eastAsia"/>
                <w:color w:val="000000" w:themeColor="text1"/>
              </w:rPr>
              <w:t>（</w:t>
            </w:r>
            <w:r>
              <w:rPr>
                <w:color w:val="000000" w:themeColor="text1"/>
              </w:rPr>
              <w:t>冀环办发[2017]11</w:t>
            </w:r>
            <w:r>
              <w:rPr>
                <w:rFonts w:hint="eastAsia"/>
                <w:color w:val="000000" w:themeColor="text1"/>
              </w:rPr>
              <w:t>2号）</w:t>
            </w:r>
            <w:r>
              <w:rPr>
                <w:color w:val="000000" w:themeColor="text1"/>
              </w:rPr>
              <w:t>、《关于发布&lt;建设项目危险废物环境影响评价指南&gt;的公告》（环境保护部公告2017年第43号）中的相关内容要求进行处理处置。</w:t>
            </w:r>
          </w:p>
          <w:p w14:paraId="7F503DFD">
            <w:pPr>
              <w:ind w:firstLine="480"/>
              <w:rPr>
                <w:color w:val="000000" w:themeColor="text1"/>
              </w:rPr>
            </w:pPr>
            <w:r>
              <w:rPr>
                <w:color w:val="000000" w:themeColor="text1"/>
              </w:rPr>
              <w:t>本项目拟采取以下措施：</w:t>
            </w:r>
          </w:p>
          <w:p w14:paraId="1B62C123">
            <w:pPr>
              <w:ind w:firstLine="480"/>
              <w:rPr>
                <w:color w:val="000000" w:themeColor="text1"/>
              </w:rPr>
            </w:pPr>
            <w:r>
              <w:rPr>
                <w:rFonts w:hint="eastAsia"/>
                <w:color w:val="000000" w:themeColor="text1"/>
              </w:rPr>
              <w:t>（1）</w:t>
            </w:r>
            <w:r>
              <w:rPr>
                <w:color w:val="000000" w:themeColor="text1"/>
              </w:rPr>
              <w:t>危险废物收集</w:t>
            </w:r>
            <w:r>
              <w:rPr>
                <w:color w:val="000000" w:themeColor="text1"/>
              </w:rPr>
              <w:tab/>
            </w:r>
          </w:p>
          <w:p w14:paraId="22260153">
            <w:pPr>
              <w:ind w:firstLine="480"/>
              <w:rPr>
                <w:color w:val="000000" w:themeColor="text1"/>
              </w:rPr>
            </w:pPr>
            <w:r>
              <w:rPr>
                <w:rFonts w:hint="eastAsia"/>
                <w:color w:val="000000" w:themeColor="text1"/>
              </w:rPr>
              <w:t>本项目</w:t>
            </w:r>
            <w:r>
              <w:rPr>
                <w:color w:val="000000" w:themeColor="text1"/>
              </w:rPr>
              <w:t>将</w:t>
            </w:r>
            <w:r>
              <w:rPr>
                <w:rFonts w:hint="eastAsia"/>
                <w:color w:val="000000" w:themeColor="text1"/>
              </w:rPr>
              <w:t>废液压油、废机油、</w:t>
            </w:r>
            <w:r>
              <w:rPr>
                <w:color w:val="000000" w:themeColor="text1"/>
              </w:rPr>
              <w:t>废润滑油</w:t>
            </w:r>
            <w:r>
              <w:rPr>
                <w:rFonts w:hint="eastAsia"/>
                <w:color w:val="000000" w:themeColor="text1"/>
              </w:rPr>
              <w:t>桶装加盖收集，废油桶加盖收集，</w:t>
            </w:r>
            <w:r>
              <w:rPr>
                <w:color w:val="000000" w:themeColor="text1"/>
              </w:rPr>
              <w:t>容器</w:t>
            </w:r>
            <w:r>
              <w:rPr>
                <w:rFonts w:hint="eastAsia"/>
                <w:color w:val="000000" w:themeColor="text1"/>
              </w:rPr>
              <w:t>应达到防渗、防漏、防腐和强度等要求，内部留有适当的空间，以适应因温度变化等可能引发的收缩和膨胀，防止其导致容器渗漏或永久变形</w:t>
            </w:r>
            <w:r>
              <w:rPr>
                <w:color w:val="000000" w:themeColor="text1"/>
              </w:rPr>
              <w:t>。</w:t>
            </w:r>
          </w:p>
          <w:p w14:paraId="13603D53">
            <w:pPr>
              <w:ind w:firstLine="480"/>
              <w:rPr>
                <w:color w:val="000000" w:themeColor="text1"/>
              </w:rPr>
            </w:pPr>
            <w:r>
              <w:rPr>
                <w:rFonts w:hint="eastAsia"/>
                <w:color w:val="000000" w:themeColor="text1"/>
              </w:rPr>
              <w:t>依据《危险废物收集、贮存、运输技术规范》（HJ2025-2012），危险废物收集应满足如下管理要求：</w:t>
            </w:r>
          </w:p>
          <w:p w14:paraId="3F505FA5">
            <w:pPr>
              <w:ind w:firstLine="480"/>
              <w:rPr>
                <w:color w:val="000000" w:themeColor="text1"/>
              </w:rPr>
            </w:pPr>
            <w:r>
              <w:rPr>
                <w:rFonts w:hint="eastAsia"/>
                <w:color w:val="000000" w:themeColor="text1"/>
              </w:rPr>
              <w:t>1）危险废物收集和转运作业人员应根据工作需要配备必要的个人防护装 备，如手套、防护镜、防护服、防毒面具或口罩等。</w:t>
            </w:r>
          </w:p>
          <w:p w14:paraId="72964778">
            <w:pPr>
              <w:ind w:firstLine="480"/>
              <w:rPr>
                <w:color w:val="000000" w:themeColor="text1"/>
              </w:rPr>
            </w:pPr>
            <w:r>
              <w:rPr>
                <w:rFonts w:hint="eastAsia"/>
                <w:color w:val="000000" w:themeColor="text1"/>
              </w:rPr>
              <w:t>2）危险废物收集时应根据危险废物的种类、数量、危险特性、物理形态、 运输要求等因素确定包装形式。</w:t>
            </w:r>
          </w:p>
          <w:p w14:paraId="5659E5B8">
            <w:pPr>
              <w:ind w:firstLine="480"/>
              <w:rPr>
                <w:color w:val="000000" w:themeColor="text1"/>
              </w:rPr>
            </w:pPr>
            <w:r>
              <w:rPr>
                <w:rFonts w:hint="eastAsia"/>
                <w:color w:val="000000" w:themeColor="text1"/>
              </w:rPr>
              <w:t>3）危险废物内部转运作业应满足如下要求：</w:t>
            </w:r>
          </w:p>
          <w:p w14:paraId="60801452">
            <w:pPr>
              <w:ind w:firstLine="480"/>
              <w:rPr>
                <w:color w:val="000000" w:themeColor="text1"/>
              </w:rPr>
            </w:pPr>
            <w:r>
              <w:rPr>
                <w:rFonts w:hint="eastAsia"/>
                <w:color w:val="000000" w:themeColor="text1"/>
              </w:rPr>
              <w:t>①危险废物内部转运应综合考虑厂区的实际情况确定转运路线，尽量避开 办公区和生活区。</w:t>
            </w:r>
          </w:p>
          <w:p w14:paraId="11B5669F">
            <w:pPr>
              <w:ind w:firstLine="480"/>
              <w:rPr>
                <w:color w:val="000000" w:themeColor="text1"/>
              </w:rPr>
            </w:pPr>
            <w:r>
              <w:rPr>
                <w:rFonts w:hint="eastAsia"/>
                <w:color w:val="000000" w:themeColor="text1"/>
              </w:rPr>
              <w:t>②危险废物内部转运作业应采用专用的工具，危险废物内部转运应参照 《危险废物收集、贮存、运输技术规范》（HJ2025-2012）做好危险废物厂内转运记录。</w:t>
            </w:r>
          </w:p>
          <w:p w14:paraId="698EC547">
            <w:pPr>
              <w:ind w:firstLine="480"/>
              <w:rPr>
                <w:color w:val="000000" w:themeColor="text1"/>
              </w:rPr>
            </w:pPr>
            <w:r>
              <w:rPr>
                <w:rFonts w:hint="eastAsia"/>
                <w:color w:val="000000" w:themeColor="text1"/>
              </w:rPr>
              <w:t>③危险废物内部转运结束后，应对转运路线进行检查和清理，确保无危险 废物遗失在转运路线上等。</w:t>
            </w:r>
          </w:p>
          <w:p w14:paraId="1F8ACF76">
            <w:pPr>
              <w:ind w:firstLine="480"/>
              <w:rPr>
                <w:color w:val="000000" w:themeColor="text1"/>
              </w:rPr>
            </w:pPr>
            <w:r>
              <w:rPr>
                <w:rFonts w:hint="eastAsia"/>
                <w:color w:val="000000" w:themeColor="text1"/>
              </w:rPr>
              <w:t>（2）</w:t>
            </w:r>
            <w:r>
              <w:rPr>
                <w:color w:val="000000" w:themeColor="text1"/>
              </w:rPr>
              <w:t>危险废物贮存</w:t>
            </w:r>
          </w:p>
          <w:p w14:paraId="53D7B430">
            <w:pPr>
              <w:adjustRightInd w:val="0"/>
              <w:snapToGrid w:val="0"/>
              <w:ind w:firstLine="480"/>
              <w:rPr>
                <w:snapToGrid w:val="0"/>
                <w:color w:val="000000" w:themeColor="text1"/>
              </w:rPr>
            </w:pPr>
            <w:r>
              <w:rPr>
                <w:rFonts w:hint="eastAsia"/>
                <w:color w:val="000000" w:themeColor="text1"/>
              </w:rPr>
              <w:t>本项目在厂房内西南侧、油品储存库北侧设置8m</w:t>
            </w:r>
            <w:r>
              <w:rPr>
                <w:rFonts w:hint="eastAsia"/>
                <w:color w:val="000000" w:themeColor="text1"/>
                <w:vertAlign w:val="superscript"/>
              </w:rPr>
              <w:t>2</w:t>
            </w:r>
            <w:r>
              <w:rPr>
                <w:rFonts w:hint="eastAsia"/>
                <w:color w:val="000000" w:themeColor="text1"/>
              </w:rPr>
              <w:t>的危废暂存间，为彩钢结构，危废暂存间严格按照《危险废物贮存污染控制标准》（GB18597-2023）</w:t>
            </w:r>
            <w:r>
              <w:rPr>
                <w:color w:val="000000" w:themeColor="text1"/>
              </w:rPr>
              <w:t>和《建设项目危险废物环境影响评价指南》的要求设计，做好防雨、防渗，防止二次污染。</w:t>
            </w:r>
            <w:r>
              <w:rPr>
                <w:rFonts w:hint="eastAsia"/>
                <w:color w:val="000000" w:themeColor="text1"/>
              </w:rPr>
              <w:t>危废暂存间</w:t>
            </w:r>
            <w:r>
              <w:rPr>
                <w:color w:val="000000" w:themeColor="text1"/>
              </w:rPr>
              <w:t>地面采用抗渗混凝土浇筑，防渗层厚度为15cm，设有堵截泄漏的裙脚，地面与裙脚采用坚固防渗的材料建造，地面与裙脚涂敷3层环氧树脂，2层玻璃布进行防腐防渗，渗透系数≤1.0×10</w:t>
            </w:r>
            <w:r>
              <w:rPr>
                <w:color w:val="000000" w:themeColor="text1"/>
                <w:vertAlign w:val="superscript"/>
              </w:rPr>
              <w:t>-10</w:t>
            </w:r>
            <w:r>
              <w:rPr>
                <w:color w:val="000000" w:themeColor="text1"/>
              </w:rPr>
              <w:t>cm/s</w:t>
            </w:r>
            <w:r>
              <w:rPr>
                <w:snapToGrid w:val="0"/>
                <w:color w:val="000000" w:themeColor="text1"/>
              </w:rPr>
              <w:t>。</w:t>
            </w:r>
          </w:p>
          <w:p w14:paraId="434A5414">
            <w:pPr>
              <w:ind w:firstLine="480"/>
              <w:rPr>
                <w:color w:val="000000" w:themeColor="text1"/>
              </w:rPr>
            </w:pPr>
            <w:r>
              <w:rPr>
                <w:rFonts w:hint="eastAsia"/>
                <w:color w:val="000000" w:themeColor="text1"/>
              </w:rPr>
              <w:t>本项目建成后危险废物贮存应满足如下要求：</w:t>
            </w:r>
          </w:p>
          <w:p w14:paraId="2EB85AB2">
            <w:pPr>
              <w:ind w:firstLine="480"/>
              <w:rPr>
                <w:b/>
                <w:bCs/>
                <w:color w:val="000000" w:themeColor="text1"/>
              </w:rPr>
            </w:pPr>
            <w:r>
              <w:rPr>
                <w:rFonts w:hint="eastAsia"/>
                <w:color w:val="000000" w:themeColor="text1"/>
              </w:rPr>
              <w:t>1）</w:t>
            </w:r>
            <w:r>
              <w:rPr>
                <w:color w:val="000000" w:themeColor="text1"/>
              </w:rPr>
              <w:t>禁止将不相容（相互反应）的危险废物在同一容器内混装，不同种类的危险废物在</w:t>
            </w:r>
            <w:r>
              <w:rPr>
                <w:rFonts w:hint="eastAsia"/>
                <w:color w:val="000000" w:themeColor="text1"/>
              </w:rPr>
              <w:t>危废暂存间</w:t>
            </w:r>
            <w:r>
              <w:rPr>
                <w:color w:val="000000" w:themeColor="text1"/>
              </w:rPr>
              <w:t>内分区存放</w:t>
            </w:r>
            <w:r>
              <w:rPr>
                <w:rFonts w:hint="eastAsia"/>
                <w:color w:val="000000" w:themeColor="text1"/>
              </w:rPr>
              <w:t>。</w:t>
            </w:r>
          </w:p>
          <w:p w14:paraId="1079F3ED">
            <w:pPr>
              <w:ind w:firstLine="480"/>
              <w:rPr>
                <w:color w:val="000000" w:themeColor="text1"/>
              </w:rPr>
            </w:pPr>
            <w:r>
              <w:rPr>
                <w:rFonts w:hint="eastAsia"/>
                <w:color w:val="000000" w:themeColor="text1"/>
              </w:rPr>
              <w:t>2）</w:t>
            </w:r>
            <w:r>
              <w:rPr>
                <w:color w:val="000000" w:themeColor="text1"/>
              </w:rPr>
              <w:t>盛装危废的容器要符合标准要求，容器应根据危险废物的不同特性而设计，容器应不易破损、变形、老化，并能有效地防止渗透、扩散。装有危险废物的容器必须贴有符合</w:t>
            </w:r>
            <w:r>
              <w:rPr>
                <w:rFonts w:hint="eastAsia"/>
                <w:color w:val="000000" w:themeColor="text1"/>
              </w:rPr>
              <w:t>《危险废物贮存污染控制标准》（GB18597-2023）、《危险废物识别标志设置技术规范》（HJ 1276-2022）标准</w:t>
            </w:r>
            <w:r>
              <w:rPr>
                <w:color w:val="000000" w:themeColor="text1"/>
              </w:rPr>
              <w:t>中所示的标签。</w:t>
            </w:r>
          </w:p>
          <w:p w14:paraId="2D4F99C6">
            <w:pPr>
              <w:ind w:firstLine="480"/>
              <w:rPr>
                <w:color w:val="000000" w:themeColor="text1"/>
              </w:rPr>
            </w:pPr>
            <w:r>
              <w:rPr>
                <w:rFonts w:hint="eastAsia"/>
                <w:color w:val="000000" w:themeColor="text1"/>
              </w:rPr>
              <w:t>3）</w:t>
            </w:r>
            <w:r>
              <w:rPr>
                <w:color w:val="000000" w:themeColor="text1"/>
              </w:rPr>
              <w:t>装载液体、半固体危险废物的容器内须留</w:t>
            </w:r>
            <w:r>
              <w:rPr>
                <w:rFonts w:hint="eastAsia"/>
                <w:color w:val="000000" w:themeColor="text1"/>
              </w:rPr>
              <w:t>有</w:t>
            </w:r>
            <w:r>
              <w:rPr>
                <w:color w:val="000000" w:themeColor="text1"/>
              </w:rPr>
              <w:t>足够空间，容器顶部与液体表面之间保留100mm以上的空间。</w:t>
            </w:r>
          </w:p>
          <w:p w14:paraId="2F52E282">
            <w:pPr>
              <w:ind w:firstLine="480"/>
              <w:rPr>
                <w:color w:val="000000" w:themeColor="text1"/>
              </w:rPr>
            </w:pPr>
            <w:r>
              <w:rPr>
                <w:rFonts w:hint="eastAsia"/>
                <w:color w:val="000000" w:themeColor="text1"/>
              </w:rPr>
              <w:t>4）</w:t>
            </w:r>
            <w:r>
              <w:rPr>
                <w:color w:val="000000" w:themeColor="text1"/>
              </w:rPr>
              <w:t>盛装危险废物的容器要带盖。</w:t>
            </w:r>
          </w:p>
          <w:p w14:paraId="40210BA0">
            <w:pPr>
              <w:ind w:firstLine="480"/>
              <w:rPr>
                <w:color w:val="000000" w:themeColor="text1"/>
              </w:rPr>
            </w:pPr>
            <w:r>
              <w:rPr>
                <w:rFonts w:hint="eastAsia"/>
                <w:color w:val="000000" w:themeColor="text1"/>
              </w:rPr>
              <w:t>5）</w:t>
            </w:r>
            <w:r>
              <w:rPr>
                <w:color w:val="000000" w:themeColor="text1"/>
              </w:rPr>
              <w:t>建立档案制度，对暂存的废物种类、数量、特性、包装容器类别、存放</w:t>
            </w:r>
            <w:r>
              <w:rPr>
                <w:rFonts w:hint="eastAsia"/>
                <w:color w:val="000000" w:themeColor="text1"/>
              </w:rPr>
              <w:t>部</w:t>
            </w:r>
            <w:r>
              <w:rPr>
                <w:color w:val="000000" w:themeColor="text1"/>
              </w:rPr>
              <w:t>位、存入日期、运出日期等详细记录在案并长期保存。建立定期巡查、维护制度</w:t>
            </w:r>
            <w:r>
              <w:rPr>
                <w:rFonts w:hint="eastAsia"/>
                <w:color w:val="000000" w:themeColor="text1"/>
              </w:rPr>
              <w:t>。</w:t>
            </w:r>
          </w:p>
          <w:p w14:paraId="757D8AF7">
            <w:pPr>
              <w:ind w:firstLine="480"/>
              <w:rPr>
                <w:color w:val="000000" w:themeColor="text1"/>
              </w:rPr>
            </w:pPr>
            <w:r>
              <w:rPr>
                <w:color w:val="000000" w:themeColor="text1"/>
              </w:rPr>
              <w:t>本项目</w:t>
            </w:r>
            <w:r>
              <w:rPr>
                <w:rFonts w:hint="eastAsia"/>
                <w:color w:val="000000" w:themeColor="text1"/>
              </w:rPr>
              <w:t>建成后</w:t>
            </w:r>
            <w:r>
              <w:rPr>
                <w:color w:val="000000" w:themeColor="text1"/>
              </w:rPr>
              <w:t>危险废物贮存场所基本情况见下表。</w:t>
            </w:r>
          </w:p>
          <w:p w14:paraId="6DA2DFC2">
            <w:pPr>
              <w:pStyle w:val="34"/>
              <w:rPr>
                <w:color w:val="000000" w:themeColor="text1"/>
              </w:rPr>
            </w:pPr>
            <w:r>
              <w:rPr>
                <w:color w:val="000000" w:themeColor="text1"/>
              </w:rPr>
              <w:t>表</w:t>
            </w:r>
            <w:r>
              <w:rPr>
                <w:rFonts w:hint="eastAsia"/>
                <w:color w:val="000000" w:themeColor="text1"/>
              </w:rPr>
              <w:t>53</w:t>
            </w:r>
            <w:r>
              <w:rPr>
                <w:color w:val="000000" w:themeColor="text1"/>
              </w:rPr>
              <w:t xml:space="preserve">  危险废物贮存场所基本情况</w:t>
            </w:r>
            <w:r>
              <w:rPr>
                <w:rFonts w:hint="eastAsia"/>
                <w:color w:val="000000" w:themeColor="text1"/>
              </w:rPr>
              <w:t>一览表</w:t>
            </w:r>
          </w:p>
          <w:tbl>
            <w:tblPr>
              <w:tblStyle w:val="24"/>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73"/>
              <w:gridCol w:w="958"/>
              <w:gridCol w:w="919"/>
              <w:gridCol w:w="855"/>
              <w:gridCol w:w="1231"/>
              <w:gridCol w:w="856"/>
              <w:gridCol w:w="720"/>
              <w:gridCol w:w="780"/>
              <w:gridCol w:w="687"/>
              <w:gridCol w:w="680"/>
            </w:tblGrid>
            <w:tr w14:paraId="676574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7724378B">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序号</w:t>
                  </w:r>
                </w:p>
              </w:tc>
              <w:tc>
                <w:tcPr>
                  <w:tcW w:w="594" w:type="pct"/>
                  <w:tcBorders>
                    <w:tl2br w:val="nil"/>
                    <w:tr2bl w:val="nil"/>
                  </w:tcBorders>
                  <w:vAlign w:val="center"/>
                </w:tcPr>
                <w:p w14:paraId="03AEE48D">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贮存场所（设施）名称</w:t>
                  </w:r>
                </w:p>
              </w:tc>
              <w:tc>
                <w:tcPr>
                  <w:tcW w:w="570" w:type="pct"/>
                  <w:tcBorders>
                    <w:tl2br w:val="nil"/>
                    <w:tr2bl w:val="nil"/>
                  </w:tcBorders>
                  <w:vAlign w:val="center"/>
                </w:tcPr>
                <w:p w14:paraId="43FA175E">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危险废物名称</w:t>
                  </w:r>
                </w:p>
              </w:tc>
              <w:tc>
                <w:tcPr>
                  <w:tcW w:w="530" w:type="pct"/>
                  <w:tcBorders>
                    <w:tl2br w:val="nil"/>
                    <w:tr2bl w:val="nil"/>
                  </w:tcBorders>
                  <w:vAlign w:val="center"/>
                </w:tcPr>
                <w:p w14:paraId="74ED7527">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危险废物类别</w:t>
                  </w:r>
                </w:p>
              </w:tc>
              <w:tc>
                <w:tcPr>
                  <w:tcW w:w="763" w:type="pct"/>
                  <w:tcBorders>
                    <w:tl2br w:val="nil"/>
                    <w:tr2bl w:val="nil"/>
                  </w:tcBorders>
                  <w:vAlign w:val="center"/>
                </w:tcPr>
                <w:p w14:paraId="5C3D51A9">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危险废物代码</w:t>
                  </w:r>
                </w:p>
              </w:tc>
              <w:tc>
                <w:tcPr>
                  <w:tcW w:w="530" w:type="pct"/>
                  <w:tcBorders>
                    <w:tl2br w:val="nil"/>
                    <w:tr2bl w:val="nil"/>
                  </w:tcBorders>
                  <w:vAlign w:val="center"/>
                </w:tcPr>
                <w:p w14:paraId="771214E6">
                  <w:pPr>
                    <w:topLinePunct/>
                    <w:spacing w:line="240" w:lineRule="auto"/>
                    <w:ind w:firstLine="0" w:firstLineChars="0"/>
                    <w:jc w:val="center"/>
                    <w:rPr>
                      <w:b/>
                      <w:color w:val="000000" w:themeColor="text1"/>
                      <w:kern w:val="0"/>
                      <w:sz w:val="21"/>
                      <w:szCs w:val="21"/>
                    </w:rPr>
                  </w:pPr>
                  <w:r>
                    <w:rPr>
                      <w:b/>
                      <w:color w:val="000000" w:themeColor="text1"/>
                      <w:kern w:val="0"/>
                      <w:sz w:val="21"/>
                      <w:szCs w:val="21"/>
                    </w:rPr>
                    <w:t>位置</w:t>
                  </w:r>
                </w:p>
              </w:tc>
              <w:tc>
                <w:tcPr>
                  <w:tcW w:w="446" w:type="pct"/>
                  <w:tcBorders>
                    <w:tl2br w:val="nil"/>
                    <w:tr2bl w:val="nil"/>
                  </w:tcBorders>
                  <w:vAlign w:val="center"/>
                </w:tcPr>
                <w:p w14:paraId="14601B3B">
                  <w:pPr>
                    <w:topLinePunct/>
                    <w:spacing w:line="240" w:lineRule="auto"/>
                    <w:ind w:firstLine="0" w:firstLineChars="0"/>
                    <w:jc w:val="center"/>
                    <w:rPr>
                      <w:b/>
                      <w:color w:val="000000" w:themeColor="text1"/>
                      <w:kern w:val="0"/>
                      <w:sz w:val="21"/>
                      <w:szCs w:val="21"/>
                    </w:rPr>
                  </w:pPr>
                  <w:r>
                    <w:rPr>
                      <w:b/>
                      <w:color w:val="000000" w:themeColor="text1"/>
                      <w:kern w:val="0"/>
                      <w:sz w:val="21"/>
                      <w:szCs w:val="21"/>
                    </w:rPr>
                    <w:t>占地面积</w:t>
                  </w:r>
                </w:p>
              </w:tc>
              <w:tc>
                <w:tcPr>
                  <w:tcW w:w="483" w:type="pct"/>
                  <w:tcBorders>
                    <w:tl2br w:val="nil"/>
                    <w:tr2bl w:val="nil"/>
                  </w:tcBorders>
                  <w:vAlign w:val="center"/>
                </w:tcPr>
                <w:p w14:paraId="6CA5E502">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贮存方式</w:t>
                  </w:r>
                </w:p>
              </w:tc>
              <w:tc>
                <w:tcPr>
                  <w:tcW w:w="425" w:type="pct"/>
                  <w:tcBorders>
                    <w:tl2br w:val="nil"/>
                    <w:tr2bl w:val="nil"/>
                  </w:tcBorders>
                  <w:vAlign w:val="center"/>
                </w:tcPr>
                <w:p w14:paraId="15B30832">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贮存能力</w:t>
                  </w:r>
                </w:p>
              </w:tc>
              <w:tc>
                <w:tcPr>
                  <w:tcW w:w="421" w:type="pct"/>
                  <w:tcBorders>
                    <w:tl2br w:val="nil"/>
                    <w:tr2bl w:val="nil"/>
                  </w:tcBorders>
                  <w:vAlign w:val="center"/>
                </w:tcPr>
                <w:p w14:paraId="697B6ECB">
                  <w:pPr>
                    <w:topLinePunct/>
                    <w:spacing w:line="240" w:lineRule="auto"/>
                    <w:ind w:firstLine="0" w:firstLineChars="0"/>
                    <w:jc w:val="center"/>
                    <w:rPr>
                      <w:b/>
                      <w:color w:val="000000" w:themeColor="text1"/>
                      <w:kern w:val="0"/>
                      <w:sz w:val="21"/>
                      <w:szCs w:val="21"/>
                    </w:rPr>
                  </w:pPr>
                  <w:r>
                    <w:rPr>
                      <w:b/>
                      <w:color w:val="000000" w:themeColor="text1"/>
                      <w:kern w:val="0"/>
                      <w:sz w:val="21"/>
                      <w:szCs w:val="21"/>
                    </w:rPr>
                    <w:t>贮存周期</w:t>
                  </w:r>
                </w:p>
              </w:tc>
            </w:tr>
            <w:tr w14:paraId="791B9A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152AE18E">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1</w:t>
                  </w:r>
                </w:p>
              </w:tc>
              <w:tc>
                <w:tcPr>
                  <w:tcW w:w="594" w:type="pct"/>
                  <w:vMerge w:val="restart"/>
                  <w:tcBorders>
                    <w:tl2br w:val="nil"/>
                    <w:tr2bl w:val="nil"/>
                  </w:tcBorders>
                  <w:vAlign w:val="center"/>
                </w:tcPr>
                <w:p w14:paraId="5F2521AC">
                  <w:pPr>
                    <w:topLinePunct/>
                    <w:spacing w:line="240" w:lineRule="auto"/>
                    <w:ind w:firstLine="0" w:firstLineChars="0"/>
                    <w:jc w:val="center"/>
                    <w:rPr>
                      <w:bCs/>
                      <w:color w:val="000000" w:themeColor="text1"/>
                      <w:kern w:val="0"/>
                      <w:sz w:val="21"/>
                      <w:szCs w:val="21"/>
                    </w:rPr>
                  </w:pPr>
                  <w:r>
                    <w:rPr>
                      <w:bCs/>
                      <w:color w:val="000000" w:themeColor="text1"/>
                      <w:kern w:val="0"/>
                      <w:sz w:val="21"/>
                      <w:szCs w:val="21"/>
                    </w:rPr>
                    <w:t>危废暂存间</w:t>
                  </w:r>
                </w:p>
              </w:tc>
              <w:tc>
                <w:tcPr>
                  <w:tcW w:w="570" w:type="pct"/>
                  <w:tcBorders>
                    <w:tl2br w:val="nil"/>
                    <w:tr2bl w:val="nil"/>
                  </w:tcBorders>
                  <w:shd w:val="clear" w:color="auto" w:fill="auto"/>
                  <w:vAlign w:val="center"/>
                </w:tcPr>
                <w:p w14:paraId="7D12B26C">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530" w:type="pct"/>
                  <w:vMerge w:val="restart"/>
                  <w:tcBorders>
                    <w:tl2br w:val="nil"/>
                    <w:tr2bl w:val="nil"/>
                  </w:tcBorders>
                  <w:shd w:val="clear" w:color="auto" w:fill="auto"/>
                  <w:vAlign w:val="center"/>
                </w:tcPr>
                <w:p w14:paraId="1A43A997">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t>HW08废矿物油与含矿物油废物</w:t>
                  </w:r>
                </w:p>
                <w:p w14:paraId="0D2CA81B">
                  <w:pPr>
                    <w:pStyle w:val="15"/>
                    <w:spacing w:after="0" w:line="240" w:lineRule="auto"/>
                    <w:ind w:left="0" w:leftChars="0" w:right="0" w:rightChars="0" w:firstLine="0" w:firstLineChars="0"/>
                    <w:jc w:val="center"/>
                    <w:rPr>
                      <w:color w:val="000000" w:themeColor="text1"/>
                      <w:sz w:val="21"/>
                      <w:szCs w:val="21"/>
                    </w:rPr>
                  </w:pPr>
                </w:p>
              </w:tc>
              <w:tc>
                <w:tcPr>
                  <w:tcW w:w="763" w:type="pct"/>
                  <w:tcBorders>
                    <w:tl2br w:val="nil"/>
                    <w:tr2bl w:val="nil"/>
                  </w:tcBorders>
                  <w:shd w:val="clear" w:color="auto" w:fill="auto"/>
                  <w:vAlign w:val="center"/>
                </w:tcPr>
                <w:p w14:paraId="4FCBFE7A">
                  <w:pPr>
                    <w:spacing w:line="240" w:lineRule="auto"/>
                    <w:ind w:firstLine="0" w:firstLineChars="0"/>
                    <w:jc w:val="center"/>
                    <w:rPr>
                      <w:snapToGrid w:val="0"/>
                      <w:color w:val="000000" w:themeColor="text1"/>
                      <w:sz w:val="21"/>
                      <w:szCs w:val="21"/>
                    </w:rPr>
                  </w:pPr>
                  <w:r>
                    <w:rPr>
                      <w:rFonts w:hint="eastAsia"/>
                      <w:color w:val="000000" w:themeColor="text1"/>
                      <w:sz w:val="21"/>
                      <w:szCs w:val="21"/>
                    </w:rPr>
                    <w:t>900-218-08</w:t>
                  </w:r>
                </w:p>
              </w:tc>
              <w:tc>
                <w:tcPr>
                  <w:tcW w:w="530" w:type="pct"/>
                  <w:vMerge w:val="restart"/>
                  <w:tcBorders>
                    <w:tl2br w:val="nil"/>
                    <w:tr2bl w:val="nil"/>
                  </w:tcBorders>
                  <w:vAlign w:val="center"/>
                </w:tcPr>
                <w:p w14:paraId="122BFD6F">
                  <w:pPr>
                    <w:topLinePunct/>
                    <w:spacing w:line="240" w:lineRule="auto"/>
                    <w:ind w:firstLine="0" w:firstLineChars="0"/>
                    <w:jc w:val="center"/>
                    <w:rPr>
                      <w:bCs/>
                      <w:color w:val="000000" w:themeColor="text1"/>
                      <w:kern w:val="0"/>
                      <w:sz w:val="21"/>
                      <w:szCs w:val="21"/>
                    </w:rPr>
                  </w:pPr>
                  <w:r>
                    <w:rPr>
                      <w:rFonts w:hint="eastAsia"/>
                      <w:color w:val="000000" w:themeColor="text1"/>
                      <w:sz w:val="21"/>
                      <w:szCs w:val="21"/>
                    </w:rPr>
                    <w:t>厂房内西南侧、油品储存库北侧</w:t>
                  </w:r>
                </w:p>
              </w:tc>
              <w:tc>
                <w:tcPr>
                  <w:tcW w:w="446" w:type="pct"/>
                  <w:vMerge w:val="restart"/>
                  <w:tcBorders>
                    <w:tl2br w:val="nil"/>
                    <w:tr2bl w:val="nil"/>
                  </w:tcBorders>
                  <w:vAlign w:val="center"/>
                </w:tcPr>
                <w:p w14:paraId="3D48C439">
                  <w:pPr>
                    <w:topLinePunct/>
                    <w:spacing w:line="240" w:lineRule="auto"/>
                    <w:ind w:firstLine="0" w:firstLineChars="0"/>
                    <w:jc w:val="center"/>
                    <w:rPr>
                      <w:bCs/>
                      <w:color w:val="000000" w:themeColor="text1"/>
                      <w:kern w:val="0"/>
                      <w:sz w:val="21"/>
                      <w:szCs w:val="21"/>
                    </w:rPr>
                  </w:pPr>
                  <w:r>
                    <w:rPr>
                      <w:rFonts w:hint="eastAsia"/>
                      <w:snapToGrid w:val="0"/>
                      <w:color w:val="000000" w:themeColor="text1"/>
                      <w:spacing w:val="4"/>
                      <w:kern w:val="0"/>
                      <w:sz w:val="21"/>
                      <w:szCs w:val="21"/>
                    </w:rPr>
                    <w:t>8</w:t>
                  </w:r>
                  <w:r>
                    <w:rPr>
                      <w:snapToGrid w:val="0"/>
                      <w:color w:val="000000" w:themeColor="text1"/>
                      <w:spacing w:val="4"/>
                      <w:kern w:val="0"/>
                      <w:sz w:val="21"/>
                      <w:szCs w:val="21"/>
                    </w:rPr>
                    <w:t>m</w:t>
                  </w:r>
                  <w:r>
                    <w:rPr>
                      <w:snapToGrid w:val="0"/>
                      <w:color w:val="000000" w:themeColor="text1"/>
                      <w:spacing w:val="4"/>
                      <w:kern w:val="0"/>
                      <w:sz w:val="21"/>
                      <w:szCs w:val="21"/>
                      <w:vertAlign w:val="superscript"/>
                    </w:rPr>
                    <w:t>2</w:t>
                  </w:r>
                </w:p>
              </w:tc>
              <w:tc>
                <w:tcPr>
                  <w:tcW w:w="483" w:type="pct"/>
                  <w:vMerge w:val="restart"/>
                  <w:tcBorders>
                    <w:tl2br w:val="nil"/>
                    <w:tr2bl w:val="nil"/>
                  </w:tcBorders>
                  <w:shd w:val="clear" w:color="auto" w:fill="auto"/>
                  <w:vAlign w:val="center"/>
                </w:tcPr>
                <w:p w14:paraId="24ACE30F">
                  <w:pPr>
                    <w:spacing w:line="240" w:lineRule="auto"/>
                    <w:ind w:firstLine="0" w:firstLineChars="0"/>
                    <w:jc w:val="center"/>
                    <w:rPr>
                      <w:color w:val="000000" w:themeColor="text1"/>
                      <w:sz w:val="21"/>
                      <w:szCs w:val="21"/>
                    </w:rPr>
                  </w:pPr>
                  <w:r>
                    <w:rPr>
                      <w:rFonts w:hint="eastAsia"/>
                      <w:color w:val="000000" w:themeColor="text1"/>
                      <w:sz w:val="21"/>
                      <w:szCs w:val="21"/>
                    </w:rPr>
                    <w:t>桶装加盖收集</w:t>
                  </w:r>
                </w:p>
              </w:tc>
              <w:tc>
                <w:tcPr>
                  <w:tcW w:w="425" w:type="pct"/>
                  <w:vMerge w:val="restart"/>
                  <w:tcBorders>
                    <w:tl2br w:val="nil"/>
                    <w:tr2bl w:val="nil"/>
                  </w:tcBorders>
                  <w:vAlign w:val="center"/>
                </w:tcPr>
                <w:p w14:paraId="302E091B">
                  <w:pPr>
                    <w:topLinePunct/>
                    <w:adjustRightInd w:val="0"/>
                    <w:snapToGrid w:val="0"/>
                    <w:spacing w:line="240" w:lineRule="auto"/>
                    <w:ind w:firstLine="0" w:firstLineChars="0"/>
                    <w:jc w:val="center"/>
                    <w:rPr>
                      <w:snapToGrid w:val="0"/>
                      <w:color w:val="000000" w:themeColor="text1"/>
                      <w:spacing w:val="4"/>
                      <w:kern w:val="0"/>
                      <w:sz w:val="21"/>
                      <w:szCs w:val="21"/>
                    </w:rPr>
                  </w:pPr>
                  <w:r>
                    <w:rPr>
                      <w:rFonts w:hint="eastAsia"/>
                      <w:snapToGrid w:val="0"/>
                      <w:color w:val="000000" w:themeColor="text1"/>
                      <w:spacing w:val="4"/>
                      <w:kern w:val="0"/>
                      <w:sz w:val="21"/>
                      <w:szCs w:val="21"/>
                    </w:rPr>
                    <w:t>2</w:t>
                  </w:r>
                  <w:r>
                    <w:rPr>
                      <w:snapToGrid w:val="0"/>
                      <w:color w:val="000000" w:themeColor="text1"/>
                      <w:spacing w:val="4"/>
                      <w:kern w:val="0"/>
                      <w:sz w:val="21"/>
                      <w:szCs w:val="21"/>
                    </w:rPr>
                    <w:t>t</w:t>
                  </w:r>
                </w:p>
              </w:tc>
              <w:tc>
                <w:tcPr>
                  <w:tcW w:w="421" w:type="pct"/>
                  <w:vMerge w:val="restart"/>
                  <w:tcBorders>
                    <w:tl2br w:val="nil"/>
                    <w:tr2bl w:val="nil"/>
                  </w:tcBorders>
                  <w:vAlign w:val="center"/>
                </w:tcPr>
                <w:p w14:paraId="5F9FB171">
                  <w:pPr>
                    <w:spacing w:line="240" w:lineRule="auto"/>
                    <w:ind w:firstLine="0" w:firstLineChars="0"/>
                    <w:jc w:val="center"/>
                    <w:rPr>
                      <w:bCs/>
                      <w:snapToGrid w:val="0"/>
                      <w:color w:val="000000" w:themeColor="text1"/>
                      <w:kern w:val="0"/>
                      <w:sz w:val="21"/>
                      <w:szCs w:val="21"/>
                    </w:rPr>
                  </w:pPr>
                  <w:r>
                    <w:rPr>
                      <w:rFonts w:hint="eastAsia"/>
                      <w:bCs/>
                      <w:snapToGrid w:val="0"/>
                      <w:color w:val="000000" w:themeColor="text1"/>
                      <w:kern w:val="0"/>
                      <w:sz w:val="21"/>
                      <w:szCs w:val="21"/>
                    </w:rPr>
                    <w:t>1a</w:t>
                  </w:r>
                </w:p>
              </w:tc>
            </w:tr>
            <w:tr w14:paraId="1B629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5854BD86">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2</w:t>
                  </w:r>
                </w:p>
              </w:tc>
              <w:tc>
                <w:tcPr>
                  <w:tcW w:w="594" w:type="pct"/>
                  <w:vMerge w:val="continue"/>
                  <w:tcBorders>
                    <w:tl2br w:val="nil"/>
                    <w:tr2bl w:val="nil"/>
                  </w:tcBorders>
                  <w:vAlign w:val="center"/>
                </w:tcPr>
                <w:p w14:paraId="585C7A9A">
                  <w:pPr>
                    <w:topLinePunct/>
                    <w:spacing w:line="240" w:lineRule="auto"/>
                    <w:ind w:firstLine="0" w:firstLineChars="0"/>
                    <w:jc w:val="center"/>
                    <w:rPr>
                      <w:bCs/>
                      <w:color w:val="000000" w:themeColor="text1"/>
                      <w:kern w:val="0"/>
                      <w:sz w:val="21"/>
                      <w:szCs w:val="21"/>
                    </w:rPr>
                  </w:pPr>
                </w:p>
              </w:tc>
              <w:tc>
                <w:tcPr>
                  <w:tcW w:w="570" w:type="pct"/>
                  <w:tcBorders>
                    <w:tl2br w:val="nil"/>
                    <w:tr2bl w:val="nil"/>
                  </w:tcBorders>
                  <w:shd w:val="clear" w:color="auto" w:fill="auto"/>
                  <w:vAlign w:val="center"/>
                </w:tcPr>
                <w:p w14:paraId="32CAC987">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废润滑油</w:t>
                  </w:r>
                </w:p>
              </w:tc>
              <w:tc>
                <w:tcPr>
                  <w:tcW w:w="530" w:type="pct"/>
                  <w:vMerge w:val="continue"/>
                  <w:tcBorders>
                    <w:tl2br w:val="nil"/>
                    <w:tr2bl w:val="nil"/>
                  </w:tcBorders>
                  <w:shd w:val="clear" w:color="auto" w:fill="auto"/>
                  <w:vAlign w:val="center"/>
                </w:tcPr>
                <w:p w14:paraId="3CCAE77E">
                  <w:pPr>
                    <w:pStyle w:val="15"/>
                    <w:spacing w:after="0" w:line="240" w:lineRule="auto"/>
                    <w:ind w:left="0" w:leftChars="0" w:right="0" w:rightChars="0" w:firstLine="0" w:firstLineChars="0"/>
                    <w:jc w:val="center"/>
                    <w:rPr>
                      <w:color w:val="000000" w:themeColor="text1"/>
                      <w:sz w:val="21"/>
                      <w:szCs w:val="21"/>
                    </w:rPr>
                  </w:pPr>
                </w:p>
              </w:tc>
              <w:tc>
                <w:tcPr>
                  <w:tcW w:w="763" w:type="pct"/>
                  <w:vMerge w:val="restart"/>
                  <w:tcBorders>
                    <w:tl2br w:val="nil"/>
                    <w:tr2bl w:val="nil"/>
                  </w:tcBorders>
                  <w:shd w:val="clear" w:color="auto" w:fill="auto"/>
                  <w:vAlign w:val="center"/>
                </w:tcPr>
                <w:p w14:paraId="3F7602C5">
                  <w:pPr>
                    <w:spacing w:line="240" w:lineRule="auto"/>
                    <w:ind w:firstLine="0" w:firstLineChars="0"/>
                    <w:jc w:val="center"/>
                    <w:rPr>
                      <w:color w:val="000000" w:themeColor="text1"/>
                      <w:sz w:val="21"/>
                      <w:szCs w:val="21"/>
                    </w:rPr>
                  </w:pPr>
                  <w:r>
                    <w:rPr>
                      <w:snapToGrid w:val="0"/>
                      <w:color w:val="000000" w:themeColor="text1"/>
                      <w:sz w:val="21"/>
                      <w:szCs w:val="21"/>
                    </w:rPr>
                    <w:t>900-217-08</w:t>
                  </w:r>
                </w:p>
              </w:tc>
              <w:tc>
                <w:tcPr>
                  <w:tcW w:w="530" w:type="pct"/>
                  <w:vMerge w:val="continue"/>
                  <w:tcBorders>
                    <w:tl2br w:val="nil"/>
                    <w:tr2bl w:val="nil"/>
                  </w:tcBorders>
                  <w:vAlign w:val="center"/>
                </w:tcPr>
                <w:p w14:paraId="4AD3D138">
                  <w:pPr>
                    <w:topLinePunct/>
                    <w:spacing w:line="240" w:lineRule="auto"/>
                    <w:ind w:firstLine="0" w:firstLineChars="0"/>
                    <w:jc w:val="center"/>
                    <w:rPr>
                      <w:bCs/>
                      <w:color w:val="000000" w:themeColor="text1"/>
                      <w:kern w:val="0"/>
                      <w:sz w:val="21"/>
                      <w:szCs w:val="21"/>
                    </w:rPr>
                  </w:pPr>
                </w:p>
              </w:tc>
              <w:tc>
                <w:tcPr>
                  <w:tcW w:w="446" w:type="pct"/>
                  <w:vMerge w:val="continue"/>
                  <w:tcBorders>
                    <w:tl2br w:val="nil"/>
                    <w:tr2bl w:val="nil"/>
                  </w:tcBorders>
                  <w:vAlign w:val="center"/>
                </w:tcPr>
                <w:p w14:paraId="49ABA86E">
                  <w:pPr>
                    <w:topLinePunct/>
                    <w:spacing w:line="240" w:lineRule="auto"/>
                    <w:ind w:firstLine="0" w:firstLineChars="0"/>
                    <w:jc w:val="center"/>
                    <w:rPr>
                      <w:snapToGrid w:val="0"/>
                      <w:color w:val="000000" w:themeColor="text1"/>
                      <w:spacing w:val="4"/>
                      <w:kern w:val="0"/>
                      <w:sz w:val="21"/>
                      <w:szCs w:val="21"/>
                    </w:rPr>
                  </w:pPr>
                </w:p>
              </w:tc>
              <w:tc>
                <w:tcPr>
                  <w:tcW w:w="483" w:type="pct"/>
                  <w:vMerge w:val="continue"/>
                  <w:tcBorders>
                    <w:tl2br w:val="nil"/>
                    <w:tr2bl w:val="nil"/>
                  </w:tcBorders>
                  <w:shd w:val="clear" w:color="auto" w:fill="auto"/>
                  <w:vAlign w:val="center"/>
                </w:tcPr>
                <w:p w14:paraId="6DD08CDF">
                  <w:pPr>
                    <w:spacing w:line="240" w:lineRule="auto"/>
                    <w:ind w:firstLine="0" w:firstLineChars="0"/>
                    <w:jc w:val="center"/>
                    <w:rPr>
                      <w:color w:val="000000" w:themeColor="text1"/>
                      <w:sz w:val="21"/>
                      <w:szCs w:val="21"/>
                    </w:rPr>
                  </w:pPr>
                </w:p>
              </w:tc>
              <w:tc>
                <w:tcPr>
                  <w:tcW w:w="425" w:type="pct"/>
                  <w:vMerge w:val="continue"/>
                  <w:tcBorders>
                    <w:tl2br w:val="nil"/>
                    <w:tr2bl w:val="nil"/>
                  </w:tcBorders>
                  <w:vAlign w:val="center"/>
                </w:tcPr>
                <w:p w14:paraId="6FBD193E">
                  <w:pPr>
                    <w:topLinePunct/>
                    <w:adjustRightInd w:val="0"/>
                    <w:snapToGrid w:val="0"/>
                    <w:spacing w:line="240" w:lineRule="auto"/>
                    <w:ind w:firstLine="0" w:firstLineChars="0"/>
                    <w:jc w:val="center"/>
                    <w:rPr>
                      <w:snapToGrid w:val="0"/>
                      <w:color w:val="000000" w:themeColor="text1"/>
                      <w:spacing w:val="4"/>
                      <w:kern w:val="0"/>
                      <w:sz w:val="21"/>
                      <w:szCs w:val="21"/>
                    </w:rPr>
                  </w:pPr>
                </w:p>
              </w:tc>
              <w:tc>
                <w:tcPr>
                  <w:tcW w:w="421" w:type="pct"/>
                  <w:vMerge w:val="continue"/>
                  <w:tcBorders>
                    <w:tl2br w:val="nil"/>
                    <w:tr2bl w:val="nil"/>
                  </w:tcBorders>
                  <w:vAlign w:val="center"/>
                </w:tcPr>
                <w:p w14:paraId="52A2696C">
                  <w:pPr>
                    <w:spacing w:line="240" w:lineRule="auto"/>
                    <w:ind w:firstLine="0" w:firstLineChars="0"/>
                    <w:jc w:val="center"/>
                    <w:rPr>
                      <w:bCs/>
                      <w:snapToGrid w:val="0"/>
                      <w:color w:val="000000" w:themeColor="text1"/>
                      <w:kern w:val="0"/>
                      <w:sz w:val="21"/>
                      <w:szCs w:val="21"/>
                    </w:rPr>
                  </w:pPr>
                </w:p>
              </w:tc>
            </w:tr>
            <w:tr w14:paraId="4858A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1893E4D8">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3</w:t>
                  </w:r>
                </w:p>
              </w:tc>
              <w:tc>
                <w:tcPr>
                  <w:tcW w:w="594" w:type="pct"/>
                  <w:vMerge w:val="continue"/>
                  <w:tcBorders>
                    <w:tl2br w:val="nil"/>
                    <w:tr2bl w:val="nil"/>
                  </w:tcBorders>
                  <w:vAlign w:val="center"/>
                </w:tcPr>
                <w:p w14:paraId="58AE1122">
                  <w:pPr>
                    <w:topLinePunct/>
                    <w:spacing w:line="240" w:lineRule="auto"/>
                    <w:ind w:firstLine="0" w:firstLineChars="0"/>
                    <w:jc w:val="center"/>
                    <w:rPr>
                      <w:bCs/>
                      <w:color w:val="000000" w:themeColor="text1"/>
                      <w:kern w:val="0"/>
                      <w:sz w:val="21"/>
                      <w:szCs w:val="21"/>
                    </w:rPr>
                  </w:pPr>
                </w:p>
              </w:tc>
              <w:tc>
                <w:tcPr>
                  <w:tcW w:w="570" w:type="pct"/>
                  <w:tcBorders>
                    <w:tl2br w:val="nil"/>
                    <w:tr2bl w:val="nil"/>
                  </w:tcBorders>
                  <w:shd w:val="clear" w:color="auto" w:fill="auto"/>
                  <w:vAlign w:val="center"/>
                </w:tcPr>
                <w:p w14:paraId="0FD372A8">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530" w:type="pct"/>
                  <w:vMerge w:val="continue"/>
                  <w:tcBorders>
                    <w:tl2br w:val="nil"/>
                    <w:tr2bl w:val="nil"/>
                  </w:tcBorders>
                  <w:shd w:val="clear" w:color="auto" w:fill="auto"/>
                  <w:vAlign w:val="center"/>
                </w:tcPr>
                <w:p w14:paraId="58D55677">
                  <w:pPr>
                    <w:pStyle w:val="15"/>
                    <w:spacing w:after="0" w:line="240" w:lineRule="auto"/>
                    <w:ind w:left="0" w:leftChars="0" w:right="0" w:rightChars="0" w:firstLine="0" w:firstLineChars="0"/>
                    <w:jc w:val="center"/>
                    <w:rPr>
                      <w:color w:val="000000" w:themeColor="text1"/>
                      <w:sz w:val="21"/>
                      <w:szCs w:val="21"/>
                    </w:rPr>
                  </w:pPr>
                </w:p>
              </w:tc>
              <w:tc>
                <w:tcPr>
                  <w:tcW w:w="763" w:type="pct"/>
                  <w:vMerge w:val="continue"/>
                  <w:tcBorders>
                    <w:tl2br w:val="nil"/>
                    <w:tr2bl w:val="nil"/>
                  </w:tcBorders>
                  <w:shd w:val="clear" w:color="auto" w:fill="auto"/>
                  <w:vAlign w:val="center"/>
                </w:tcPr>
                <w:p w14:paraId="5E31F51B">
                  <w:pPr>
                    <w:spacing w:line="240" w:lineRule="auto"/>
                    <w:ind w:firstLine="0" w:firstLineChars="0"/>
                    <w:jc w:val="center"/>
                    <w:rPr>
                      <w:snapToGrid w:val="0"/>
                      <w:color w:val="000000" w:themeColor="text1"/>
                      <w:sz w:val="21"/>
                      <w:szCs w:val="21"/>
                    </w:rPr>
                  </w:pPr>
                </w:p>
              </w:tc>
              <w:tc>
                <w:tcPr>
                  <w:tcW w:w="530" w:type="pct"/>
                  <w:vMerge w:val="continue"/>
                  <w:tcBorders>
                    <w:tl2br w:val="nil"/>
                    <w:tr2bl w:val="nil"/>
                  </w:tcBorders>
                  <w:vAlign w:val="center"/>
                </w:tcPr>
                <w:p w14:paraId="3A8D67C9">
                  <w:pPr>
                    <w:topLinePunct/>
                    <w:spacing w:line="240" w:lineRule="auto"/>
                    <w:ind w:firstLine="0" w:firstLineChars="0"/>
                    <w:jc w:val="center"/>
                    <w:rPr>
                      <w:bCs/>
                      <w:color w:val="000000" w:themeColor="text1"/>
                      <w:kern w:val="0"/>
                      <w:sz w:val="21"/>
                      <w:szCs w:val="21"/>
                    </w:rPr>
                  </w:pPr>
                </w:p>
              </w:tc>
              <w:tc>
                <w:tcPr>
                  <w:tcW w:w="446" w:type="pct"/>
                  <w:vMerge w:val="continue"/>
                  <w:tcBorders>
                    <w:tl2br w:val="nil"/>
                    <w:tr2bl w:val="nil"/>
                  </w:tcBorders>
                  <w:vAlign w:val="center"/>
                </w:tcPr>
                <w:p w14:paraId="1216ADB7">
                  <w:pPr>
                    <w:topLinePunct/>
                    <w:spacing w:line="240" w:lineRule="auto"/>
                    <w:ind w:firstLine="0" w:firstLineChars="0"/>
                    <w:jc w:val="center"/>
                    <w:rPr>
                      <w:snapToGrid w:val="0"/>
                      <w:color w:val="000000" w:themeColor="text1"/>
                      <w:spacing w:val="4"/>
                      <w:kern w:val="0"/>
                      <w:sz w:val="21"/>
                      <w:szCs w:val="21"/>
                    </w:rPr>
                  </w:pPr>
                </w:p>
              </w:tc>
              <w:tc>
                <w:tcPr>
                  <w:tcW w:w="483" w:type="pct"/>
                  <w:vMerge w:val="continue"/>
                  <w:tcBorders>
                    <w:tl2br w:val="nil"/>
                    <w:tr2bl w:val="nil"/>
                  </w:tcBorders>
                  <w:shd w:val="clear" w:color="auto" w:fill="auto"/>
                  <w:vAlign w:val="center"/>
                </w:tcPr>
                <w:p w14:paraId="415DEB63">
                  <w:pPr>
                    <w:spacing w:line="240" w:lineRule="auto"/>
                    <w:ind w:firstLine="0" w:firstLineChars="0"/>
                    <w:jc w:val="center"/>
                    <w:rPr>
                      <w:color w:val="000000" w:themeColor="text1"/>
                      <w:sz w:val="21"/>
                      <w:szCs w:val="21"/>
                    </w:rPr>
                  </w:pPr>
                </w:p>
              </w:tc>
              <w:tc>
                <w:tcPr>
                  <w:tcW w:w="425" w:type="pct"/>
                  <w:vMerge w:val="continue"/>
                  <w:tcBorders>
                    <w:tl2br w:val="nil"/>
                    <w:tr2bl w:val="nil"/>
                  </w:tcBorders>
                  <w:vAlign w:val="center"/>
                </w:tcPr>
                <w:p w14:paraId="640DFCE1">
                  <w:pPr>
                    <w:topLinePunct/>
                    <w:adjustRightInd w:val="0"/>
                    <w:snapToGrid w:val="0"/>
                    <w:spacing w:line="240" w:lineRule="auto"/>
                    <w:ind w:firstLine="0" w:firstLineChars="0"/>
                    <w:jc w:val="center"/>
                    <w:rPr>
                      <w:snapToGrid w:val="0"/>
                      <w:color w:val="000000" w:themeColor="text1"/>
                      <w:spacing w:val="4"/>
                      <w:kern w:val="0"/>
                      <w:sz w:val="21"/>
                      <w:szCs w:val="21"/>
                    </w:rPr>
                  </w:pPr>
                </w:p>
              </w:tc>
              <w:tc>
                <w:tcPr>
                  <w:tcW w:w="421" w:type="pct"/>
                  <w:vMerge w:val="continue"/>
                  <w:tcBorders>
                    <w:tl2br w:val="nil"/>
                    <w:tr2bl w:val="nil"/>
                  </w:tcBorders>
                  <w:vAlign w:val="center"/>
                </w:tcPr>
                <w:p w14:paraId="22854834">
                  <w:pPr>
                    <w:spacing w:line="240" w:lineRule="auto"/>
                    <w:ind w:firstLine="0" w:firstLineChars="0"/>
                    <w:jc w:val="center"/>
                    <w:rPr>
                      <w:bCs/>
                      <w:snapToGrid w:val="0"/>
                      <w:color w:val="000000" w:themeColor="text1"/>
                      <w:kern w:val="0"/>
                      <w:sz w:val="21"/>
                      <w:szCs w:val="21"/>
                    </w:rPr>
                  </w:pPr>
                </w:p>
              </w:tc>
            </w:tr>
            <w:tr w14:paraId="3494A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tcBorders>
                    <w:tl2br w:val="nil"/>
                    <w:tr2bl w:val="nil"/>
                  </w:tcBorders>
                  <w:vAlign w:val="center"/>
                </w:tcPr>
                <w:p w14:paraId="193B5BB8">
                  <w:pPr>
                    <w:topLinePunct/>
                    <w:spacing w:line="240" w:lineRule="auto"/>
                    <w:ind w:firstLine="0" w:firstLineChars="0"/>
                    <w:jc w:val="center"/>
                    <w:rPr>
                      <w:bCs/>
                      <w:color w:val="000000" w:themeColor="text1"/>
                      <w:kern w:val="0"/>
                      <w:sz w:val="21"/>
                      <w:szCs w:val="21"/>
                    </w:rPr>
                  </w:pPr>
                  <w:r>
                    <w:rPr>
                      <w:rFonts w:hint="eastAsia"/>
                      <w:bCs/>
                      <w:color w:val="000000" w:themeColor="text1"/>
                      <w:kern w:val="0"/>
                      <w:sz w:val="21"/>
                      <w:szCs w:val="21"/>
                    </w:rPr>
                    <w:t>4</w:t>
                  </w:r>
                </w:p>
              </w:tc>
              <w:tc>
                <w:tcPr>
                  <w:tcW w:w="594" w:type="pct"/>
                  <w:vMerge w:val="continue"/>
                  <w:tcBorders>
                    <w:tl2br w:val="nil"/>
                    <w:tr2bl w:val="nil"/>
                  </w:tcBorders>
                  <w:vAlign w:val="center"/>
                </w:tcPr>
                <w:p w14:paraId="255FEBF1">
                  <w:pPr>
                    <w:topLinePunct/>
                    <w:spacing w:line="240" w:lineRule="auto"/>
                    <w:ind w:firstLine="0" w:firstLineChars="0"/>
                    <w:jc w:val="center"/>
                    <w:rPr>
                      <w:bCs/>
                      <w:color w:val="000000" w:themeColor="text1"/>
                      <w:kern w:val="0"/>
                      <w:sz w:val="21"/>
                      <w:szCs w:val="21"/>
                    </w:rPr>
                  </w:pPr>
                </w:p>
              </w:tc>
              <w:tc>
                <w:tcPr>
                  <w:tcW w:w="570" w:type="pct"/>
                  <w:tcBorders>
                    <w:tl2br w:val="nil"/>
                    <w:tr2bl w:val="nil"/>
                  </w:tcBorders>
                  <w:vAlign w:val="center"/>
                </w:tcPr>
                <w:p w14:paraId="1583882E">
                  <w:pPr>
                    <w:pStyle w:val="66"/>
                    <w:spacing w:line="240" w:lineRule="auto"/>
                    <w:ind w:left="0" w:right="0" w:firstLine="0" w:firstLineChars="0"/>
                    <w:rPr>
                      <w:color w:val="000000" w:themeColor="text1"/>
                      <w:kern w:val="2"/>
                      <w:sz w:val="21"/>
                    </w:rPr>
                  </w:pPr>
                  <w:r>
                    <w:rPr>
                      <w:rFonts w:hint="eastAsia"/>
                      <w:color w:val="000000" w:themeColor="text1"/>
                      <w:sz w:val="21"/>
                    </w:rPr>
                    <w:t>废油桶</w:t>
                  </w:r>
                </w:p>
              </w:tc>
              <w:tc>
                <w:tcPr>
                  <w:tcW w:w="530" w:type="pct"/>
                  <w:vMerge w:val="continue"/>
                  <w:tcBorders>
                    <w:tl2br w:val="nil"/>
                    <w:tr2bl w:val="nil"/>
                  </w:tcBorders>
                  <w:vAlign w:val="center"/>
                </w:tcPr>
                <w:p w14:paraId="30D2D661">
                  <w:pPr>
                    <w:topLinePunct/>
                    <w:spacing w:line="240" w:lineRule="auto"/>
                    <w:ind w:firstLine="0" w:firstLineChars="0"/>
                    <w:jc w:val="center"/>
                    <w:rPr>
                      <w:color w:val="000000" w:themeColor="text1"/>
                      <w:sz w:val="21"/>
                      <w:szCs w:val="21"/>
                    </w:rPr>
                  </w:pPr>
                </w:p>
              </w:tc>
              <w:tc>
                <w:tcPr>
                  <w:tcW w:w="763" w:type="pct"/>
                  <w:tcBorders>
                    <w:tl2br w:val="nil"/>
                    <w:tr2bl w:val="nil"/>
                  </w:tcBorders>
                  <w:shd w:val="clear" w:color="auto" w:fill="auto"/>
                  <w:vAlign w:val="center"/>
                </w:tcPr>
                <w:p w14:paraId="2AF48EAF">
                  <w:pPr>
                    <w:spacing w:line="240" w:lineRule="auto"/>
                    <w:ind w:firstLine="0" w:firstLineChars="0"/>
                    <w:jc w:val="center"/>
                    <w:rPr>
                      <w:color w:val="000000" w:themeColor="text1"/>
                      <w:sz w:val="21"/>
                      <w:szCs w:val="21"/>
                    </w:rPr>
                  </w:pPr>
                  <w:r>
                    <w:rPr>
                      <w:color w:val="000000" w:themeColor="text1"/>
                      <w:kern w:val="0"/>
                      <w:sz w:val="21"/>
                      <w:szCs w:val="21"/>
                    </w:rPr>
                    <w:t>900-249-08</w:t>
                  </w:r>
                </w:p>
              </w:tc>
              <w:tc>
                <w:tcPr>
                  <w:tcW w:w="530" w:type="pct"/>
                  <w:vMerge w:val="continue"/>
                  <w:tcBorders>
                    <w:tl2br w:val="nil"/>
                    <w:tr2bl w:val="nil"/>
                  </w:tcBorders>
                  <w:vAlign w:val="center"/>
                </w:tcPr>
                <w:p w14:paraId="53AF7357">
                  <w:pPr>
                    <w:topLinePunct/>
                    <w:spacing w:line="240" w:lineRule="auto"/>
                    <w:ind w:firstLine="0" w:firstLineChars="0"/>
                    <w:jc w:val="center"/>
                    <w:rPr>
                      <w:bCs/>
                      <w:color w:val="000000" w:themeColor="text1"/>
                      <w:kern w:val="0"/>
                      <w:sz w:val="21"/>
                      <w:szCs w:val="21"/>
                    </w:rPr>
                  </w:pPr>
                </w:p>
              </w:tc>
              <w:tc>
                <w:tcPr>
                  <w:tcW w:w="446" w:type="pct"/>
                  <w:vMerge w:val="continue"/>
                  <w:tcBorders>
                    <w:tl2br w:val="nil"/>
                    <w:tr2bl w:val="nil"/>
                  </w:tcBorders>
                  <w:vAlign w:val="center"/>
                </w:tcPr>
                <w:p w14:paraId="5FCE4A8B">
                  <w:pPr>
                    <w:topLinePunct/>
                    <w:spacing w:line="240" w:lineRule="auto"/>
                    <w:ind w:firstLine="0" w:firstLineChars="0"/>
                    <w:jc w:val="center"/>
                    <w:rPr>
                      <w:bCs/>
                      <w:color w:val="000000" w:themeColor="text1"/>
                      <w:kern w:val="0"/>
                      <w:sz w:val="21"/>
                      <w:szCs w:val="21"/>
                    </w:rPr>
                  </w:pPr>
                </w:p>
              </w:tc>
              <w:tc>
                <w:tcPr>
                  <w:tcW w:w="483" w:type="pct"/>
                  <w:tcBorders>
                    <w:tl2br w:val="nil"/>
                    <w:tr2bl w:val="nil"/>
                  </w:tcBorders>
                  <w:vAlign w:val="center"/>
                </w:tcPr>
                <w:p w14:paraId="7D8B1FC0">
                  <w:pPr>
                    <w:spacing w:line="240" w:lineRule="auto"/>
                    <w:ind w:firstLine="0" w:firstLineChars="0"/>
                    <w:jc w:val="center"/>
                    <w:rPr>
                      <w:color w:val="000000" w:themeColor="text1"/>
                      <w:sz w:val="21"/>
                      <w:szCs w:val="21"/>
                    </w:rPr>
                  </w:pPr>
                  <w:r>
                    <w:rPr>
                      <w:rFonts w:hint="eastAsia"/>
                      <w:color w:val="000000" w:themeColor="text1"/>
                      <w:sz w:val="21"/>
                      <w:szCs w:val="21"/>
                    </w:rPr>
                    <w:t>加盖</w:t>
                  </w:r>
                </w:p>
              </w:tc>
              <w:tc>
                <w:tcPr>
                  <w:tcW w:w="425" w:type="pct"/>
                  <w:vMerge w:val="continue"/>
                  <w:tcBorders>
                    <w:tl2br w:val="nil"/>
                    <w:tr2bl w:val="nil"/>
                  </w:tcBorders>
                  <w:vAlign w:val="center"/>
                </w:tcPr>
                <w:p w14:paraId="190D26DC">
                  <w:pPr>
                    <w:topLinePunct/>
                    <w:spacing w:line="240" w:lineRule="auto"/>
                    <w:ind w:firstLine="0" w:firstLineChars="0"/>
                    <w:jc w:val="center"/>
                    <w:rPr>
                      <w:bCs/>
                      <w:color w:val="000000" w:themeColor="text1"/>
                      <w:kern w:val="0"/>
                      <w:sz w:val="21"/>
                      <w:szCs w:val="21"/>
                    </w:rPr>
                  </w:pPr>
                </w:p>
              </w:tc>
              <w:tc>
                <w:tcPr>
                  <w:tcW w:w="421" w:type="pct"/>
                  <w:vMerge w:val="continue"/>
                  <w:tcBorders>
                    <w:tl2br w:val="nil"/>
                    <w:tr2bl w:val="nil"/>
                  </w:tcBorders>
                  <w:vAlign w:val="center"/>
                </w:tcPr>
                <w:p w14:paraId="7E0636BF">
                  <w:pPr>
                    <w:topLinePunct/>
                    <w:spacing w:line="240" w:lineRule="auto"/>
                    <w:ind w:firstLine="0" w:firstLineChars="0"/>
                    <w:jc w:val="center"/>
                    <w:rPr>
                      <w:bCs/>
                      <w:color w:val="000000" w:themeColor="text1"/>
                      <w:kern w:val="0"/>
                      <w:sz w:val="21"/>
                      <w:szCs w:val="21"/>
                    </w:rPr>
                  </w:pPr>
                </w:p>
              </w:tc>
            </w:tr>
          </w:tbl>
          <w:p w14:paraId="5DDB4460">
            <w:pPr>
              <w:ind w:firstLine="480"/>
              <w:rPr>
                <w:color w:val="000000" w:themeColor="text1"/>
              </w:rPr>
            </w:pPr>
            <w:r>
              <w:rPr>
                <w:rFonts w:hint="eastAsia"/>
                <w:color w:val="000000" w:themeColor="text1"/>
              </w:rPr>
              <w:t>（3）</w:t>
            </w:r>
            <w:r>
              <w:rPr>
                <w:color w:val="000000" w:themeColor="text1"/>
              </w:rPr>
              <w:t xml:space="preserve">危险废物运输 </w:t>
            </w:r>
          </w:p>
          <w:p w14:paraId="5C511FEC">
            <w:pPr>
              <w:ind w:firstLine="480"/>
              <w:rPr>
                <w:color w:val="000000" w:themeColor="text1"/>
              </w:rPr>
            </w:pPr>
            <w:r>
              <w:rPr>
                <w:color w:val="000000" w:themeColor="text1"/>
              </w:rPr>
              <w:t xml:space="preserve">本项目产生的危险废物按照《危险废物收集、贮存、运输技术规范》 （HJ2025-2012）相关要求进行运输，并按要求填写危险废物的收集记录、厂内转运记录表，并将记录表作为危险废物管理的重要档案妥善保存。 </w:t>
            </w:r>
          </w:p>
          <w:p w14:paraId="4F29B168">
            <w:pPr>
              <w:ind w:firstLine="480"/>
              <w:rPr>
                <w:color w:val="000000" w:themeColor="text1"/>
              </w:rPr>
            </w:pPr>
            <w:r>
              <w:rPr>
                <w:rFonts w:hint="eastAsia"/>
                <w:color w:val="000000" w:themeColor="text1"/>
              </w:rPr>
              <w:t>1）</w:t>
            </w:r>
            <w:r>
              <w:rPr>
                <w:color w:val="000000" w:themeColor="text1"/>
              </w:rPr>
              <w:t xml:space="preserve">运输承运危险废物时，应按照相关标准要求在危险废物包装上设置标志。 </w:t>
            </w:r>
          </w:p>
          <w:p w14:paraId="23027DDC">
            <w:pPr>
              <w:ind w:firstLine="480"/>
              <w:rPr>
                <w:color w:val="000000" w:themeColor="text1"/>
              </w:rPr>
            </w:pPr>
            <w:r>
              <w:rPr>
                <w:rFonts w:hint="eastAsia"/>
                <w:color w:val="000000" w:themeColor="text1"/>
              </w:rPr>
              <w:t>2）</w:t>
            </w:r>
            <w:r>
              <w:rPr>
                <w:color w:val="000000" w:themeColor="text1"/>
              </w:rPr>
              <w:t xml:space="preserve">所有运输车辆按规定的路线运输。 </w:t>
            </w:r>
          </w:p>
          <w:p w14:paraId="43E72714">
            <w:pPr>
              <w:ind w:firstLine="480"/>
              <w:rPr>
                <w:color w:val="000000" w:themeColor="text1"/>
              </w:rPr>
            </w:pPr>
            <w:r>
              <w:rPr>
                <w:rFonts w:hint="eastAsia"/>
                <w:color w:val="000000" w:themeColor="text1"/>
              </w:rPr>
              <w:t>3）</w:t>
            </w:r>
            <w:r>
              <w:rPr>
                <w:color w:val="000000" w:themeColor="text1"/>
              </w:rPr>
              <w:t xml:space="preserve">运输过程中危险废物应放置在密闭容器中，且运输设施应为封闭结构，具有防臭防遗撒功能，安装行驶及装卸记录仪。 </w:t>
            </w:r>
          </w:p>
          <w:p w14:paraId="251D8CD4">
            <w:pPr>
              <w:ind w:firstLine="480"/>
              <w:rPr>
                <w:color w:val="000000" w:themeColor="text1"/>
              </w:rPr>
            </w:pPr>
            <w:r>
              <w:rPr>
                <w:rFonts w:hint="eastAsia"/>
                <w:color w:val="000000" w:themeColor="text1"/>
              </w:rPr>
              <w:t>4）</w:t>
            </w:r>
            <w:r>
              <w:rPr>
                <w:color w:val="000000" w:themeColor="text1"/>
              </w:rPr>
              <w:t xml:space="preserve">危险废物内部转运作业应采用专用的工具，危险废物内部转运应按照标准要求填写《危险废物厂内转运记录表》。 </w:t>
            </w:r>
          </w:p>
          <w:p w14:paraId="15A5EE52">
            <w:pPr>
              <w:ind w:firstLine="480"/>
              <w:rPr>
                <w:color w:val="000000" w:themeColor="text1"/>
              </w:rPr>
            </w:pPr>
            <w:r>
              <w:rPr>
                <w:rFonts w:hint="eastAsia"/>
                <w:color w:val="000000" w:themeColor="text1"/>
              </w:rPr>
              <w:t>5）</w:t>
            </w:r>
            <w:r>
              <w:rPr>
                <w:color w:val="000000" w:themeColor="text1"/>
              </w:rPr>
              <w:t>危险废物内部转运结束后，应对转运路线进行检查和清理，</w:t>
            </w:r>
            <w:r>
              <w:rPr>
                <w:rFonts w:hint="eastAsia"/>
                <w:color w:val="000000" w:themeColor="text1"/>
              </w:rPr>
              <w:t>确保</w:t>
            </w:r>
            <w:r>
              <w:rPr>
                <w:color w:val="000000" w:themeColor="text1"/>
              </w:rPr>
              <w:t>无危险废物遗失在转运路线上。</w:t>
            </w:r>
          </w:p>
          <w:p w14:paraId="48460FA1">
            <w:pPr>
              <w:ind w:firstLine="480"/>
              <w:rPr>
                <w:color w:val="000000" w:themeColor="text1"/>
              </w:rPr>
            </w:pPr>
            <w:r>
              <w:rPr>
                <w:rFonts w:hint="eastAsia"/>
                <w:color w:val="000000" w:themeColor="text1"/>
              </w:rPr>
              <w:t>6）危险废物转移运输车辆应有资质，转移过程有电子联单。</w:t>
            </w:r>
          </w:p>
          <w:p w14:paraId="33F2AC00">
            <w:pPr>
              <w:ind w:firstLine="480"/>
              <w:rPr>
                <w:color w:val="000000" w:themeColor="text1"/>
              </w:rPr>
            </w:pPr>
            <w:r>
              <w:rPr>
                <w:rFonts w:hint="eastAsia"/>
                <w:color w:val="000000" w:themeColor="text1"/>
              </w:rPr>
              <w:t>（4）危险废物台账管理要求</w:t>
            </w:r>
          </w:p>
          <w:p w14:paraId="4C5C7279">
            <w:pPr>
              <w:ind w:firstLine="480"/>
              <w:rPr>
                <w:color w:val="000000" w:themeColor="text1"/>
              </w:rPr>
            </w:pPr>
            <w:r>
              <w:rPr>
                <w:rFonts w:hint="eastAsia"/>
                <w:color w:val="000000" w:themeColor="text1"/>
              </w:rPr>
              <w:t>1）建立危险废物管理台账，落实危险废物管理台账记录的责任人，明确工作职责，并对危险废物管理台账的真实性、准确性和完整性负法律责任。</w:t>
            </w:r>
          </w:p>
          <w:p w14:paraId="74790518">
            <w:pPr>
              <w:ind w:firstLine="480"/>
              <w:rPr>
                <w:color w:val="000000" w:themeColor="text1"/>
              </w:rPr>
            </w:pPr>
            <w:r>
              <w:rPr>
                <w:rFonts w:hint="eastAsia"/>
                <w:color w:val="000000" w:themeColor="text1"/>
              </w:rPr>
              <w:t>2）</w:t>
            </w:r>
            <w:r>
              <w:rPr>
                <w:color w:val="000000" w:themeColor="text1"/>
              </w:rPr>
              <w:t>根据危险废物产生、处置等环节的动态流向，如实建立各环节的危险废物管理台账</w:t>
            </w:r>
            <w:r>
              <w:rPr>
                <w:rFonts w:hint="eastAsia"/>
                <w:color w:val="000000" w:themeColor="text1"/>
              </w:rPr>
              <w:t>。</w:t>
            </w:r>
          </w:p>
          <w:p w14:paraId="582840F6">
            <w:pPr>
              <w:ind w:firstLine="480"/>
              <w:rPr>
                <w:color w:val="000000" w:themeColor="text1"/>
              </w:rPr>
            </w:pPr>
            <w:r>
              <w:rPr>
                <w:rFonts w:hint="eastAsia"/>
                <w:color w:val="000000" w:themeColor="text1"/>
              </w:rPr>
              <w:t>3）</w:t>
            </w:r>
            <w:r>
              <w:rPr>
                <w:color w:val="000000" w:themeColor="text1"/>
              </w:rPr>
              <w:t>危险废物产生环节，应记录产生批次编码、产生时间、危险废物名称、危险废物类别、危险废物代码、产生量、计量单位产生危险废物设施编码、产生部门经办人、去向等</w:t>
            </w:r>
            <w:r>
              <w:rPr>
                <w:rFonts w:hint="eastAsia"/>
                <w:color w:val="000000" w:themeColor="text1"/>
              </w:rPr>
              <w:t>。</w:t>
            </w:r>
          </w:p>
          <w:p w14:paraId="3D664C44">
            <w:pPr>
              <w:ind w:firstLine="480"/>
              <w:rPr>
                <w:color w:val="000000" w:themeColor="text1"/>
              </w:rPr>
            </w:pPr>
            <w:r>
              <w:rPr>
                <w:rFonts w:hint="eastAsia"/>
                <w:color w:val="000000" w:themeColor="text1"/>
              </w:rPr>
              <w:t>4）</w:t>
            </w:r>
            <w:r>
              <w:rPr>
                <w:color w:val="000000" w:themeColor="text1"/>
              </w:rPr>
              <w:t>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r>
              <w:rPr>
                <w:rFonts w:hint="eastAsia"/>
                <w:color w:val="000000" w:themeColor="text1"/>
              </w:rPr>
              <w:t>。</w:t>
            </w:r>
          </w:p>
          <w:p w14:paraId="209F3F05">
            <w:pPr>
              <w:ind w:firstLine="480"/>
              <w:rPr>
                <w:color w:val="000000" w:themeColor="text1"/>
              </w:rPr>
            </w:pPr>
            <w:r>
              <w:rPr>
                <w:rFonts w:hint="eastAsia"/>
                <w:color w:val="000000" w:themeColor="text1"/>
              </w:rPr>
              <w:t>5）根据《河北省固体废物污染环境防治条例》，危险废物管理台账</w:t>
            </w:r>
            <w:r>
              <w:rPr>
                <w:color w:val="000000" w:themeColor="text1"/>
              </w:rPr>
              <w:t>保存时间</w:t>
            </w:r>
            <w:r>
              <w:rPr>
                <w:rFonts w:hint="eastAsia"/>
                <w:color w:val="000000" w:themeColor="text1"/>
              </w:rPr>
              <w:t>应当在10年以上。</w:t>
            </w:r>
          </w:p>
          <w:p w14:paraId="74A088E0">
            <w:pPr>
              <w:ind w:firstLine="480"/>
              <w:rPr>
                <w:color w:val="000000" w:themeColor="text1"/>
              </w:rPr>
            </w:pPr>
            <w:r>
              <w:rPr>
                <w:rFonts w:hint="eastAsia"/>
                <w:color w:val="000000" w:themeColor="text1"/>
              </w:rPr>
              <w:t>（5）危险废物识别标志</w:t>
            </w:r>
          </w:p>
          <w:p w14:paraId="202D5C26">
            <w:pPr>
              <w:ind w:firstLine="480"/>
              <w:rPr>
                <w:color w:val="000000" w:themeColor="text1"/>
              </w:rPr>
            </w:pPr>
            <w:r>
              <w:rPr>
                <w:rFonts w:hint="eastAsia"/>
                <w:color w:val="000000" w:themeColor="text1"/>
              </w:rPr>
              <w:t>依据《危险废物识别标志设置技术规范》（HJ1276-2022），本项目应采取以下措施：</w:t>
            </w:r>
          </w:p>
          <w:p w14:paraId="6509090D">
            <w:pPr>
              <w:ind w:firstLine="480"/>
              <w:rPr>
                <w:color w:val="000000" w:themeColor="text1"/>
              </w:rPr>
            </w:pPr>
            <w:r>
              <w:rPr>
                <w:rFonts w:hint="eastAsia"/>
                <w:color w:val="000000" w:themeColor="text1"/>
              </w:rPr>
              <w:t>①危险废物识别标志的设置需具有足够的警示性；危险废物识别标志应设 置在醒目的位置，避免被其他固定物体遮挡；危险废物识别标志与其他标志宜 保持视觉上的分离。同一场所内，同一种类危险废物识别标志的尺寸、设置位 置、设置方式和设置高度等宜保持一致。对于盛装同一类危险废物的组合包装 容器，应在组合包装容器的外表面设置危险废物标签。容积超过450 L的容器 或包装物，应在相对的两面都设置危险废物标签。危险废物标签的固定可采用 印刷、粘贴、栓挂、钉附等方式，标签的固定应保证在贮存、转移期间不易脱 落和损坏。</w:t>
            </w:r>
          </w:p>
          <w:p w14:paraId="1DDA5D2F">
            <w:pPr>
              <w:ind w:firstLine="480"/>
              <w:rPr>
                <w:color w:val="000000" w:themeColor="text1"/>
              </w:rPr>
            </w:pPr>
            <w:r>
              <w:rPr>
                <w:rFonts w:hint="eastAsia"/>
                <w:color w:val="000000" w:themeColor="text1"/>
              </w:rPr>
              <w:t>②危险废物标签的内容要求：危险废物标签需以醒目的字样标注“危险废 物”。危险废物标签需包含废物名称、废物类别、废物代码、废物形态、危险 特性、主要成分、有害成分、注意事项、产生/收集单位名称、联系人、联系方式、产生日期、废物重量和备注。危险废物标签宜设置危险废物数字识别码 和二维码。</w:t>
            </w:r>
          </w:p>
          <w:p w14:paraId="4B672EF0">
            <w:pPr>
              <w:ind w:firstLine="480"/>
              <w:rPr>
                <w:color w:val="000000" w:themeColor="text1"/>
              </w:rPr>
            </w:pPr>
            <w:r>
              <w:rPr>
                <w:rFonts w:hint="eastAsia"/>
                <w:color w:val="000000" w:themeColor="text1"/>
              </w:rPr>
              <w:t>按照《危险废物贮存污染控制标准》（GB18597-2023）、《危险废物识别标志设置技术规范》（HJ1276-2022）相关规定要求，危废暂存间及危险废物储存容器上需要张贴标签，具体要求如下：</w:t>
            </w:r>
          </w:p>
          <w:p w14:paraId="4D6F5AE0">
            <w:pPr>
              <w:ind w:firstLine="0" w:firstLineChars="0"/>
              <w:jc w:val="center"/>
              <w:rPr>
                <w:b/>
                <w:bCs/>
                <w:color w:val="000000" w:themeColor="text1"/>
                <w:sz w:val="21"/>
                <w:szCs w:val="21"/>
              </w:rPr>
            </w:pPr>
            <w:r>
              <w:rPr>
                <w:rFonts w:hint="eastAsia"/>
                <w:b/>
                <w:bCs/>
                <w:color w:val="000000" w:themeColor="text1"/>
                <w:sz w:val="21"/>
                <w:szCs w:val="21"/>
              </w:rPr>
              <w:t>表54   危废暂存间及储存容器标签示例一览表</w:t>
            </w:r>
          </w:p>
          <w:tbl>
            <w:tblPr>
              <w:tblStyle w:val="25"/>
              <w:tblW w:w="809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985"/>
              <w:gridCol w:w="4253"/>
            </w:tblGrid>
            <w:tr w14:paraId="5828C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tcBorders>
                    <w:tl2br w:val="nil"/>
                    <w:tr2bl w:val="nil"/>
                  </w:tcBorders>
                  <w:vAlign w:val="center"/>
                </w:tcPr>
                <w:p w14:paraId="5FEDB027">
                  <w:pPr>
                    <w:spacing w:line="240" w:lineRule="auto"/>
                    <w:ind w:firstLine="0" w:firstLineChars="0"/>
                    <w:jc w:val="center"/>
                    <w:rPr>
                      <w:b/>
                      <w:bCs/>
                      <w:color w:val="000000" w:themeColor="text1"/>
                      <w:sz w:val="21"/>
                      <w:szCs w:val="21"/>
                    </w:rPr>
                  </w:pPr>
                  <w:r>
                    <w:rPr>
                      <w:b/>
                      <w:bCs/>
                      <w:color w:val="000000" w:themeColor="text1"/>
                      <w:sz w:val="21"/>
                      <w:szCs w:val="21"/>
                    </w:rPr>
                    <w:t>场合</w:t>
                  </w:r>
                </w:p>
              </w:tc>
              <w:tc>
                <w:tcPr>
                  <w:tcW w:w="2985" w:type="dxa"/>
                  <w:tcBorders>
                    <w:tl2br w:val="nil"/>
                    <w:tr2bl w:val="nil"/>
                  </w:tcBorders>
                  <w:vAlign w:val="center"/>
                </w:tcPr>
                <w:p w14:paraId="49F95C00">
                  <w:pPr>
                    <w:spacing w:line="240" w:lineRule="auto"/>
                    <w:ind w:firstLine="0" w:firstLineChars="0"/>
                    <w:jc w:val="center"/>
                    <w:rPr>
                      <w:b/>
                      <w:bCs/>
                      <w:color w:val="000000" w:themeColor="text1"/>
                      <w:sz w:val="21"/>
                      <w:szCs w:val="21"/>
                    </w:rPr>
                  </w:pPr>
                  <w:r>
                    <w:rPr>
                      <w:b/>
                      <w:bCs/>
                      <w:color w:val="000000" w:themeColor="text1"/>
                      <w:sz w:val="21"/>
                      <w:szCs w:val="21"/>
                    </w:rPr>
                    <w:t>样式</w:t>
                  </w:r>
                </w:p>
              </w:tc>
              <w:tc>
                <w:tcPr>
                  <w:tcW w:w="4253" w:type="dxa"/>
                  <w:tcBorders>
                    <w:tl2br w:val="nil"/>
                    <w:tr2bl w:val="nil"/>
                  </w:tcBorders>
                  <w:vAlign w:val="center"/>
                </w:tcPr>
                <w:p w14:paraId="0269C47B">
                  <w:pPr>
                    <w:spacing w:line="240" w:lineRule="auto"/>
                    <w:ind w:firstLine="0" w:firstLineChars="0"/>
                    <w:jc w:val="center"/>
                    <w:rPr>
                      <w:b/>
                      <w:bCs/>
                      <w:color w:val="000000" w:themeColor="text1"/>
                      <w:sz w:val="21"/>
                      <w:szCs w:val="21"/>
                    </w:rPr>
                  </w:pPr>
                  <w:r>
                    <w:rPr>
                      <w:b/>
                      <w:bCs/>
                      <w:color w:val="000000" w:themeColor="text1"/>
                      <w:sz w:val="21"/>
                      <w:szCs w:val="21"/>
                    </w:rPr>
                    <w:t>要求</w:t>
                  </w:r>
                </w:p>
              </w:tc>
            </w:tr>
            <w:tr w14:paraId="67297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857" w:type="dxa"/>
                  <w:vMerge w:val="restart"/>
                  <w:tcBorders>
                    <w:tl2br w:val="nil"/>
                    <w:tr2bl w:val="nil"/>
                  </w:tcBorders>
                  <w:vAlign w:val="center"/>
                </w:tcPr>
                <w:p w14:paraId="05107001">
                  <w:pPr>
                    <w:spacing w:line="240" w:lineRule="auto"/>
                    <w:ind w:firstLine="0" w:firstLineChars="0"/>
                    <w:jc w:val="center"/>
                    <w:rPr>
                      <w:color w:val="000000" w:themeColor="text1"/>
                      <w:sz w:val="21"/>
                      <w:szCs w:val="21"/>
                    </w:rPr>
                  </w:pPr>
                  <w:r>
                    <w:rPr>
                      <w:color w:val="000000" w:themeColor="text1"/>
                      <w:sz w:val="21"/>
                      <w:szCs w:val="21"/>
                    </w:rPr>
                    <w:t>室外（场所外入口处的墙壁或栏杆显 著位置设置）</w:t>
                  </w:r>
                </w:p>
              </w:tc>
              <w:tc>
                <w:tcPr>
                  <w:tcW w:w="2985" w:type="dxa"/>
                  <w:tcBorders>
                    <w:tl2br w:val="nil"/>
                    <w:tr2bl w:val="nil"/>
                  </w:tcBorders>
                  <w:vAlign w:val="center"/>
                </w:tcPr>
                <w:p w14:paraId="3019CC9D">
                  <w:pPr>
                    <w:spacing w:line="240" w:lineRule="auto"/>
                    <w:ind w:firstLine="0" w:firstLineChars="0"/>
                    <w:jc w:val="center"/>
                    <w:rPr>
                      <w:color w:val="000000" w:themeColor="text1"/>
                      <w:sz w:val="21"/>
                      <w:szCs w:val="21"/>
                    </w:rPr>
                  </w:pPr>
                  <w:r>
                    <w:rPr>
                      <w:color w:val="000000" w:themeColor="text1"/>
                      <w:sz w:val="21"/>
                      <w:szCs w:val="21"/>
                    </w:rPr>
                    <w:drawing>
                      <wp:inline distT="0" distB="0" distL="114300" distR="114300">
                        <wp:extent cx="1567815" cy="991870"/>
                        <wp:effectExtent l="0" t="0" r="13335" b="17780"/>
                        <wp:docPr id="3" name="图片 13" descr="167886784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1678867844188"/>
                                <pic:cNvPicPr>
                                  <a:picLocks noChangeAspect="1"/>
                                </pic:cNvPicPr>
                              </pic:nvPicPr>
                              <pic:blipFill>
                                <a:blip r:embed="rId33" cstate="print"/>
                                <a:stretch>
                                  <a:fillRect/>
                                </a:stretch>
                              </pic:blipFill>
                              <pic:spPr>
                                <a:xfrm>
                                  <a:off x="0" y="0"/>
                                  <a:ext cx="1567815" cy="991870"/>
                                </a:xfrm>
                                <a:prstGeom prst="rect">
                                  <a:avLst/>
                                </a:prstGeom>
                                <a:noFill/>
                                <a:ln>
                                  <a:noFill/>
                                </a:ln>
                              </pic:spPr>
                            </pic:pic>
                          </a:graphicData>
                        </a:graphic>
                      </wp:inline>
                    </w:drawing>
                  </w:r>
                </w:p>
                <w:p w14:paraId="7D408E86">
                  <w:pPr>
                    <w:pStyle w:val="15"/>
                    <w:spacing w:after="0" w:line="240" w:lineRule="auto"/>
                    <w:ind w:left="0" w:leftChars="0" w:right="0" w:rightChars="0" w:firstLine="0" w:firstLineChars="0"/>
                    <w:jc w:val="center"/>
                    <w:rPr>
                      <w:color w:val="000000" w:themeColor="text1"/>
                      <w:sz w:val="21"/>
                      <w:szCs w:val="21"/>
                    </w:rPr>
                  </w:pPr>
                  <w:r>
                    <w:rPr>
                      <w:b/>
                      <w:bCs/>
                      <w:color w:val="000000" w:themeColor="text1"/>
                      <w:sz w:val="21"/>
                      <w:szCs w:val="21"/>
                    </w:rPr>
                    <w:t>贮存设施标志横版样式示意图</w:t>
                  </w:r>
                </w:p>
              </w:tc>
              <w:tc>
                <w:tcPr>
                  <w:tcW w:w="4253" w:type="dxa"/>
                  <w:vMerge w:val="restart"/>
                  <w:tcBorders>
                    <w:tl2br w:val="nil"/>
                    <w:tr2bl w:val="nil"/>
                  </w:tcBorders>
                  <w:vAlign w:val="center"/>
                </w:tcPr>
                <w:p w14:paraId="55C73223">
                  <w:pPr>
                    <w:spacing w:line="240" w:lineRule="auto"/>
                    <w:ind w:firstLine="0" w:firstLineChars="0"/>
                    <w:jc w:val="left"/>
                    <w:rPr>
                      <w:color w:val="000000" w:themeColor="text1"/>
                      <w:sz w:val="21"/>
                      <w:szCs w:val="21"/>
                    </w:rPr>
                  </w:pPr>
                  <w:r>
                    <w:rPr>
                      <w:color w:val="000000" w:themeColor="text1"/>
                      <w:sz w:val="21"/>
                      <w:szCs w:val="21"/>
                    </w:rPr>
                    <w:t>1、危险废物标签：</w:t>
                  </w:r>
                </w:p>
                <w:p w14:paraId="2796A986">
                  <w:pPr>
                    <w:spacing w:line="240" w:lineRule="auto"/>
                    <w:ind w:firstLine="0" w:firstLineChars="0"/>
                    <w:jc w:val="left"/>
                    <w:rPr>
                      <w:color w:val="000000" w:themeColor="text1"/>
                      <w:sz w:val="21"/>
                      <w:szCs w:val="21"/>
                    </w:rPr>
                  </w:pPr>
                  <w:r>
                    <w:rPr>
                      <w:color w:val="000000" w:themeColor="text1"/>
                      <w:sz w:val="21"/>
                      <w:szCs w:val="21"/>
                    </w:rPr>
                    <w:t>尺寸：露天/室外入口，观察距离＞10m，标志牌整体外形最小尺寸900×558mm，最低文字高度：设施类型名称48mm，其他文字24mm；</w:t>
                  </w:r>
                </w:p>
                <w:p w14:paraId="42CBE346">
                  <w:pPr>
                    <w:spacing w:line="240" w:lineRule="auto"/>
                    <w:ind w:firstLine="0" w:firstLineChars="0"/>
                    <w:jc w:val="left"/>
                    <w:rPr>
                      <w:color w:val="000000" w:themeColor="text1"/>
                      <w:sz w:val="21"/>
                      <w:szCs w:val="21"/>
                    </w:rPr>
                  </w:pPr>
                  <w:r>
                    <w:rPr>
                      <w:color w:val="000000" w:themeColor="text1"/>
                      <w:sz w:val="21"/>
                      <w:szCs w:val="21"/>
                    </w:rPr>
                    <w:t>室内，观察距离4＜L≤10m，标志牌整体外形最小尺寸600×372mm，最低文字高度：设施类型名称32mm</w:t>
                  </w:r>
                  <w:r>
                    <w:rPr>
                      <w:rFonts w:hint="eastAsia"/>
                      <w:color w:val="000000" w:themeColor="text1"/>
                      <w:sz w:val="21"/>
                      <w:szCs w:val="21"/>
                    </w:rPr>
                    <w:t>，</w:t>
                  </w:r>
                  <w:r>
                    <w:rPr>
                      <w:color w:val="000000" w:themeColor="text1"/>
                      <w:sz w:val="21"/>
                      <w:szCs w:val="21"/>
                    </w:rPr>
                    <w:t>其他文字16mm；</w:t>
                  </w:r>
                </w:p>
                <w:p w14:paraId="0B106F5E">
                  <w:pPr>
                    <w:spacing w:line="240" w:lineRule="auto"/>
                    <w:ind w:firstLine="0" w:firstLineChars="0"/>
                    <w:jc w:val="left"/>
                    <w:rPr>
                      <w:color w:val="000000" w:themeColor="text1"/>
                      <w:sz w:val="21"/>
                      <w:szCs w:val="21"/>
                    </w:rPr>
                  </w:pPr>
                  <w:r>
                    <w:rPr>
                      <w:color w:val="000000" w:themeColor="text1"/>
                      <w:sz w:val="21"/>
                      <w:szCs w:val="21"/>
                    </w:rPr>
                    <w:t>室内，观察距离L≤4m，标志牌整体外形最小尺寸300×186mm，最低文字高度：设施类型名称16mm，其他文字8mm；</w:t>
                  </w:r>
                </w:p>
                <w:p w14:paraId="48A7C5FD">
                  <w:pPr>
                    <w:spacing w:line="240" w:lineRule="auto"/>
                    <w:ind w:firstLine="0" w:firstLineChars="0"/>
                    <w:jc w:val="left"/>
                    <w:rPr>
                      <w:color w:val="000000" w:themeColor="text1"/>
                      <w:sz w:val="21"/>
                      <w:szCs w:val="21"/>
                    </w:rPr>
                  </w:pPr>
                  <w:r>
                    <w:rPr>
                      <w:color w:val="000000" w:themeColor="text1"/>
                      <w:sz w:val="21"/>
                      <w:szCs w:val="21"/>
                    </w:rPr>
                    <w:t>颜色：背景为黄色，字体和边框颜色为黑色</w:t>
                  </w:r>
                </w:p>
                <w:p w14:paraId="5BBBCE95">
                  <w:pPr>
                    <w:spacing w:line="240" w:lineRule="auto"/>
                    <w:ind w:firstLine="0" w:firstLineChars="0"/>
                    <w:jc w:val="left"/>
                    <w:rPr>
                      <w:color w:val="000000" w:themeColor="text1"/>
                      <w:sz w:val="21"/>
                      <w:szCs w:val="21"/>
                    </w:rPr>
                  </w:pPr>
                  <w:r>
                    <w:rPr>
                      <w:color w:val="000000" w:themeColor="text1"/>
                      <w:sz w:val="21"/>
                      <w:szCs w:val="21"/>
                    </w:rPr>
                    <w:t>2</w:t>
                  </w:r>
                  <w:r>
                    <w:rPr>
                      <w:rFonts w:hint="eastAsia"/>
                      <w:color w:val="000000" w:themeColor="text1"/>
                      <w:sz w:val="21"/>
                      <w:szCs w:val="21"/>
                    </w:rPr>
                    <w:t>、</w:t>
                  </w:r>
                  <w:r>
                    <w:rPr>
                      <w:color w:val="000000" w:themeColor="text1"/>
                      <w:sz w:val="21"/>
                      <w:szCs w:val="21"/>
                    </w:rPr>
                    <w:t>材质：危险废物贮存、利用、处置设施标志宜采用坚固耐用的材料（如1.5 mm～2mm  冷轧钢板），并做搪瓷处理或贴膜处理。一般不宜使用遇水变形、变质或易燃的材料。柱式标志牌的立柱可采用38×4无缝钢管或其他坚固耐用的材料，并经过防腐处理。</w:t>
                  </w:r>
                </w:p>
                <w:p w14:paraId="090F1EB8">
                  <w:pPr>
                    <w:spacing w:line="240" w:lineRule="auto"/>
                    <w:ind w:firstLine="0" w:firstLineChars="0"/>
                    <w:jc w:val="left"/>
                    <w:rPr>
                      <w:color w:val="000000" w:themeColor="text1"/>
                      <w:sz w:val="21"/>
                      <w:szCs w:val="21"/>
                    </w:rPr>
                  </w:pPr>
                  <w:r>
                    <w:rPr>
                      <w:color w:val="000000" w:themeColor="text1"/>
                      <w:sz w:val="21"/>
                      <w:szCs w:val="21"/>
                    </w:rPr>
                    <w:t>3、印刷危险废物贮存、利用、处置设施标志的图形和文字应清晰、完整，保证在足够的观察距离条件下也不影响阅读。三角形警告性图形与其他信息间宜加 黑色分界线区分，分界线的宽度宜不小于3mm。</w:t>
                  </w:r>
                </w:p>
                <w:p w14:paraId="6AF4B2A6">
                  <w:pPr>
                    <w:spacing w:line="240" w:lineRule="auto"/>
                    <w:ind w:firstLine="0" w:firstLineChars="0"/>
                    <w:jc w:val="left"/>
                    <w:rPr>
                      <w:color w:val="000000" w:themeColor="text1"/>
                      <w:sz w:val="21"/>
                      <w:szCs w:val="21"/>
                    </w:rPr>
                  </w:pPr>
                  <w:r>
                    <w:rPr>
                      <w:color w:val="000000" w:themeColor="text1"/>
                      <w:sz w:val="21"/>
                      <w:szCs w:val="21"/>
                    </w:rPr>
                    <w:t>4、外观质量要求：危险废物贮存、利用、处置设施的标志牌和立柱无明显变形。标志牌表面无气泡，膜或搪瓷无脱落。图案清晰，色泽一致，没有明显缺损。</w:t>
                  </w:r>
                </w:p>
              </w:tc>
            </w:tr>
            <w:tr w14:paraId="208AF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1" w:hRule="atLeast"/>
              </w:trPr>
              <w:tc>
                <w:tcPr>
                  <w:tcW w:w="857" w:type="dxa"/>
                  <w:vMerge w:val="continue"/>
                  <w:tcBorders>
                    <w:tl2br w:val="nil"/>
                    <w:tr2bl w:val="nil"/>
                  </w:tcBorders>
                  <w:vAlign w:val="center"/>
                </w:tcPr>
                <w:p w14:paraId="5A0FB9E8">
                  <w:pPr>
                    <w:pStyle w:val="15"/>
                    <w:ind w:left="1680" w:right="1680" w:firstLine="420"/>
                    <w:rPr>
                      <w:color w:val="000000" w:themeColor="text1"/>
                      <w:sz w:val="21"/>
                      <w:szCs w:val="21"/>
                    </w:rPr>
                  </w:pPr>
                </w:p>
              </w:tc>
              <w:tc>
                <w:tcPr>
                  <w:tcW w:w="2985" w:type="dxa"/>
                  <w:tcBorders>
                    <w:tl2br w:val="nil"/>
                    <w:tr2bl w:val="nil"/>
                  </w:tcBorders>
                  <w:vAlign w:val="center"/>
                </w:tcPr>
                <w:p w14:paraId="2750207C">
                  <w:pPr>
                    <w:pStyle w:val="15"/>
                    <w:spacing w:after="0" w:line="240" w:lineRule="auto"/>
                    <w:ind w:left="0" w:leftChars="0" w:right="0" w:rightChars="0" w:firstLine="0" w:firstLineChars="0"/>
                    <w:jc w:val="center"/>
                    <w:rPr>
                      <w:color w:val="000000" w:themeColor="text1"/>
                      <w:sz w:val="21"/>
                      <w:szCs w:val="21"/>
                    </w:rPr>
                  </w:pPr>
                  <w:r>
                    <w:rPr>
                      <w:color w:val="000000" w:themeColor="text1"/>
                      <w:sz w:val="21"/>
                      <w:szCs w:val="21"/>
                    </w:rPr>
                    <w:drawing>
                      <wp:inline distT="0" distB="0" distL="114300" distR="114300">
                        <wp:extent cx="1233805" cy="1939925"/>
                        <wp:effectExtent l="0" t="0" r="4445" b="3175"/>
                        <wp:docPr id="8" name="图片 17" descr="1678869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1678869154128"/>
                                <pic:cNvPicPr>
                                  <a:picLocks noChangeAspect="1"/>
                                </pic:cNvPicPr>
                              </pic:nvPicPr>
                              <pic:blipFill>
                                <a:blip r:embed="rId34" cstate="print"/>
                                <a:stretch>
                                  <a:fillRect/>
                                </a:stretch>
                              </pic:blipFill>
                              <pic:spPr>
                                <a:xfrm>
                                  <a:off x="0" y="0"/>
                                  <a:ext cx="1233805" cy="1939925"/>
                                </a:xfrm>
                                <a:prstGeom prst="rect">
                                  <a:avLst/>
                                </a:prstGeom>
                                <a:noFill/>
                                <a:ln>
                                  <a:noFill/>
                                </a:ln>
                              </pic:spPr>
                            </pic:pic>
                          </a:graphicData>
                        </a:graphic>
                      </wp:inline>
                    </w:drawing>
                  </w:r>
                </w:p>
                <w:p w14:paraId="1DD99F2D">
                  <w:pPr>
                    <w:pStyle w:val="15"/>
                    <w:spacing w:after="0" w:line="240" w:lineRule="auto"/>
                    <w:ind w:left="0" w:leftChars="0" w:right="0" w:rightChars="0" w:firstLine="0" w:firstLineChars="0"/>
                    <w:jc w:val="center"/>
                    <w:rPr>
                      <w:color w:val="000000" w:themeColor="text1"/>
                      <w:sz w:val="21"/>
                      <w:szCs w:val="21"/>
                    </w:rPr>
                  </w:pPr>
                  <w:r>
                    <w:rPr>
                      <w:b/>
                      <w:bCs/>
                      <w:color w:val="000000" w:themeColor="text1"/>
                      <w:sz w:val="21"/>
                      <w:szCs w:val="21"/>
                    </w:rPr>
                    <w:t>贮存设施标志竖版样式示意图</w:t>
                  </w:r>
                </w:p>
              </w:tc>
              <w:tc>
                <w:tcPr>
                  <w:tcW w:w="4253" w:type="dxa"/>
                  <w:vMerge w:val="continue"/>
                  <w:tcBorders>
                    <w:tl2br w:val="nil"/>
                    <w:tr2bl w:val="nil"/>
                  </w:tcBorders>
                  <w:vAlign w:val="center"/>
                </w:tcPr>
                <w:p w14:paraId="4B034F5D">
                  <w:pPr>
                    <w:pStyle w:val="15"/>
                    <w:ind w:left="1680" w:right="1680" w:firstLine="420"/>
                    <w:rPr>
                      <w:color w:val="000000" w:themeColor="text1"/>
                      <w:sz w:val="21"/>
                      <w:szCs w:val="21"/>
                    </w:rPr>
                  </w:pPr>
                </w:p>
              </w:tc>
            </w:tr>
            <w:tr w14:paraId="429E3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tcBorders>
                    <w:tl2br w:val="nil"/>
                    <w:tr2bl w:val="nil"/>
                  </w:tcBorders>
                  <w:vAlign w:val="center"/>
                </w:tcPr>
                <w:p w14:paraId="4FCD2607">
                  <w:pPr>
                    <w:spacing w:line="240" w:lineRule="auto"/>
                    <w:ind w:firstLine="0" w:firstLineChars="0"/>
                    <w:jc w:val="center"/>
                    <w:rPr>
                      <w:color w:val="000000" w:themeColor="text1"/>
                      <w:sz w:val="21"/>
                      <w:szCs w:val="21"/>
                    </w:rPr>
                  </w:pPr>
                  <w:r>
                    <w:rPr>
                      <w:color w:val="000000" w:themeColor="text1"/>
                      <w:sz w:val="21"/>
                      <w:szCs w:val="21"/>
                    </w:rPr>
                    <w:t>危险废物标签（粘贴于 危险废物储存容器）</w:t>
                  </w:r>
                </w:p>
              </w:tc>
              <w:tc>
                <w:tcPr>
                  <w:tcW w:w="2985" w:type="dxa"/>
                  <w:tcBorders>
                    <w:tl2br w:val="nil"/>
                    <w:tr2bl w:val="nil"/>
                  </w:tcBorders>
                  <w:vAlign w:val="center"/>
                </w:tcPr>
                <w:p w14:paraId="09A7CCBA">
                  <w:pPr>
                    <w:spacing w:line="240" w:lineRule="auto"/>
                    <w:ind w:firstLine="0" w:firstLineChars="0"/>
                    <w:jc w:val="center"/>
                    <w:rPr>
                      <w:color w:val="000000" w:themeColor="text1"/>
                      <w:sz w:val="21"/>
                      <w:szCs w:val="21"/>
                    </w:rPr>
                  </w:pPr>
                  <w:r>
                    <w:rPr>
                      <w:color w:val="000000" w:themeColor="text1"/>
                      <w:sz w:val="21"/>
                      <w:szCs w:val="21"/>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38735</wp:posOffset>
                        </wp:positionV>
                        <wp:extent cx="1435100" cy="1435100"/>
                        <wp:effectExtent l="0" t="0" r="12700" b="1270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5" cstate="print"/>
                                <a:stretch>
                                  <a:fillRect/>
                                </a:stretch>
                              </pic:blipFill>
                              <pic:spPr>
                                <a:xfrm>
                                  <a:off x="0" y="0"/>
                                  <a:ext cx="1435100" cy="1435100"/>
                                </a:xfrm>
                                <a:prstGeom prst="rect">
                                  <a:avLst/>
                                </a:prstGeom>
                                <a:noFill/>
                                <a:ln>
                                  <a:noFill/>
                                </a:ln>
                              </pic:spPr>
                            </pic:pic>
                          </a:graphicData>
                        </a:graphic>
                      </wp:anchor>
                    </w:drawing>
                  </w:r>
                </w:p>
              </w:tc>
              <w:tc>
                <w:tcPr>
                  <w:tcW w:w="4253" w:type="dxa"/>
                  <w:tcBorders>
                    <w:tl2br w:val="nil"/>
                    <w:tr2bl w:val="nil"/>
                  </w:tcBorders>
                  <w:vAlign w:val="center"/>
                </w:tcPr>
                <w:p w14:paraId="732089DF">
                  <w:pPr>
                    <w:spacing w:line="240" w:lineRule="auto"/>
                    <w:ind w:firstLine="0" w:firstLineChars="0"/>
                    <w:jc w:val="left"/>
                    <w:rPr>
                      <w:color w:val="000000" w:themeColor="text1"/>
                      <w:sz w:val="21"/>
                      <w:szCs w:val="21"/>
                    </w:rPr>
                  </w:pPr>
                  <w:r>
                    <w:rPr>
                      <w:color w:val="000000" w:themeColor="text1"/>
                      <w:sz w:val="21"/>
                      <w:szCs w:val="21"/>
                    </w:rPr>
                    <w:t>1、危险废物标签：</w:t>
                  </w:r>
                </w:p>
                <w:p w14:paraId="1BA7FA66">
                  <w:pPr>
                    <w:spacing w:line="240" w:lineRule="auto"/>
                    <w:ind w:firstLine="0" w:firstLineChars="0"/>
                    <w:jc w:val="left"/>
                    <w:rPr>
                      <w:color w:val="000000" w:themeColor="text1"/>
                      <w:sz w:val="21"/>
                      <w:szCs w:val="21"/>
                    </w:rPr>
                  </w:pPr>
                  <w:r>
                    <w:rPr>
                      <w:color w:val="000000" w:themeColor="text1"/>
                      <w:sz w:val="21"/>
                      <w:szCs w:val="21"/>
                    </w:rPr>
                    <w:t>尺寸：容器或包装物容积≤50时，标签最小尺寸100×100mm，最低文字高度3mm；</w:t>
                  </w:r>
                </w:p>
                <w:p w14:paraId="163BA120">
                  <w:pPr>
                    <w:spacing w:line="240" w:lineRule="auto"/>
                    <w:ind w:firstLine="0" w:firstLineChars="0"/>
                    <w:jc w:val="left"/>
                    <w:rPr>
                      <w:color w:val="000000" w:themeColor="text1"/>
                      <w:sz w:val="21"/>
                      <w:szCs w:val="21"/>
                    </w:rPr>
                  </w:pPr>
                  <w:r>
                    <w:rPr>
                      <w:color w:val="000000" w:themeColor="text1"/>
                      <w:sz w:val="21"/>
                      <w:szCs w:val="21"/>
                    </w:rPr>
                    <w:t>容器或包装物容积＞50且≤450时，标签最小尺寸150×150mm，最低文字高度5mm；</w:t>
                  </w:r>
                </w:p>
                <w:p w14:paraId="72B7CC36">
                  <w:pPr>
                    <w:spacing w:line="240" w:lineRule="auto"/>
                    <w:ind w:firstLine="0" w:firstLineChars="0"/>
                    <w:jc w:val="left"/>
                    <w:rPr>
                      <w:color w:val="000000" w:themeColor="text1"/>
                      <w:sz w:val="21"/>
                      <w:szCs w:val="21"/>
                    </w:rPr>
                  </w:pPr>
                  <w:r>
                    <w:rPr>
                      <w:color w:val="000000" w:themeColor="text1"/>
                      <w:sz w:val="21"/>
                      <w:szCs w:val="21"/>
                    </w:rPr>
                    <w:t>容器或包装物容积＞450时，标签最小尺寸200×200mm，最低文字高度6mm</w:t>
                  </w:r>
                </w:p>
                <w:p w14:paraId="205B5397">
                  <w:pPr>
                    <w:spacing w:line="240" w:lineRule="auto"/>
                    <w:ind w:firstLine="0" w:firstLineChars="0"/>
                    <w:jc w:val="left"/>
                    <w:rPr>
                      <w:color w:val="000000" w:themeColor="text1"/>
                      <w:sz w:val="21"/>
                      <w:szCs w:val="21"/>
                    </w:rPr>
                  </w:pPr>
                  <w:r>
                    <w:rPr>
                      <w:color w:val="000000" w:themeColor="text1"/>
                      <w:sz w:val="21"/>
                      <w:szCs w:val="21"/>
                    </w:rPr>
                    <w:t>底色：醒目的橘黄色</w:t>
                  </w:r>
                </w:p>
                <w:p w14:paraId="5A2574DC">
                  <w:pPr>
                    <w:spacing w:line="240" w:lineRule="auto"/>
                    <w:ind w:firstLine="0" w:firstLineChars="0"/>
                    <w:jc w:val="left"/>
                    <w:rPr>
                      <w:color w:val="000000" w:themeColor="text1"/>
                      <w:sz w:val="21"/>
                      <w:szCs w:val="21"/>
                    </w:rPr>
                  </w:pPr>
                  <w:r>
                    <w:rPr>
                      <w:color w:val="000000" w:themeColor="text1"/>
                      <w:sz w:val="21"/>
                      <w:szCs w:val="21"/>
                    </w:rPr>
                    <w:t>标签边框和字体颜色：黑色</w:t>
                  </w:r>
                </w:p>
                <w:p w14:paraId="1F8E3B46">
                  <w:pPr>
                    <w:spacing w:line="240" w:lineRule="auto"/>
                    <w:ind w:firstLine="0" w:firstLineChars="0"/>
                    <w:jc w:val="left"/>
                    <w:rPr>
                      <w:color w:val="000000" w:themeColor="text1"/>
                      <w:sz w:val="21"/>
                      <w:szCs w:val="21"/>
                    </w:rPr>
                  </w:pPr>
                  <w:r>
                    <w:rPr>
                      <w:color w:val="000000" w:themeColor="text1"/>
                      <w:sz w:val="21"/>
                      <w:szCs w:val="21"/>
                    </w:rPr>
                    <w:t>字体：黑体字，其中“危险废物”字样应加粗放大</w:t>
                  </w:r>
                </w:p>
                <w:p w14:paraId="67F66A21">
                  <w:pPr>
                    <w:spacing w:line="240" w:lineRule="auto"/>
                    <w:ind w:firstLine="0" w:firstLineChars="0"/>
                    <w:jc w:val="left"/>
                    <w:rPr>
                      <w:color w:val="000000" w:themeColor="text1"/>
                      <w:sz w:val="21"/>
                      <w:szCs w:val="21"/>
                    </w:rPr>
                  </w:pPr>
                  <w:r>
                    <w:rPr>
                      <w:color w:val="000000" w:themeColor="text1"/>
                      <w:sz w:val="21"/>
                      <w:szCs w:val="21"/>
                    </w:rPr>
                    <w:t>2、材质：具有一定的耐用性和防水性。标签可采用不干胶印刷品，或印刷品外加防水塑料袋或塑封等。</w:t>
                  </w:r>
                </w:p>
                <w:p w14:paraId="2030AF92">
                  <w:pPr>
                    <w:spacing w:line="240" w:lineRule="auto"/>
                    <w:ind w:firstLine="0" w:firstLineChars="0"/>
                    <w:jc w:val="left"/>
                    <w:rPr>
                      <w:color w:val="000000" w:themeColor="text1"/>
                      <w:sz w:val="21"/>
                      <w:szCs w:val="21"/>
                    </w:rPr>
                  </w:pPr>
                  <w:r>
                    <w:rPr>
                      <w:color w:val="000000" w:themeColor="text1"/>
                      <w:sz w:val="21"/>
                      <w:szCs w:val="21"/>
                    </w:rPr>
                    <w:t>3、印刷：危险废物标签印刷的油墨应均匀，图案和文字应清晰、完整。危险废物标签的文字边缘宜加黑色边框，边框宽度不小于1mm，边框外宜留不小于3mm的空白。</w:t>
                  </w:r>
                </w:p>
              </w:tc>
            </w:tr>
            <w:tr w14:paraId="26BAA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tcBorders>
                    <w:tl2br w:val="nil"/>
                    <w:tr2bl w:val="nil"/>
                  </w:tcBorders>
                  <w:vAlign w:val="center"/>
                </w:tcPr>
                <w:p w14:paraId="05783F5B">
                  <w:pPr>
                    <w:spacing w:line="240" w:lineRule="auto"/>
                    <w:ind w:firstLine="0" w:firstLineChars="0"/>
                    <w:jc w:val="center"/>
                    <w:rPr>
                      <w:color w:val="000000" w:themeColor="text1"/>
                      <w:sz w:val="21"/>
                      <w:szCs w:val="21"/>
                    </w:rPr>
                  </w:pPr>
                  <w:r>
                    <w:rPr>
                      <w:color w:val="000000" w:themeColor="text1"/>
                      <w:sz w:val="21"/>
                      <w:szCs w:val="21"/>
                    </w:rPr>
                    <w:t>危险废物贮存分区标志（设置在贮存分区前的通道位置或墙壁、栏杆等易于观察的位置）</w:t>
                  </w:r>
                </w:p>
              </w:tc>
              <w:tc>
                <w:tcPr>
                  <w:tcW w:w="2985" w:type="dxa"/>
                  <w:tcBorders>
                    <w:tl2br w:val="nil"/>
                    <w:tr2bl w:val="nil"/>
                  </w:tcBorders>
                  <w:vAlign w:val="center"/>
                </w:tcPr>
                <w:p w14:paraId="0F11CB9E">
                  <w:pPr>
                    <w:spacing w:line="240" w:lineRule="auto"/>
                    <w:ind w:firstLine="0" w:firstLineChars="0"/>
                    <w:jc w:val="center"/>
                    <w:rPr>
                      <w:color w:val="000000" w:themeColor="text1"/>
                      <w:sz w:val="21"/>
                      <w:szCs w:val="21"/>
                    </w:rPr>
                  </w:pPr>
                  <w:r>
                    <w:rPr>
                      <w:color w:val="000000" w:themeColor="text1"/>
                      <w:sz w:val="21"/>
                      <w:szCs w:val="21"/>
                    </w:rPr>
                    <w:drawing>
                      <wp:anchor distT="0" distB="0" distL="114300" distR="114300" simplePos="0" relativeHeight="251660288" behindDoc="0" locked="0" layoutInCell="1" allowOverlap="1">
                        <wp:simplePos x="0" y="0"/>
                        <wp:positionH relativeFrom="column">
                          <wp:posOffset>121920</wp:posOffset>
                        </wp:positionH>
                        <wp:positionV relativeFrom="paragraph">
                          <wp:posOffset>-25400</wp:posOffset>
                        </wp:positionV>
                        <wp:extent cx="1502410" cy="1263650"/>
                        <wp:effectExtent l="0" t="0" r="2540" b="12700"/>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36" cstate="print"/>
                                <a:stretch>
                                  <a:fillRect/>
                                </a:stretch>
                              </pic:blipFill>
                              <pic:spPr>
                                <a:xfrm>
                                  <a:off x="0" y="0"/>
                                  <a:ext cx="1502410" cy="1263650"/>
                                </a:xfrm>
                                <a:prstGeom prst="rect">
                                  <a:avLst/>
                                </a:prstGeom>
                                <a:noFill/>
                                <a:ln>
                                  <a:noFill/>
                                </a:ln>
                              </pic:spPr>
                            </pic:pic>
                          </a:graphicData>
                        </a:graphic>
                      </wp:anchor>
                    </w:drawing>
                  </w:r>
                </w:p>
              </w:tc>
              <w:tc>
                <w:tcPr>
                  <w:tcW w:w="4253" w:type="dxa"/>
                  <w:tcBorders>
                    <w:tl2br w:val="nil"/>
                    <w:tr2bl w:val="nil"/>
                  </w:tcBorders>
                  <w:vAlign w:val="center"/>
                </w:tcPr>
                <w:p w14:paraId="74D62A8B">
                  <w:pPr>
                    <w:spacing w:line="240" w:lineRule="auto"/>
                    <w:ind w:firstLine="0" w:firstLineChars="0"/>
                    <w:jc w:val="left"/>
                    <w:rPr>
                      <w:color w:val="000000" w:themeColor="text1"/>
                      <w:sz w:val="21"/>
                      <w:szCs w:val="21"/>
                    </w:rPr>
                  </w:pPr>
                  <w:r>
                    <w:rPr>
                      <w:color w:val="000000" w:themeColor="text1"/>
                      <w:sz w:val="21"/>
                      <w:szCs w:val="21"/>
                    </w:rPr>
                    <w:t>1、危险废物贮存分区标志：</w:t>
                  </w:r>
                </w:p>
                <w:p w14:paraId="6752C018">
                  <w:pPr>
                    <w:spacing w:line="240" w:lineRule="auto"/>
                    <w:ind w:firstLine="0" w:firstLineChars="0"/>
                    <w:jc w:val="left"/>
                    <w:rPr>
                      <w:color w:val="000000" w:themeColor="text1"/>
                      <w:sz w:val="21"/>
                      <w:szCs w:val="21"/>
                    </w:rPr>
                  </w:pPr>
                  <w:r>
                    <w:rPr>
                      <w:color w:val="000000" w:themeColor="text1"/>
                      <w:sz w:val="21"/>
                      <w:szCs w:val="21"/>
                    </w:rPr>
                    <w:t>尺寸：观察距离0m＜L≤2.5m时，标志整体外形最小尺寸300×300mm，最低文字高度：贮存分区标志20mm</w:t>
                  </w:r>
                  <w:r>
                    <w:rPr>
                      <w:rFonts w:hint="eastAsia"/>
                      <w:color w:val="000000" w:themeColor="text1"/>
                      <w:sz w:val="21"/>
                      <w:szCs w:val="21"/>
                    </w:rPr>
                    <w:t>，</w:t>
                  </w:r>
                  <w:r>
                    <w:rPr>
                      <w:color w:val="000000" w:themeColor="text1"/>
                      <w:sz w:val="21"/>
                      <w:szCs w:val="21"/>
                    </w:rPr>
                    <w:t>其他文字6mm；</w:t>
                  </w:r>
                </w:p>
                <w:p w14:paraId="38F82966">
                  <w:pPr>
                    <w:spacing w:line="240" w:lineRule="auto"/>
                    <w:ind w:firstLine="0" w:firstLineChars="0"/>
                    <w:jc w:val="left"/>
                    <w:rPr>
                      <w:color w:val="000000" w:themeColor="text1"/>
                      <w:sz w:val="21"/>
                      <w:szCs w:val="21"/>
                    </w:rPr>
                  </w:pPr>
                  <w:r>
                    <w:rPr>
                      <w:color w:val="000000" w:themeColor="text1"/>
                      <w:sz w:val="21"/>
                      <w:szCs w:val="21"/>
                    </w:rPr>
                    <w:t>观察距离2.5m＜L≤4m时，标志整体外形最小尺寸450×450mm，最低文字高度：贮存分区标志30mm</w:t>
                  </w:r>
                  <w:r>
                    <w:rPr>
                      <w:rFonts w:hint="eastAsia"/>
                      <w:color w:val="000000" w:themeColor="text1"/>
                      <w:sz w:val="21"/>
                      <w:szCs w:val="21"/>
                    </w:rPr>
                    <w:t>，</w:t>
                  </w:r>
                  <w:r>
                    <w:rPr>
                      <w:color w:val="000000" w:themeColor="text1"/>
                      <w:sz w:val="21"/>
                      <w:szCs w:val="21"/>
                    </w:rPr>
                    <w:t>其他文字9mm；</w:t>
                  </w:r>
                </w:p>
                <w:p w14:paraId="6FB0927E">
                  <w:pPr>
                    <w:spacing w:line="240" w:lineRule="auto"/>
                    <w:ind w:firstLine="0" w:firstLineChars="0"/>
                    <w:jc w:val="left"/>
                    <w:rPr>
                      <w:color w:val="000000" w:themeColor="text1"/>
                      <w:sz w:val="21"/>
                      <w:szCs w:val="21"/>
                    </w:rPr>
                  </w:pPr>
                  <w:r>
                    <w:rPr>
                      <w:color w:val="000000" w:themeColor="text1"/>
                      <w:sz w:val="21"/>
                      <w:szCs w:val="21"/>
                    </w:rPr>
                    <w:t>观察距离L＞4m时，标志整体外形最小尺寸600×600mm，最低文字高度：贮存分区标志 40mm</w:t>
                  </w:r>
                  <w:r>
                    <w:rPr>
                      <w:rFonts w:hint="eastAsia"/>
                      <w:color w:val="000000" w:themeColor="text1"/>
                      <w:sz w:val="21"/>
                      <w:szCs w:val="21"/>
                    </w:rPr>
                    <w:t>，</w:t>
                  </w:r>
                  <w:r>
                    <w:rPr>
                      <w:color w:val="000000" w:themeColor="text1"/>
                      <w:sz w:val="21"/>
                      <w:szCs w:val="21"/>
                    </w:rPr>
                    <w:t>其他文字12mm。</w:t>
                  </w:r>
                </w:p>
                <w:p w14:paraId="75522B08">
                  <w:pPr>
                    <w:spacing w:line="240" w:lineRule="auto"/>
                    <w:ind w:firstLine="0" w:firstLineChars="0"/>
                    <w:jc w:val="left"/>
                    <w:rPr>
                      <w:color w:val="000000" w:themeColor="text1"/>
                      <w:sz w:val="21"/>
                      <w:szCs w:val="21"/>
                    </w:rPr>
                  </w:pPr>
                  <w:r>
                    <w:rPr>
                      <w:color w:val="000000" w:themeColor="text1"/>
                      <w:sz w:val="21"/>
                      <w:szCs w:val="21"/>
                    </w:rPr>
                    <w:t>颜色：背景色应采用黄色，废物种类信息应采用醒目的橘黄色，字体颜色为黑色。</w:t>
                  </w:r>
                </w:p>
                <w:p w14:paraId="46B76712">
                  <w:pPr>
                    <w:spacing w:line="240" w:lineRule="auto"/>
                    <w:ind w:firstLine="0" w:firstLineChars="0"/>
                    <w:jc w:val="left"/>
                    <w:rPr>
                      <w:color w:val="000000" w:themeColor="text1"/>
                      <w:sz w:val="21"/>
                      <w:szCs w:val="21"/>
                    </w:rPr>
                  </w:pPr>
                  <w:r>
                    <w:rPr>
                      <w:color w:val="000000" w:themeColor="text1"/>
                      <w:sz w:val="21"/>
                      <w:szCs w:val="21"/>
                    </w:rPr>
                    <w:t>2、材质：宜采用坚固耐用的材料，并具有耐用性和防水性。废物贮存种类信息等可采用印刷纸张、不粘胶材质或塑料卡片等，以便固定在衬底上。</w:t>
                  </w:r>
                </w:p>
                <w:p w14:paraId="7389A000">
                  <w:pPr>
                    <w:spacing w:line="240" w:lineRule="auto"/>
                    <w:ind w:firstLine="0" w:firstLineChars="0"/>
                    <w:jc w:val="left"/>
                    <w:rPr>
                      <w:color w:val="000000" w:themeColor="text1"/>
                      <w:sz w:val="21"/>
                      <w:szCs w:val="21"/>
                    </w:rPr>
                  </w:pPr>
                  <w:r>
                    <w:rPr>
                      <w:color w:val="000000" w:themeColor="text1"/>
                      <w:sz w:val="21"/>
                      <w:szCs w:val="21"/>
                    </w:rPr>
                    <w:t>3、样式：危险废物贮存分区标志的图形和文字应清晰、完整，保证在足够的观察距离条件下不影响阅读。“危险废物贮存分区标志”字样与其他信息宜加黑色分界线区分，分界线的宽度不小于2mm。</w:t>
                  </w:r>
                </w:p>
              </w:tc>
            </w:tr>
          </w:tbl>
          <w:p w14:paraId="181E5D1F">
            <w:pPr>
              <w:ind w:firstLine="480"/>
              <w:rPr>
                <w:color w:val="000000" w:themeColor="text1"/>
              </w:rPr>
            </w:pPr>
            <w:r>
              <w:rPr>
                <w:rFonts w:hint="eastAsia"/>
                <w:color w:val="000000" w:themeColor="text1"/>
              </w:rPr>
              <w:t>（6）</w:t>
            </w:r>
            <w:r>
              <w:rPr>
                <w:color w:val="000000" w:themeColor="text1"/>
              </w:rPr>
              <w:t xml:space="preserve">危险废物处置 </w:t>
            </w:r>
          </w:p>
          <w:p w14:paraId="1B84176F">
            <w:pPr>
              <w:ind w:firstLine="480"/>
              <w:rPr>
                <w:color w:val="000000" w:themeColor="text1"/>
              </w:rPr>
            </w:pPr>
            <w:r>
              <w:rPr>
                <w:color w:val="000000" w:themeColor="text1"/>
              </w:rPr>
              <w:t>本项目产生的危险废物拟交由有资质的单位处理。在选择处置单位时，应 选择具有危险废物经营许可证，资质许可范围包含本项目产生的危险废物类 别，能够提供专业收集、运输、贮存、处理处置及综合利用危险废物的企业， 避免危险废物对环境的二次污染风险。在满足上述条件下，本项目危险废物交 有资质单位处理途径可行</w:t>
            </w:r>
            <w:r>
              <w:rPr>
                <w:rFonts w:hint="eastAsia"/>
                <w:color w:val="000000" w:themeColor="text1"/>
              </w:rPr>
              <w:t>。</w:t>
            </w:r>
          </w:p>
          <w:p w14:paraId="6D735338">
            <w:pPr>
              <w:ind w:firstLine="482"/>
              <w:rPr>
                <w:b/>
                <w:bCs/>
                <w:color w:val="000000" w:themeColor="text1"/>
                <w:szCs w:val="21"/>
              </w:rPr>
            </w:pPr>
            <w:r>
              <w:rPr>
                <w:rFonts w:hint="eastAsia"/>
                <w:b/>
                <w:bCs/>
                <w:color w:val="000000" w:themeColor="text1"/>
                <w:szCs w:val="21"/>
              </w:rPr>
              <w:t>4.4固体废物影响评价结论</w:t>
            </w:r>
          </w:p>
          <w:p w14:paraId="47461268">
            <w:pPr>
              <w:ind w:firstLine="480"/>
              <w:rPr>
                <w:color w:val="000000" w:themeColor="text1"/>
                <w:lang w:val="zh-CN"/>
              </w:rPr>
            </w:pPr>
            <w:r>
              <w:rPr>
                <w:rFonts w:hint="eastAsia"/>
                <w:color w:val="000000" w:themeColor="text1"/>
              </w:rPr>
              <w:t>采取本项目提出的固体废物处置措施，各固体废物均得到合理处置，不会对环境造成二次污染。</w:t>
            </w:r>
          </w:p>
          <w:p w14:paraId="6EAE2383">
            <w:pPr>
              <w:adjustRightInd w:val="0"/>
              <w:snapToGrid w:val="0"/>
              <w:ind w:firstLine="482"/>
              <w:rPr>
                <w:b/>
                <w:bCs/>
                <w:color w:val="000000" w:themeColor="text1"/>
              </w:rPr>
            </w:pPr>
            <w:r>
              <w:rPr>
                <w:rFonts w:hint="eastAsia"/>
                <w:b/>
                <w:bCs/>
                <w:color w:val="000000" w:themeColor="text1"/>
              </w:rPr>
              <w:t>5、地下水、土壤</w:t>
            </w:r>
          </w:p>
          <w:p w14:paraId="40BE4076">
            <w:pPr>
              <w:ind w:firstLine="480"/>
              <w:rPr>
                <w:color w:val="000000" w:themeColor="text1"/>
                <w:szCs w:val="21"/>
              </w:rPr>
            </w:pPr>
            <w:r>
              <w:rPr>
                <w:rFonts w:hint="eastAsia"/>
                <w:color w:val="000000" w:themeColor="text1"/>
                <w:szCs w:val="21"/>
              </w:rPr>
              <w:t>本项目生产过程排放的废气主要为颗粒物、</w:t>
            </w:r>
            <w:r>
              <w:rPr>
                <w:rFonts w:eastAsia="Times New Roman"/>
                <w:color w:val="000000" w:themeColor="text1"/>
                <w:spacing w:val="-1"/>
              </w:rPr>
              <w:t>SO</w:t>
            </w:r>
            <w:r>
              <w:rPr>
                <w:rFonts w:eastAsia="Times New Roman"/>
                <w:color w:val="000000" w:themeColor="text1"/>
                <w:spacing w:val="-2"/>
                <w:position w:val="-1"/>
                <w:sz w:val="15"/>
                <w:szCs w:val="15"/>
              </w:rPr>
              <w:t>2</w:t>
            </w:r>
            <w:r>
              <w:rPr>
                <w:rFonts w:hint="eastAsia"/>
                <w:color w:val="000000" w:themeColor="text1"/>
                <w:spacing w:val="-10"/>
                <w:position w:val="-1"/>
                <w:sz w:val="15"/>
                <w:szCs w:val="15"/>
              </w:rPr>
              <w:t>、</w:t>
            </w:r>
            <w:r>
              <w:rPr>
                <w:rFonts w:eastAsia="Times New Roman"/>
                <w:color w:val="000000" w:themeColor="text1"/>
                <w:spacing w:val="-2"/>
              </w:rPr>
              <w:t>NO</w:t>
            </w:r>
            <w:r>
              <w:rPr>
                <w:rFonts w:eastAsia="Times New Roman"/>
                <w:color w:val="000000" w:themeColor="text1"/>
                <w:spacing w:val="-2"/>
                <w:position w:val="-1"/>
                <w:sz w:val="15"/>
                <w:szCs w:val="15"/>
              </w:rPr>
              <w:t>X</w:t>
            </w:r>
            <w:r>
              <w:rPr>
                <w:rFonts w:hint="eastAsia"/>
                <w:color w:val="000000" w:themeColor="text1"/>
                <w:spacing w:val="-2"/>
                <w:position w:val="-1"/>
              </w:rPr>
              <w:t>、汞（极少量，来源于锯末）、烟气黑度</w:t>
            </w:r>
            <w:r>
              <w:rPr>
                <w:rFonts w:hint="eastAsia"/>
                <w:color w:val="000000" w:themeColor="text1"/>
                <w:szCs w:val="21"/>
              </w:rPr>
              <w:t>，排放量较少，项目位于唐山曹妃甸木业股份有限公司厂区内，唐山曹妃甸木业股份有限公司厂区地面均已硬化，因此，不会通过大气沉降对土壤环境及地下水环境产生明显不利影响。</w:t>
            </w:r>
          </w:p>
          <w:p w14:paraId="575B60A3">
            <w:pPr>
              <w:ind w:firstLine="480"/>
              <w:rPr>
                <w:color w:val="000000" w:themeColor="text1"/>
              </w:rPr>
            </w:pPr>
            <w:r>
              <w:rPr>
                <w:rFonts w:hint="eastAsia"/>
                <w:color w:val="000000" w:themeColor="text1"/>
              </w:rPr>
              <w:t>本项目</w:t>
            </w:r>
            <w:r>
              <w:rPr>
                <w:rFonts w:hint="eastAsia"/>
                <w:color w:val="000000" w:themeColor="text1"/>
                <w:kern w:val="1"/>
              </w:rPr>
              <w:t>生活污水（盥洗、冲厕废水）</w:t>
            </w:r>
            <w:r>
              <w:rPr>
                <w:rFonts w:hint="eastAsia"/>
                <w:color w:val="000000" w:themeColor="text1"/>
              </w:rPr>
              <w:t>排入市政污水管网，最终进入曹妃甸工业区装备制造区污水处理站处理</w:t>
            </w:r>
            <w:r>
              <w:rPr>
                <w:rFonts w:hint="eastAsia"/>
                <w:color w:val="000000" w:themeColor="text1"/>
                <w:kern w:val="1"/>
              </w:rPr>
              <w:t>；</w:t>
            </w:r>
            <w:r>
              <w:rPr>
                <w:rFonts w:hint="eastAsia"/>
                <w:color w:val="000000" w:themeColor="text1"/>
              </w:rPr>
              <w:t>热风炉冷却过程排污水</w:t>
            </w:r>
            <w:r>
              <w:rPr>
                <w:color w:val="000000" w:themeColor="text1"/>
              </w:rPr>
              <w:t>回用于</w:t>
            </w:r>
            <w:r>
              <w:rPr>
                <w:rFonts w:hint="eastAsia" w:ascii="宋体" w:hAnsi="宋体" w:cs="宋体"/>
                <w:color w:val="000000" w:themeColor="text1"/>
                <w:kern w:val="0"/>
              </w:rPr>
              <w:t>冲厕用水再利用，</w:t>
            </w:r>
            <w:r>
              <w:rPr>
                <w:rFonts w:hint="eastAsia"/>
                <w:color w:val="000000" w:themeColor="text1"/>
              </w:rPr>
              <w:t>不外排，</w:t>
            </w:r>
            <w:r>
              <w:rPr>
                <w:rFonts w:hint="eastAsia"/>
                <w:color w:val="000000" w:themeColor="text1"/>
                <w:kern w:val="24"/>
              </w:rPr>
              <w:t>因此，</w:t>
            </w:r>
            <w:r>
              <w:rPr>
                <w:rFonts w:hint="eastAsia"/>
                <w:color w:val="000000" w:themeColor="text1"/>
              </w:rPr>
              <w:t>不会通过地表漫流对土壤及地下水环境产生明显不利影响。</w:t>
            </w:r>
          </w:p>
          <w:p w14:paraId="0C253DB2">
            <w:pPr>
              <w:snapToGrid w:val="0"/>
              <w:ind w:firstLine="480"/>
              <w:jc w:val="left"/>
              <w:rPr>
                <w:color w:val="000000" w:themeColor="text1"/>
              </w:rPr>
            </w:pPr>
            <w:r>
              <w:rPr>
                <w:rFonts w:hint="eastAsia"/>
                <w:color w:val="000000" w:themeColor="text1"/>
              </w:rPr>
              <w:t>本项目地下水、土壤污染源主要为危废暂存间内的废液压油、废机油、废润滑油，油品储存库内的液压油、机油、润滑油，涉水设施（热风炉配套</w:t>
            </w:r>
            <w:r>
              <w:rPr>
                <w:color w:val="000000" w:themeColor="text1"/>
              </w:rPr>
              <w:t>冷却水箱</w:t>
            </w:r>
            <w:r>
              <w:rPr>
                <w:rFonts w:hint="eastAsia"/>
                <w:color w:val="000000" w:themeColor="text1"/>
              </w:rPr>
              <w:t>）及管道的跑冒滴漏，污染物类型为污染影响型，对地下水、土壤的污染途径主要为垂直入渗。本项目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做好防渗措施，避免由于泄漏造成物料下渗污染地下水、土壤环境。</w:t>
            </w:r>
          </w:p>
          <w:p w14:paraId="0B466BE4">
            <w:pPr>
              <w:snapToGrid w:val="0"/>
              <w:ind w:firstLine="480"/>
              <w:jc w:val="left"/>
              <w:rPr>
                <w:color w:val="000000" w:themeColor="text1"/>
              </w:rPr>
            </w:pPr>
            <w:r>
              <w:rPr>
                <w:rFonts w:hint="eastAsia"/>
                <w:color w:val="000000" w:themeColor="text1"/>
              </w:rPr>
              <w:t>针对可能污染源，本项目采取如下防渗措施：</w:t>
            </w:r>
          </w:p>
          <w:p w14:paraId="2392C18F">
            <w:pPr>
              <w:snapToGrid w:val="0"/>
              <w:ind w:firstLine="480"/>
              <w:jc w:val="left"/>
              <w:rPr>
                <w:color w:val="000000" w:themeColor="text1"/>
              </w:rPr>
            </w:pPr>
            <w:r>
              <w:rPr>
                <w:rFonts w:hint="eastAsia"/>
                <w:color w:val="000000" w:themeColor="text1"/>
              </w:rPr>
              <w:t>本项目危废暂存间、油品储存库均位于厂房内，危废暂存间、油品储存库为重点防渗区，厂房内的其他区域及堆场为一般防渗区。</w:t>
            </w:r>
          </w:p>
          <w:p w14:paraId="691EB66A">
            <w:pPr>
              <w:spacing w:line="360" w:lineRule="auto"/>
              <w:ind w:firstLine="0" w:firstLineChars="0"/>
              <w:jc w:val="center"/>
              <w:rPr>
                <w:b/>
                <w:bCs/>
                <w:color w:val="000000" w:themeColor="text1"/>
                <w:sz w:val="21"/>
                <w:szCs w:val="21"/>
              </w:rPr>
            </w:pPr>
            <w:r>
              <w:rPr>
                <w:rFonts w:hint="eastAsia"/>
                <w:b/>
                <w:bCs/>
                <w:color w:val="000000" w:themeColor="text1"/>
                <w:sz w:val="21"/>
                <w:szCs w:val="21"/>
              </w:rPr>
              <w:t>表55   本项目防渗措施一览表</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1096"/>
              <w:gridCol w:w="5868"/>
            </w:tblGrid>
            <w:tr w14:paraId="4DB11A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82" w:type="pct"/>
                  <w:tcBorders>
                    <w:tl2br w:val="nil"/>
                    <w:tr2bl w:val="nil"/>
                  </w:tcBorders>
                  <w:vAlign w:val="center"/>
                </w:tcPr>
                <w:p w14:paraId="54D88326">
                  <w:pPr>
                    <w:spacing w:line="240" w:lineRule="auto"/>
                    <w:ind w:firstLine="0" w:firstLineChars="0"/>
                    <w:jc w:val="center"/>
                    <w:rPr>
                      <w:b/>
                      <w:bCs/>
                      <w:color w:val="000000" w:themeColor="text1"/>
                      <w:sz w:val="21"/>
                      <w:szCs w:val="21"/>
                    </w:rPr>
                  </w:pPr>
                  <w:r>
                    <w:rPr>
                      <w:b/>
                      <w:bCs/>
                      <w:color w:val="000000" w:themeColor="text1"/>
                      <w:sz w:val="21"/>
                      <w:szCs w:val="21"/>
                    </w:rPr>
                    <w:t>防渗级别</w:t>
                  </w:r>
                </w:p>
              </w:tc>
              <w:tc>
                <w:tcPr>
                  <w:tcW w:w="679" w:type="pct"/>
                  <w:tcBorders>
                    <w:tl2br w:val="nil"/>
                    <w:tr2bl w:val="nil"/>
                  </w:tcBorders>
                  <w:vAlign w:val="center"/>
                </w:tcPr>
                <w:p w14:paraId="206CD645">
                  <w:pPr>
                    <w:spacing w:line="240" w:lineRule="auto"/>
                    <w:ind w:firstLine="0" w:firstLineChars="0"/>
                    <w:jc w:val="center"/>
                    <w:rPr>
                      <w:b/>
                      <w:bCs/>
                      <w:color w:val="000000" w:themeColor="text1"/>
                      <w:sz w:val="21"/>
                      <w:szCs w:val="21"/>
                    </w:rPr>
                  </w:pPr>
                  <w:r>
                    <w:rPr>
                      <w:b/>
                      <w:bCs/>
                      <w:color w:val="000000" w:themeColor="text1"/>
                      <w:sz w:val="21"/>
                      <w:szCs w:val="21"/>
                    </w:rPr>
                    <w:t>防渗区域</w:t>
                  </w:r>
                </w:p>
              </w:tc>
              <w:tc>
                <w:tcPr>
                  <w:tcW w:w="3637" w:type="pct"/>
                  <w:tcBorders>
                    <w:tl2br w:val="nil"/>
                    <w:tr2bl w:val="nil"/>
                  </w:tcBorders>
                  <w:vAlign w:val="center"/>
                </w:tcPr>
                <w:p w14:paraId="11B32D26">
                  <w:pPr>
                    <w:spacing w:line="240" w:lineRule="auto"/>
                    <w:ind w:firstLine="0" w:firstLineChars="0"/>
                    <w:jc w:val="center"/>
                    <w:rPr>
                      <w:b/>
                      <w:bCs/>
                      <w:color w:val="000000" w:themeColor="text1"/>
                      <w:sz w:val="21"/>
                      <w:szCs w:val="21"/>
                    </w:rPr>
                  </w:pPr>
                  <w:r>
                    <w:rPr>
                      <w:b/>
                      <w:bCs/>
                      <w:color w:val="000000" w:themeColor="text1"/>
                      <w:sz w:val="21"/>
                      <w:szCs w:val="21"/>
                    </w:rPr>
                    <w:t>防渗技术要求</w:t>
                  </w:r>
                </w:p>
              </w:tc>
            </w:tr>
            <w:tr w14:paraId="4D8082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2" w:type="pct"/>
                  <w:tcBorders>
                    <w:tl2br w:val="nil"/>
                    <w:tr2bl w:val="nil"/>
                  </w:tcBorders>
                  <w:vAlign w:val="center"/>
                </w:tcPr>
                <w:p w14:paraId="468098B9">
                  <w:pPr>
                    <w:spacing w:line="240" w:lineRule="auto"/>
                    <w:ind w:firstLine="0" w:firstLineChars="0"/>
                    <w:jc w:val="center"/>
                    <w:rPr>
                      <w:color w:val="000000" w:themeColor="text1"/>
                      <w:sz w:val="21"/>
                      <w:szCs w:val="21"/>
                    </w:rPr>
                  </w:pPr>
                  <w:r>
                    <w:rPr>
                      <w:color w:val="000000" w:themeColor="text1"/>
                      <w:sz w:val="21"/>
                      <w:szCs w:val="21"/>
                    </w:rPr>
                    <w:t>重点防渗区</w:t>
                  </w:r>
                </w:p>
              </w:tc>
              <w:tc>
                <w:tcPr>
                  <w:tcW w:w="679" w:type="pct"/>
                  <w:tcBorders>
                    <w:tl2br w:val="nil"/>
                    <w:tr2bl w:val="nil"/>
                  </w:tcBorders>
                  <w:vAlign w:val="center"/>
                </w:tcPr>
                <w:p w14:paraId="09B01DF6">
                  <w:pPr>
                    <w:spacing w:line="240" w:lineRule="auto"/>
                    <w:ind w:firstLine="0" w:firstLineChars="0"/>
                    <w:jc w:val="center"/>
                    <w:rPr>
                      <w:color w:val="000000" w:themeColor="text1"/>
                      <w:sz w:val="21"/>
                      <w:szCs w:val="21"/>
                    </w:rPr>
                  </w:pPr>
                  <w:r>
                    <w:rPr>
                      <w:color w:val="000000" w:themeColor="text1"/>
                      <w:sz w:val="21"/>
                      <w:szCs w:val="21"/>
                    </w:rPr>
                    <w:t>危废暂存间</w:t>
                  </w:r>
                  <w:r>
                    <w:rPr>
                      <w:rFonts w:hint="eastAsia"/>
                      <w:color w:val="000000" w:themeColor="text1"/>
                      <w:sz w:val="21"/>
                      <w:szCs w:val="21"/>
                    </w:rPr>
                    <w:t>、油品储存库</w:t>
                  </w:r>
                </w:p>
              </w:tc>
              <w:tc>
                <w:tcPr>
                  <w:tcW w:w="3637" w:type="pct"/>
                  <w:tcBorders>
                    <w:tl2br w:val="nil"/>
                    <w:tr2bl w:val="nil"/>
                  </w:tcBorders>
                  <w:vAlign w:val="center"/>
                </w:tcPr>
                <w:p w14:paraId="40B6E35D">
                  <w:pPr>
                    <w:spacing w:line="240" w:lineRule="auto"/>
                    <w:ind w:firstLine="0" w:firstLineChars="0"/>
                    <w:jc w:val="center"/>
                    <w:rPr>
                      <w:color w:val="000000" w:themeColor="text1"/>
                      <w:sz w:val="21"/>
                      <w:szCs w:val="21"/>
                    </w:rPr>
                  </w:pPr>
                  <w:r>
                    <w:rPr>
                      <w:rFonts w:hint="eastAsia"/>
                      <w:color w:val="000000" w:themeColor="text1"/>
                      <w:sz w:val="21"/>
                      <w:szCs w:val="21"/>
                    </w:rPr>
                    <w:t>危废暂存间内危险废物储存区域设置托盘，确保危废不落地，危废暂存间</w:t>
                  </w:r>
                  <w:r>
                    <w:rPr>
                      <w:color w:val="000000" w:themeColor="text1"/>
                      <w:sz w:val="21"/>
                      <w:szCs w:val="21"/>
                    </w:rPr>
                    <w:t>地面采用抗渗混凝土浇筑，防渗层厚度为15cm，设有堵截泄漏的裙脚，地面与裙脚采用坚固防渗的材料建造，地面与裙脚涂敷3层环氧树脂，2层玻璃布进行防腐防渗，渗透系数≤1.0×10</w:t>
                  </w:r>
                  <w:r>
                    <w:rPr>
                      <w:color w:val="000000" w:themeColor="text1"/>
                      <w:sz w:val="21"/>
                      <w:szCs w:val="21"/>
                      <w:vertAlign w:val="superscript"/>
                    </w:rPr>
                    <w:t>-10</w:t>
                  </w:r>
                  <w:r>
                    <w:rPr>
                      <w:color w:val="000000" w:themeColor="text1"/>
                      <w:sz w:val="21"/>
                      <w:szCs w:val="21"/>
                    </w:rPr>
                    <w:t>cm/s</w:t>
                  </w:r>
                  <w:r>
                    <w:rPr>
                      <w:rFonts w:hint="eastAsia"/>
                      <w:color w:val="000000" w:themeColor="text1"/>
                      <w:sz w:val="21"/>
                      <w:szCs w:val="21"/>
                    </w:rPr>
                    <w:t>；油品储存库设置托盘，确保油品不落地，地面</w:t>
                  </w:r>
                  <w:r>
                    <w:rPr>
                      <w:color w:val="000000" w:themeColor="text1"/>
                      <w:sz w:val="21"/>
                      <w:szCs w:val="21"/>
                    </w:rPr>
                    <w:t>采用抗渗混凝土浇筑，涂敷3层环氧树脂，2层玻璃布进行防腐防渗，渗透系数≤1.0×10</w:t>
                  </w:r>
                  <w:r>
                    <w:rPr>
                      <w:color w:val="000000" w:themeColor="text1"/>
                      <w:sz w:val="21"/>
                      <w:szCs w:val="21"/>
                      <w:vertAlign w:val="superscript"/>
                    </w:rPr>
                    <w:t>-</w:t>
                  </w:r>
                  <w:r>
                    <w:rPr>
                      <w:rFonts w:hint="eastAsia"/>
                      <w:color w:val="000000" w:themeColor="text1"/>
                      <w:sz w:val="21"/>
                      <w:szCs w:val="21"/>
                      <w:vertAlign w:val="superscript"/>
                    </w:rPr>
                    <w:t>7</w:t>
                  </w:r>
                  <w:r>
                    <w:rPr>
                      <w:color w:val="000000" w:themeColor="text1"/>
                      <w:sz w:val="21"/>
                      <w:szCs w:val="21"/>
                    </w:rPr>
                    <w:t>cm/s</w:t>
                  </w:r>
                  <w:r>
                    <w:rPr>
                      <w:rFonts w:hint="eastAsia"/>
                      <w:color w:val="000000" w:themeColor="text1"/>
                      <w:sz w:val="21"/>
                      <w:szCs w:val="21"/>
                    </w:rPr>
                    <w:t>。</w:t>
                  </w:r>
                </w:p>
              </w:tc>
            </w:tr>
            <w:tr w14:paraId="13BF87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82" w:type="pct"/>
                  <w:tcBorders>
                    <w:tl2br w:val="nil"/>
                    <w:tr2bl w:val="nil"/>
                  </w:tcBorders>
                  <w:vAlign w:val="center"/>
                </w:tcPr>
                <w:p w14:paraId="67D35C25">
                  <w:pPr>
                    <w:spacing w:line="240" w:lineRule="auto"/>
                    <w:ind w:firstLine="0" w:firstLineChars="0"/>
                    <w:jc w:val="center"/>
                    <w:rPr>
                      <w:color w:val="000000" w:themeColor="text1"/>
                      <w:sz w:val="21"/>
                      <w:szCs w:val="21"/>
                    </w:rPr>
                  </w:pPr>
                  <w:r>
                    <w:rPr>
                      <w:rFonts w:hint="eastAsia"/>
                      <w:color w:val="000000" w:themeColor="text1"/>
                      <w:sz w:val="21"/>
                      <w:szCs w:val="21"/>
                    </w:rPr>
                    <w:t>一般防渗区</w:t>
                  </w:r>
                </w:p>
              </w:tc>
              <w:tc>
                <w:tcPr>
                  <w:tcW w:w="679" w:type="pct"/>
                  <w:tcBorders>
                    <w:tl2br w:val="nil"/>
                    <w:tr2bl w:val="nil"/>
                  </w:tcBorders>
                  <w:vAlign w:val="center"/>
                </w:tcPr>
                <w:p w14:paraId="18D568E3">
                  <w:pPr>
                    <w:spacing w:line="240" w:lineRule="auto"/>
                    <w:ind w:firstLine="0" w:firstLineChars="0"/>
                    <w:jc w:val="center"/>
                    <w:rPr>
                      <w:color w:val="000000" w:themeColor="text1"/>
                      <w:sz w:val="21"/>
                      <w:szCs w:val="21"/>
                    </w:rPr>
                  </w:pPr>
                  <w:r>
                    <w:rPr>
                      <w:rFonts w:hint="eastAsia"/>
                      <w:color w:val="000000" w:themeColor="text1"/>
                      <w:sz w:val="21"/>
                      <w:szCs w:val="21"/>
                    </w:rPr>
                    <w:t>厂房内的其他区域及堆场</w:t>
                  </w:r>
                </w:p>
              </w:tc>
              <w:tc>
                <w:tcPr>
                  <w:tcW w:w="3637" w:type="pct"/>
                  <w:tcBorders>
                    <w:tl2br w:val="nil"/>
                    <w:tr2bl w:val="nil"/>
                  </w:tcBorders>
                  <w:vAlign w:val="center"/>
                </w:tcPr>
                <w:p w14:paraId="37184D0E">
                  <w:pPr>
                    <w:spacing w:line="240" w:lineRule="auto"/>
                    <w:ind w:firstLine="0" w:firstLineChars="0"/>
                    <w:jc w:val="center"/>
                    <w:rPr>
                      <w:snapToGrid w:val="0"/>
                      <w:color w:val="000000" w:themeColor="text1"/>
                      <w:kern w:val="0"/>
                      <w:sz w:val="21"/>
                      <w:szCs w:val="21"/>
                    </w:rPr>
                  </w:pPr>
                  <w:r>
                    <w:rPr>
                      <w:rFonts w:hint="eastAsia"/>
                      <w:color w:val="000000" w:themeColor="text1"/>
                      <w:sz w:val="21"/>
                      <w:szCs w:val="21"/>
                    </w:rPr>
                    <w:t>厂房内的其他区域及堆场进行基础防渗处理，需</w:t>
                  </w:r>
                  <w:r>
                    <w:rPr>
                      <w:color w:val="000000" w:themeColor="text1"/>
                      <w:sz w:val="21"/>
                      <w:szCs w:val="21"/>
                    </w:rPr>
                    <w:t>满足等效黏土防渗层Mb≥</w:t>
                  </w:r>
                  <w:r>
                    <w:rPr>
                      <w:rFonts w:hint="eastAsia"/>
                      <w:color w:val="000000" w:themeColor="text1"/>
                      <w:sz w:val="21"/>
                      <w:szCs w:val="21"/>
                    </w:rPr>
                    <w:t>1.5</w:t>
                  </w:r>
                  <w:r>
                    <w:rPr>
                      <w:color w:val="000000" w:themeColor="text1"/>
                      <w:sz w:val="21"/>
                      <w:szCs w:val="21"/>
                    </w:rPr>
                    <w:t>m，K≤1×10</w:t>
                  </w:r>
                  <w:r>
                    <w:rPr>
                      <w:color w:val="000000" w:themeColor="text1"/>
                      <w:sz w:val="21"/>
                      <w:szCs w:val="21"/>
                      <w:vertAlign w:val="superscript"/>
                    </w:rPr>
                    <w:t>-7</w:t>
                  </w:r>
                  <w:r>
                    <w:rPr>
                      <w:color w:val="000000" w:themeColor="text1"/>
                      <w:sz w:val="21"/>
                      <w:szCs w:val="21"/>
                    </w:rPr>
                    <w:t>cm/s</w:t>
                  </w:r>
                  <w:r>
                    <w:rPr>
                      <w:rFonts w:hint="eastAsia"/>
                      <w:color w:val="000000" w:themeColor="text1"/>
                      <w:sz w:val="21"/>
                      <w:szCs w:val="21"/>
                    </w:rPr>
                    <w:t>。厂房内使用液压油、机油、润滑油的设备区域设置托盘，确保废油不落地；热风炉配套</w:t>
                  </w:r>
                  <w:r>
                    <w:rPr>
                      <w:color w:val="000000" w:themeColor="text1"/>
                      <w:sz w:val="21"/>
                      <w:szCs w:val="21"/>
                    </w:rPr>
                    <w:t>冷却水箱</w:t>
                  </w:r>
                  <w:r>
                    <w:rPr>
                      <w:rFonts w:hint="eastAsia"/>
                      <w:color w:val="000000" w:themeColor="text1"/>
                      <w:sz w:val="21"/>
                      <w:szCs w:val="21"/>
                    </w:rPr>
                    <w:t>为碳钢材质。</w:t>
                  </w:r>
                </w:p>
              </w:tc>
            </w:tr>
          </w:tbl>
          <w:p w14:paraId="1854DA62">
            <w:pPr>
              <w:spacing w:line="360" w:lineRule="auto"/>
              <w:ind w:firstLine="480"/>
              <w:rPr>
                <w:color w:val="000000" w:themeColor="text1"/>
              </w:rPr>
            </w:pPr>
            <w:r>
              <w:rPr>
                <w:rFonts w:hint="eastAsia"/>
                <w:color w:val="000000" w:themeColor="text1"/>
              </w:rPr>
              <w:t>非正常工况下，危废暂存间内废液压油、废机油、废润滑油以及油品储存库内液压油、机油、润滑油储存容器破损，涉水设施（热风炉配套</w:t>
            </w:r>
            <w:r>
              <w:rPr>
                <w:color w:val="000000" w:themeColor="text1"/>
              </w:rPr>
              <w:t>冷却水箱</w:t>
            </w:r>
            <w:r>
              <w:rPr>
                <w:rFonts w:hint="eastAsia"/>
                <w:color w:val="000000" w:themeColor="text1"/>
              </w:rPr>
              <w:t>）及管道发生跑冒滴漏，且地面防渗层破裂，发生泄漏事故时泄漏液体下渗会对土壤及地下水造成影响。污染物的影响主要表现在垂向上污染物的扩散，水平方向上的扩散趋势甚微，而垂向上污染物的污染深度考虑包气带自身防护作用，且涉水设施均为地上设置，易于发现，污染物渗漏至土壤环境、地下水环境的量较少，对土壤、地下水的影响较小。</w:t>
            </w:r>
          </w:p>
          <w:p w14:paraId="533AFE7B">
            <w:pPr>
              <w:spacing w:line="360" w:lineRule="auto"/>
              <w:ind w:firstLine="480"/>
              <w:rPr>
                <w:color w:val="000000" w:themeColor="text1"/>
              </w:rPr>
            </w:pPr>
            <w:r>
              <w:rPr>
                <w:rFonts w:hint="eastAsia"/>
                <w:color w:val="000000" w:themeColor="text1"/>
              </w:rPr>
              <w:t>综上分析，在加强防渗的情况下，本项目基本不会对地下水、土壤环境造成影响。</w:t>
            </w:r>
          </w:p>
          <w:p w14:paraId="22669C22">
            <w:pPr>
              <w:adjustRightInd w:val="0"/>
              <w:snapToGrid w:val="0"/>
              <w:spacing w:line="360" w:lineRule="auto"/>
              <w:ind w:firstLine="482"/>
              <w:rPr>
                <w:b/>
                <w:bCs/>
                <w:color w:val="000000" w:themeColor="text1"/>
              </w:rPr>
            </w:pPr>
            <w:r>
              <w:rPr>
                <w:rFonts w:hint="eastAsia"/>
                <w:b/>
                <w:bCs/>
                <w:color w:val="000000" w:themeColor="text1"/>
              </w:rPr>
              <w:t>6、生态</w:t>
            </w:r>
          </w:p>
          <w:p w14:paraId="01BE2F65">
            <w:pPr>
              <w:spacing w:line="360" w:lineRule="auto"/>
              <w:ind w:firstLine="480"/>
              <w:rPr>
                <w:color w:val="000000" w:themeColor="text1"/>
              </w:rPr>
            </w:pPr>
            <w:r>
              <w:rPr>
                <w:rFonts w:hint="eastAsia"/>
                <w:color w:val="000000" w:themeColor="text1"/>
              </w:rPr>
              <w:t>本项目租赁唐山曹妃甸木业股份有限公司闲置厂房及堆场进行建设，无土建施工过程，用地范围内无生态环境保护目标，对区域生态环境影响较小。</w:t>
            </w:r>
          </w:p>
          <w:p w14:paraId="7010A91F">
            <w:pPr>
              <w:adjustRightInd w:val="0"/>
              <w:snapToGrid w:val="0"/>
              <w:spacing w:line="360" w:lineRule="auto"/>
              <w:ind w:firstLine="482"/>
              <w:rPr>
                <w:b/>
                <w:bCs/>
                <w:color w:val="000000" w:themeColor="text1"/>
              </w:rPr>
            </w:pPr>
            <w:r>
              <w:rPr>
                <w:rFonts w:hint="eastAsia"/>
                <w:b/>
                <w:bCs/>
                <w:color w:val="000000" w:themeColor="text1"/>
              </w:rPr>
              <w:t>7、环境风险</w:t>
            </w:r>
          </w:p>
          <w:p w14:paraId="6BA83777">
            <w:pPr>
              <w:spacing w:line="360" w:lineRule="auto"/>
              <w:ind w:firstLine="482"/>
              <w:rPr>
                <w:b/>
                <w:bCs/>
                <w:color w:val="000000" w:themeColor="text1"/>
              </w:rPr>
            </w:pPr>
            <w:r>
              <w:rPr>
                <w:rFonts w:hint="eastAsia"/>
                <w:b/>
                <w:bCs/>
                <w:color w:val="000000" w:themeColor="text1"/>
              </w:rPr>
              <w:t>7.1环境风险的识别</w:t>
            </w:r>
          </w:p>
          <w:p w14:paraId="4AB20789">
            <w:pPr>
              <w:spacing w:line="360" w:lineRule="auto"/>
              <w:ind w:firstLine="480"/>
              <w:rPr>
                <w:color w:val="000000" w:themeColor="text1"/>
              </w:rPr>
            </w:pPr>
            <w:r>
              <w:rPr>
                <w:rFonts w:hint="eastAsia"/>
                <w:color w:val="000000" w:themeColor="text1"/>
              </w:rPr>
              <w:t>对照《危险化学品分类信息表》（2023年）、《建设项目环境风险评价技术导则》（HJ169-2018）附录B.1、《化学品分类和标签规范第18部分：急性毒性》（GB30000.18-2013）和《化学品分类和标签规范第28部分：对水生环境的危害》（GB30000.28-2013），确定本项目风险物质主要为液压油、机油、润滑油、废液压油、废机油、废润滑油。</w:t>
            </w:r>
          </w:p>
          <w:p w14:paraId="63CD1A86">
            <w:pPr>
              <w:spacing w:line="360" w:lineRule="auto"/>
              <w:ind w:firstLine="480"/>
              <w:rPr>
                <w:color w:val="000000" w:themeColor="text1"/>
              </w:rPr>
            </w:pPr>
            <w:r>
              <w:rPr>
                <w:rFonts w:hint="eastAsia"/>
                <w:color w:val="000000" w:themeColor="text1"/>
              </w:rPr>
              <w:t>上述物质在储存、使用过程中可能发生泄漏事故或火灾事故。</w:t>
            </w:r>
          </w:p>
          <w:p w14:paraId="3A9FB1FF">
            <w:pPr>
              <w:adjustRightInd w:val="0"/>
              <w:snapToGrid w:val="0"/>
              <w:spacing w:line="240" w:lineRule="auto"/>
              <w:ind w:firstLine="0" w:firstLineChars="0"/>
              <w:jc w:val="center"/>
              <w:rPr>
                <w:b/>
                <w:bCs/>
                <w:color w:val="000000" w:themeColor="text1"/>
                <w:sz w:val="21"/>
                <w:szCs w:val="21"/>
              </w:rPr>
            </w:pPr>
            <w:r>
              <w:rPr>
                <w:b/>
                <w:bCs/>
                <w:color w:val="000000" w:themeColor="text1"/>
                <w:sz w:val="21"/>
                <w:szCs w:val="21"/>
                <w:lang w:val="zh-CN"/>
              </w:rPr>
              <w:t>表</w:t>
            </w:r>
            <w:r>
              <w:rPr>
                <w:rFonts w:hint="eastAsia"/>
                <w:b/>
                <w:bCs/>
                <w:color w:val="000000" w:themeColor="text1"/>
                <w:sz w:val="21"/>
                <w:szCs w:val="21"/>
              </w:rPr>
              <w:t>56  本项目风险物质识别及影响途径</w:t>
            </w:r>
            <w:r>
              <w:rPr>
                <w:rFonts w:hint="eastAsia"/>
                <w:b/>
                <w:bCs/>
                <w:color w:val="000000" w:themeColor="text1"/>
                <w:sz w:val="21"/>
                <w:szCs w:val="21"/>
                <w:lang w:val="zh-CN"/>
              </w:rPr>
              <w:t>一览</w:t>
            </w:r>
            <w:r>
              <w:rPr>
                <w:b/>
                <w:bCs/>
                <w:color w:val="000000" w:themeColor="text1"/>
                <w:sz w:val="21"/>
                <w:szCs w:val="21"/>
                <w:lang w:val="zh-CN"/>
              </w:rPr>
              <w:t>表</w:t>
            </w:r>
          </w:p>
          <w:tbl>
            <w:tblPr>
              <w:tblStyle w:val="24"/>
              <w:tblW w:w="81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78"/>
              <w:gridCol w:w="1255"/>
              <w:gridCol w:w="1473"/>
              <w:gridCol w:w="1012"/>
              <w:gridCol w:w="945"/>
              <w:gridCol w:w="2044"/>
            </w:tblGrid>
            <w:tr w14:paraId="28773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77504ECB">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风险物质名称</w:t>
                  </w:r>
                </w:p>
              </w:tc>
              <w:tc>
                <w:tcPr>
                  <w:tcW w:w="1255" w:type="dxa"/>
                  <w:tcBorders>
                    <w:tl2br w:val="nil"/>
                    <w:tr2bl w:val="nil"/>
                  </w:tcBorders>
                  <w:tcMar>
                    <w:top w:w="15" w:type="dxa"/>
                    <w:left w:w="15" w:type="dxa"/>
                    <w:right w:w="15" w:type="dxa"/>
                  </w:tcMar>
                  <w:vAlign w:val="center"/>
                </w:tcPr>
                <w:p w14:paraId="06B2A392">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存在场所</w:t>
                  </w:r>
                </w:p>
              </w:tc>
              <w:tc>
                <w:tcPr>
                  <w:tcW w:w="1473" w:type="dxa"/>
                  <w:tcBorders>
                    <w:tl2br w:val="nil"/>
                    <w:tr2bl w:val="nil"/>
                  </w:tcBorders>
                  <w:tcMar>
                    <w:top w:w="15" w:type="dxa"/>
                    <w:left w:w="15" w:type="dxa"/>
                    <w:right w:w="15" w:type="dxa"/>
                  </w:tcMar>
                  <w:vAlign w:val="center"/>
                </w:tcPr>
                <w:p w14:paraId="1337B01A">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最大存在量（t）</w:t>
                  </w:r>
                </w:p>
              </w:tc>
              <w:tc>
                <w:tcPr>
                  <w:tcW w:w="1012" w:type="dxa"/>
                  <w:tcBorders>
                    <w:tl2br w:val="nil"/>
                    <w:tr2bl w:val="nil"/>
                  </w:tcBorders>
                  <w:tcMar>
                    <w:top w:w="15" w:type="dxa"/>
                    <w:left w:w="15" w:type="dxa"/>
                    <w:right w:w="15" w:type="dxa"/>
                  </w:tcMar>
                  <w:vAlign w:val="center"/>
                </w:tcPr>
                <w:p w14:paraId="21E202B4">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临界量（t）</w:t>
                  </w:r>
                </w:p>
              </w:tc>
              <w:tc>
                <w:tcPr>
                  <w:tcW w:w="945" w:type="dxa"/>
                  <w:tcBorders>
                    <w:tl2br w:val="nil"/>
                    <w:tr2bl w:val="nil"/>
                  </w:tcBorders>
                  <w:tcMar>
                    <w:top w:w="15" w:type="dxa"/>
                    <w:left w:w="15" w:type="dxa"/>
                    <w:right w:w="15" w:type="dxa"/>
                  </w:tcMar>
                  <w:vAlign w:val="center"/>
                </w:tcPr>
                <w:p w14:paraId="2C748AD3">
                  <w:pPr>
                    <w:widowControl/>
                    <w:spacing w:line="240" w:lineRule="auto"/>
                    <w:ind w:firstLine="0" w:firstLineChars="0"/>
                    <w:jc w:val="center"/>
                    <w:textAlignment w:val="center"/>
                    <w:rPr>
                      <w:b/>
                      <w:bCs/>
                      <w:color w:val="000000" w:themeColor="text1"/>
                      <w:sz w:val="21"/>
                      <w:szCs w:val="21"/>
                    </w:rPr>
                  </w:pPr>
                  <w:r>
                    <w:rPr>
                      <w:rFonts w:hint="eastAsia"/>
                      <w:b/>
                      <w:bCs/>
                      <w:color w:val="000000" w:themeColor="text1"/>
                      <w:sz w:val="21"/>
                      <w:szCs w:val="21"/>
                    </w:rPr>
                    <w:t>Q值</w:t>
                  </w:r>
                </w:p>
              </w:tc>
              <w:tc>
                <w:tcPr>
                  <w:tcW w:w="2044" w:type="dxa"/>
                  <w:tcBorders>
                    <w:tl2br w:val="nil"/>
                    <w:tr2bl w:val="nil"/>
                  </w:tcBorders>
                  <w:tcMar>
                    <w:top w:w="15" w:type="dxa"/>
                    <w:left w:w="15" w:type="dxa"/>
                    <w:right w:w="15" w:type="dxa"/>
                  </w:tcMar>
                  <w:vAlign w:val="center"/>
                </w:tcPr>
                <w:p w14:paraId="29441276">
                  <w:pPr>
                    <w:widowControl/>
                    <w:spacing w:line="240" w:lineRule="auto"/>
                    <w:ind w:firstLine="0" w:firstLineChars="0"/>
                    <w:jc w:val="center"/>
                    <w:textAlignment w:val="center"/>
                    <w:rPr>
                      <w:rFonts w:hint="eastAsia" w:eastAsia="宋体"/>
                      <w:b/>
                      <w:bCs/>
                      <w:color w:val="000000" w:themeColor="text1"/>
                      <w:sz w:val="21"/>
                      <w:szCs w:val="21"/>
                      <w:lang w:eastAsia="zh-CN"/>
                    </w:rPr>
                  </w:pPr>
                  <w:r>
                    <w:rPr>
                      <w:rFonts w:hint="eastAsia"/>
                      <w:b/>
                      <w:bCs/>
                      <w:color w:val="000000" w:themeColor="text1"/>
                      <w:sz w:val="21"/>
                      <w:szCs w:val="21"/>
                    </w:rPr>
                    <w:t>影响</w:t>
                  </w:r>
                  <w:r>
                    <w:rPr>
                      <w:rFonts w:hint="eastAsia"/>
                      <w:b/>
                      <w:bCs/>
                      <w:color w:val="000000" w:themeColor="text1"/>
                      <w:sz w:val="21"/>
                      <w:szCs w:val="21"/>
                      <w:lang w:eastAsia="zh-CN"/>
                    </w:rPr>
                    <w:t>途径</w:t>
                  </w:r>
                </w:p>
              </w:tc>
            </w:tr>
            <w:tr w14:paraId="44582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35F20157">
                  <w:pPr>
                    <w:spacing w:line="240" w:lineRule="auto"/>
                    <w:ind w:firstLine="0" w:firstLineChars="0"/>
                    <w:jc w:val="center"/>
                    <w:rPr>
                      <w:color w:val="000000" w:themeColor="text1"/>
                      <w:sz w:val="21"/>
                      <w:szCs w:val="21"/>
                    </w:rPr>
                  </w:pPr>
                  <w:r>
                    <w:rPr>
                      <w:rFonts w:hint="eastAsia"/>
                      <w:color w:val="000000" w:themeColor="text1"/>
                      <w:sz w:val="21"/>
                      <w:szCs w:val="21"/>
                    </w:rPr>
                    <w:t>液压油</w:t>
                  </w:r>
                </w:p>
              </w:tc>
              <w:tc>
                <w:tcPr>
                  <w:tcW w:w="1255" w:type="dxa"/>
                  <w:vMerge w:val="restart"/>
                  <w:tcBorders>
                    <w:tl2br w:val="nil"/>
                    <w:tr2bl w:val="nil"/>
                  </w:tcBorders>
                  <w:tcMar>
                    <w:top w:w="15" w:type="dxa"/>
                    <w:left w:w="15" w:type="dxa"/>
                    <w:right w:w="15" w:type="dxa"/>
                  </w:tcMar>
                  <w:vAlign w:val="center"/>
                </w:tcPr>
                <w:p w14:paraId="4A6C019E">
                  <w:pPr>
                    <w:spacing w:line="240" w:lineRule="auto"/>
                    <w:ind w:firstLine="0" w:firstLineChars="0"/>
                    <w:jc w:val="center"/>
                    <w:rPr>
                      <w:color w:val="000000" w:themeColor="text1"/>
                      <w:sz w:val="21"/>
                      <w:szCs w:val="21"/>
                    </w:rPr>
                  </w:pPr>
                  <w:r>
                    <w:rPr>
                      <w:rFonts w:hint="eastAsia"/>
                      <w:color w:val="000000" w:themeColor="text1"/>
                      <w:sz w:val="21"/>
                      <w:szCs w:val="21"/>
                    </w:rPr>
                    <w:t>油品储存库</w:t>
                  </w:r>
                </w:p>
              </w:tc>
              <w:tc>
                <w:tcPr>
                  <w:tcW w:w="1473" w:type="dxa"/>
                  <w:tcBorders>
                    <w:tl2br w:val="nil"/>
                    <w:tr2bl w:val="nil"/>
                  </w:tcBorders>
                  <w:tcMar>
                    <w:top w:w="15" w:type="dxa"/>
                    <w:left w:w="15" w:type="dxa"/>
                    <w:right w:w="15" w:type="dxa"/>
                  </w:tcMar>
                  <w:vAlign w:val="center"/>
                </w:tcPr>
                <w:p w14:paraId="7EEDDAC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0.125</w:t>
                  </w:r>
                </w:p>
              </w:tc>
              <w:tc>
                <w:tcPr>
                  <w:tcW w:w="1012" w:type="dxa"/>
                  <w:tcBorders>
                    <w:tl2br w:val="nil"/>
                    <w:tr2bl w:val="nil"/>
                  </w:tcBorders>
                  <w:tcMar>
                    <w:top w:w="15" w:type="dxa"/>
                    <w:left w:w="15" w:type="dxa"/>
                    <w:right w:w="15" w:type="dxa"/>
                  </w:tcMar>
                  <w:vAlign w:val="center"/>
                </w:tcPr>
                <w:p w14:paraId="21452D7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2500</w:t>
                  </w:r>
                </w:p>
              </w:tc>
              <w:tc>
                <w:tcPr>
                  <w:tcW w:w="945" w:type="dxa"/>
                  <w:tcBorders>
                    <w:tl2br w:val="nil"/>
                    <w:tr2bl w:val="nil"/>
                  </w:tcBorders>
                  <w:tcMar>
                    <w:top w:w="15" w:type="dxa"/>
                    <w:left w:w="15" w:type="dxa"/>
                    <w:right w:w="15" w:type="dxa"/>
                  </w:tcMar>
                  <w:vAlign w:val="center"/>
                </w:tcPr>
                <w:p w14:paraId="4537951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0.00005</w:t>
                  </w:r>
                </w:p>
              </w:tc>
              <w:tc>
                <w:tcPr>
                  <w:tcW w:w="2044" w:type="dxa"/>
                  <w:vMerge w:val="restart"/>
                  <w:tcBorders>
                    <w:tl2br w:val="nil"/>
                    <w:tr2bl w:val="nil"/>
                  </w:tcBorders>
                  <w:tcMar>
                    <w:top w:w="15" w:type="dxa"/>
                    <w:left w:w="15" w:type="dxa"/>
                    <w:right w:w="15" w:type="dxa"/>
                  </w:tcMar>
                  <w:vAlign w:val="center"/>
                </w:tcPr>
                <w:p w14:paraId="60F94F4A">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泄漏漫流至地面，下渗影响土壤及地下水环境；引起火灾产生废气、消防废水等</w:t>
                  </w:r>
                </w:p>
              </w:tc>
            </w:tr>
            <w:tr w14:paraId="5F53A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1749C740">
                  <w:pPr>
                    <w:spacing w:line="240" w:lineRule="auto"/>
                    <w:ind w:firstLine="0" w:firstLineChars="0"/>
                    <w:jc w:val="center"/>
                    <w:rPr>
                      <w:color w:val="000000" w:themeColor="text1"/>
                      <w:sz w:val="21"/>
                      <w:szCs w:val="21"/>
                    </w:rPr>
                  </w:pPr>
                  <w:r>
                    <w:rPr>
                      <w:rFonts w:hint="eastAsia"/>
                      <w:color w:val="000000" w:themeColor="text1"/>
                      <w:sz w:val="21"/>
                      <w:szCs w:val="21"/>
                    </w:rPr>
                    <w:t>机油</w:t>
                  </w:r>
                </w:p>
              </w:tc>
              <w:tc>
                <w:tcPr>
                  <w:tcW w:w="1255" w:type="dxa"/>
                  <w:vMerge w:val="continue"/>
                  <w:tcBorders>
                    <w:tl2br w:val="nil"/>
                    <w:tr2bl w:val="nil"/>
                  </w:tcBorders>
                  <w:tcMar>
                    <w:top w:w="15" w:type="dxa"/>
                    <w:left w:w="15" w:type="dxa"/>
                    <w:right w:w="15" w:type="dxa"/>
                  </w:tcMar>
                  <w:vAlign w:val="center"/>
                </w:tcPr>
                <w:p w14:paraId="03FF964C">
                  <w:pPr>
                    <w:spacing w:line="240" w:lineRule="auto"/>
                    <w:ind w:firstLine="0" w:firstLineChars="0"/>
                    <w:jc w:val="center"/>
                    <w:rPr>
                      <w:color w:val="000000" w:themeColor="text1"/>
                      <w:sz w:val="21"/>
                      <w:szCs w:val="21"/>
                    </w:rPr>
                  </w:pPr>
                </w:p>
              </w:tc>
              <w:tc>
                <w:tcPr>
                  <w:tcW w:w="1473" w:type="dxa"/>
                  <w:tcBorders>
                    <w:tl2br w:val="nil"/>
                    <w:tr2bl w:val="nil"/>
                  </w:tcBorders>
                  <w:tcMar>
                    <w:top w:w="15" w:type="dxa"/>
                    <w:left w:w="15" w:type="dxa"/>
                    <w:right w:w="15" w:type="dxa"/>
                  </w:tcMar>
                  <w:vAlign w:val="center"/>
                </w:tcPr>
                <w:p w14:paraId="24F3F58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0.1</w:t>
                  </w:r>
                </w:p>
              </w:tc>
              <w:tc>
                <w:tcPr>
                  <w:tcW w:w="1012" w:type="dxa"/>
                  <w:tcBorders>
                    <w:tl2br w:val="nil"/>
                    <w:tr2bl w:val="nil"/>
                  </w:tcBorders>
                  <w:tcMar>
                    <w:top w:w="15" w:type="dxa"/>
                    <w:left w:w="15" w:type="dxa"/>
                    <w:right w:w="15" w:type="dxa"/>
                  </w:tcMar>
                  <w:vAlign w:val="center"/>
                </w:tcPr>
                <w:p w14:paraId="5FCC5CF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2500</w:t>
                  </w:r>
                </w:p>
              </w:tc>
              <w:tc>
                <w:tcPr>
                  <w:tcW w:w="945" w:type="dxa"/>
                  <w:tcBorders>
                    <w:tl2br w:val="nil"/>
                    <w:tr2bl w:val="nil"/>
                  </w:tcBorders>
                  <w:tcMar>
                    <w:top w:w="15" w:type="dxa"/>
                    <w:left w:w="15" w:type="dxa"/>
                    <w:right w:w="15" w:type="dxa"/>
                  </w:tcMar>
                  <w:vAlign w:val="center"/>
                </w:tcPr>
                <w:p w14:paraId="37E52B5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0.00004</w:t>
                  </w:r>
                </w:p>
              </w:tc>
              <w:tc>
                <w:tcPr>
                  <w:tcW w:w="2044" w:type="dxa"/>
                  <w:vMerge w:val="continue"/>
                  <w:tcBorders>
                    <w:tl2br w:val="nil"/>
                    <w:tr2bl w:val="nil"/>
                  </w:tcBorders>
                  <w:tcMar>
                    <w:top w:w="15" w:type="dxa"/>
                    <w:left w:w="15" w:type="dxa"/>
                    <w:right w:w="15" w:type="dxa"/>
                  </w:tcMar>
                  <w:vAlign w:val="center"/>
                </w:tcPr>
                <w:p w14:paraId="28560BCB">
                  <w:pPr>
                    <w:widowControl/>
                    <w:spacing w:line="240" w:lineRule="auto"/>
                    <w:ind w:firstLine="0" w:firstLineChars="0"/>
                    <w:jc w:val="center"/>
                    <w:textAlignment w:val="center"/>
                    <w:rPr>
                      <w:color w:val="000000" w:themeColor="text1"/>
                      <w:sz w:val="21"/>
                      <w:szCs w:val="21"/>
                    </w:rPr>
                  </w:pPr>
                </w:p>
              </w:tc>
            </w:tr>
            <w:tr w14:paraId="6A279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12136368">
                  <w:pPr>
                    <w:spacing w:line="240" w:lineRule="auto"/>
                    <w:ind w:firstLine="0" w:firstLineChars="0"/>
                    <w:jc w:val="center"/>
                    <w:rPr>
                      <w:color w:val="000000" w:themeColor="text1"/>
                      <w:sz w:val="21"/>
                      <w:szCs w:val="21"/>
                    </w:rPr>
                  </w:pPr>
                  <w:r>
                    <w:rPr>
                      <w:rFonts w:hint="eastAsia"/>
                      <w:color w:val="000000" w:themeColor="text1"/>
                      <w:sz w:val="21"/>
                      <w:szCs w:val="21"/>
                    </w:rPr>
                    <w:t>润滑油</w:t>
                  </w:r>
                </w:p>
              </w:tc>
              <w:tc>
                <w:tcPr>
                  <w:tcW w:w="1255" w:type="dxa"/>
                  <w:vMerge w:val="continue"/>
                  <w:tcBorders>
                    <w:tl2br w:val="nil"/>
                    <w:tr2bl w:val="nil"/>
                  </w:tcBorders>
                  <w:tcMar>
                    <w:top w:w="15" w:type="dxa"/>
                    <w:left w:w="15" w:type="dxa"/>
                    <w:right w:w="15" w:type="dxa"/>
                  </w:tcMar>
                  <w:vAlign w:val="center"/>
                </w:tcPr>
                <w:p w14:paraId="0DA4F164">
                  <w:pPr>
                    <w:spacing w:line="240" w:lineRule="auto"/>
                    <w:ind w:firstLine="0" w:firstLineChars="0"/>
                    <w:jc w:val="center"/>
                    <w:rPr>
                      <w:color w:val="000000" w:themeColor="text1"/>
                      <w:sz w:val="21"/>
                      <w:szCs w:val="21"/>
                    </w:rPr>
                  </w:pPr>
                </w:p>
              </w:tc>
              <w:tc>
                <w:tcPr>
                  <w:tcW w:w="1473" w:type="dxa"/>
                  <w:tcBorders>
                    <w:tl2br w:val="nil"/>
                    <w:tr2bl w:val="nil"/>
                  </w:tcBorders>
                  <w:tcMar>
                    <w:top w:w="15" w:type="dxa"/>
                    <w:left w:w="15" w:type="dxa"/>
                    <w:right w:w="15" w:type="dxa"/>
                  </w:tcMar>
                  <w:vAlign w:val="center"/>
                </w:tcPr>
                <w:p w14:paraId="29C922B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0.075</w:t>
                  </w:r>
                </w:p>
              </w:tc>
              <w:tc>
                <w:tcPr>
                  <w:tcW w:w="1012" w:type="dxa"/>
                  <w:tcBorders>
                    <w:tl2br w:val="nil"/>
                    <w:tr2bl w:val="nil"/>
                  </w:tcBorders>
                  <w:tcMar>
                    <w:top w:w="15" w:type="dxa"/>
                    <w:left w:w="15" w:type="dxa"/>
                    <w:right w:w="15" w:type="dxa"/>
                  </w:tcMar>
                  <w:vAlign w:val="center"/>
                </w:tcPr>
                <w:p w14:paraId="4B78DDB3">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2500</w:t>
                  </w:r>
                </w:p>
              </w:tc>
              <w:tc>
                <w:tcPr>
                  <w:tcW w:w="945" w:type="dxa"/>
                  <w:tcBorders>
                    <w:tl2br w:val="nil"/>
                    <w:tr2bl w:val="nil"/>
                  </w:tcBorders>
                  <w:tcMar>
                    <w:top w:w="15" w:type="dxa"/>
                    <w:left w:w="15" w:type="dxa"/>
                    <w:right w:w="15" w:type="dxa"/>
                  </w:tcMar>
                  <w:vAlign w:val="center"/>
                </w:tcPr>
                <w:p w14:paraId="070BB74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0.00003</w:t>
                  </w:r>
                </w:p>
              </w:tc>
              <w:tc>
                <w:tcPr>
                  <w:tcW w:w="2044" w:type="dxa"/>
                  <w:vMerge w:val="continue"/>
                  <w:tcBorders>
                    <w:tl2br w:val="nil"/>
                    <w:tr2bl w:val="nil"/>
                  </w:tcBorders>
                  <w:tcMar>
                    <w:top w:w="15" w:type="dxa"/>
                    <w:left w:w="15" w:type="dxa"/>
                    <w:right w:w="15" w:type="dxa"/>
                  </w:tcMar>
                  <w:vAlign w:val="center"/>
                </w:tcPr>
                <w:p w14:paraId="00F677CA">
                  <w:pPr>
                    <w:widowControl/>
                    <w:spacing w:line="240" w:lineRule="auto"/>
                    <w:ind w:firstLine="0" w:firstLineChars="0"/>
                    <w:jc w:val="center"/>
                    <w:textAlignment w:val="center"/>
                    <w:rPr>
                      <w:color w:val="000000" w:themeColor="text1"/>
                      <w:sz w:val="21"/>
                      <w:szCs w:val="21"/>
                    </w:rPr>
                  </w:pPr>
                </w:p>
              </w:tc>
            </w:tr>
            <w:tr w14:paraId="634BD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56A81A02">
                  <w:pPr>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1255" w:type="dxa"/>
                  <w:vMerge w:val="restart"/>
                  <w:tcBorders>
                    <w:tl2br w:val="nil"/>
                    <w:tr2bl w:val="nil"/>
                  </w:tcBorders>
                  <w:tcMar>
                    <w:top w:w="15" w:type="dxa"/>
                    <w:left w:w="15" w:type="dxa"/>
                    <w:right w:w="15" w:type="dxa"/>
                  </w:tcMar>
                  <w:vAlign w:val="center"/>
                </w:tcPr>
                <w:p w14:paraId="46A27319">
                  <w:pPr>
                    <w:spacing w:line="240" w:lineRule="auto"/>
                    <w:ind w:firstLine="0" w:firstLineChars="0"/>
                    <w:jc w:val="center"/>
                    <w:rPr>
                      <w:color w:val="000000" w:themeColor="text1"/>
                      <w:sz w:val="21"/>
                      <w:szCs w:val="21"/>
                    </w:rPr>
                  </w:pPr>
                  <w:r>
                    <w:rPr>
                      <w:rFonts w:hint="eastAsia"/>
                      <w:color w:val="000000" w:themeColor="text1"/>
                      <w:sz w:val="21"/>
                      <w:szCs w:val="21"/>
                    </w:rPr>
                    <w:t>危废暂存间</w:t>
                  </w:r>
                </w:p>
              </w:tc>
              <w:tc>
                <w:tcPr>
                  <w:tcW w:w="1473" w:type="dxa"/>
                  <w:tcBorders>
                    <w:tl2br w:val="nil"/>
                    <w:tr2bl w:val="nil"/>
                  </w:tcBorders>
                  <w:shd w:val="clear" w:color="auto" w:fill="auto"/>
                  <w:tcMar>
                    <w:top w:w="15" w:type="dxa"/>
                    <w:left w:w="15" w:type="dxa"/>
                    <w:right w:w="15" w:type="dxa"/>
                  </w:tcMar>
                  <w:vAlign w:val="center"/>
                </w:tcPr>
                <w:p w14:paraId="1D3798AC">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1012" w:type="dxa"/>
                  <w:tcBorders>
                    <w:tl2br w:val="nil"/>
                    <w:tr2bl w:val="nil"/>
                  </w:tcBorders>
                  <w:tcMar>
                    <w:top w:w="15" w:type="dxa"/>
                    <w:left w:w="15" w:type="dxa"/>
                    <w:right w:w="15" w:type="dxa"/>
                  </w:tcMar>
                  <w:vAlign w:val="center"/>
                </w:tcPr>
                <w:p w14:paraId="2F6144E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100</w:t>
                  </w:r>
                </w:p>
              </w:tc>
              <w:tc>
                <w:tcPr>
                  <w:tcW w:w="945" w:type="dxa"/>
                  <w:tcBorders>
                    <w:tl2br w:val="nil"/>
                    <w:tr2bl w:val="nil"/>
                  </w:tcBorders>
                  <w:tcMar>
                    <w:top w:w="15" w:type="dxa"/>
                    <w:left w:w="15" w:type="dxa"/>
                    <w:right w:w="15" w:type="dxa"/>
                  </w:tcMar>
                  <w:vAlign w:val="center"/>
                </w:tcPr>
                <w:p w14:paraId="737DC1D4">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0.002</w:t>
                  </w:r>
                </w:p>
              </w:tc>
              <w:tc>
                <w:tcPr>
                  <w:tcW w:w="2044" w:type="dxa"/>
                  <w:vMerge w:val="continue"/>
                  <w:tcBorders>
                    <w:tl2br w:val="nil"/>
                    <w:tr2bl w:val="nil"/>
                  </w:tcBorders>
                  <w:tcMar>
                    <w:top w:w="15" w:type="dxa"/>
                    <w:left w:w="15" w:type="dxa"/>
                    <w:right w:w="15" w:type="dxa"/>
                  </w:tcMar>
                  <w:vAlign w:val="center"/>
                </w:tcPr>
                <w:p w14:paraId="3DA433F7">
                  <w:pPr>
                    <w:widowControl/>
                    <w:spacing w:line="240" w:lineRule="auto"/>
                    <w:ind w:firstLine="0" w:firstLineChars="0"/>
                    <w:jc w:val="center"/>
                    <w:textAlignment w:val="center"/>
                    <w:rPr>
                      <w:color w:val="000000" w:themeColor="text1"/>
                      <w:sz w:val="21"/>
                      <w:szCs w:val="21"/>
                    </w:rPr>
                  </w:pPr>
                </w:p>
              </w:tc>
            </w:tr>
            <w:tr w14:paraId="48FEB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7396F94D">
                  <w:pPr>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1255" w:type="dxa"/>
                  <w:vMerge w:val="continue"/>
                  <w:tcBorders>
                    <w:tl2br w:val="nil"/>
                    <w:tr2bl w:val="nil"/>
                  </w:tcBorders>
                  <w:tcMar>
                    <w:top w:w="15" w:type="dxa"/>
                    <w:left w:w="15" w:type="dxa"/>
                    <w:right w:w="15" w:type="dxa"/>
                  </w:tcMar>
                  <w:vAlign w:val="center"/>
                </w:tcPr>
                <w:p w14:paraId="498E148B">
                  <w:pPr>
                    <w:spacing w:line="240" w:lineRule="auto"/>
                    <w:ind w:firstLine="0" w:firstLineChars="0"/>
                    <w:jc w:val="center"/>
                    <w:rPr>
                      <w:color w:val="000000" w:themeColor="text1"/>
                      <w:sz w:val="21"/>
                      <w:szCs w:val="21"/>
                    </w:rPr>
                  </w:pPr>
                </w:p>
              </w:tc>
              <w:tc>
                <w:tcPr>
                  <w:tcW w:w="1473" w:type="dxa"/>
                  <w:tcBorders>
                    <w:tl2br w:val="nil"/>
                    <w:tr2bl w:val="nil"/>
                  </w:tcBorders>
                  <w:shd w:val="clear" w:color="auto" w:fill="auto"/>
                  <w:tcMar>
                    <w:top w:w="15" w:type="dxa"/>
                    <w:left w:w="15" w:type="dxa"/>
                    <w:right w:w="15" w:type="dxa"/>
                  </w:tcMar>
                  <w:vAlign w:val="center"/>
                </w:tcPr>
                <w:p w14:paraId="28469915">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1012" w:type="dxa"/>
                  <w:tcBorders>
                    <w:tl2br w:val="nil"/>
                    <w:tr2bl w:val="nil"/>
                  </w:tcBorders>
                  <w:tcMar>
                    <w:top w:w="15" w:type="dxa"/>
                    <w:left w:w="15" w:type="dxa"/>
                    <w:right w:w="15" w:type="dxa"/>
                  </w:tcMar>
                  <w:vAlign w:val="center"/>
                </w:tcPr>
                <w:p w14:paraId="2BB65B42">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100</w:t>
                  </w:r>
                </w:p>
              </w:tc>
              <w:tc>
                <w:tcPr>
                  <w:tcW w:w="945" w:type="dxa"/>
                  <w:tcBorders>
                    <w:tl2br w:val="nil"/>
                    <w:tr2bl w:val="nil"/>
                  </w:tcBorders>
                  <w:tcMar>
                    <w:top w:w="15" w:type="dxa"/>
                    <w:left w:w="15" w:type="dxa"/>
                    <w:right w:w="15" w:type="dxa"/>
                  </w:tcMar>
                  <w:vAlign w:val="center"/>
                </w:tcPr>
                <w:p w14:paraId="63D6C51B">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0.0008</w:t>
                  </w:r>
                </w:p>
              </w:tc>
              <w:tc>
                <w:tcPr>
                  <w:tcW w:w="2044" w:type="dxa"/>
                  <w:vMerge w:val="continue"/>
                  <w:tcBorders>
                    <w:tl2br w:val="nil"/>
                    <w:tr2bl w:val="nil"/>
                  </w:tcBorders>
                  <w:tcMar>
                    <w:top w:w="15" w:type="dxa"/>
                    <w:left w:w="15" w:type="dxa"/>
                    <w:right w:w="15" w:type="dxa"/>
                  </w:tcMar>
                  <w:vAlign w:val="center"/>
                </w:tcPr>
                <w:p w14:paraId="38620A1C">
                  <w:pPr>
                    <w:widowControl/>
                    <w:spacing w:line="240" w:lineRule="auto"/>
                    <w:ind w:firstLine="0" w:firstLineChars="0"/>
                    <w:jc w:val="center"/>
                    <w:textAlignment w:val="center"/>
                    <w:rPr>
                      <w:color w:val="000000" w:themeColor="text1"/>
                      <w:sz w:val="21"/>
                      <w:szCs w:val="21"/>
                    </w:rPr>
                  </w:pPr>
                </w:p>
              </w:tc>
            </w:tr>
            <w:tr w14:paraId="62AED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4D1906DF">
                  <w:pPr>
                    <w:spacing w:line="240" w:lineRule="auto"/>
                    <w:ind w:firstLine="0" w:firstLineChars="0"/>
                    <w:jc w:val="center"/>
                    <w:rPr>
                      <w:color w:val="000000" w:themeColor="text1"/>
                      <w:sz w:val="21"/>
                      <w:szCs w:val="21"/>
                    </w:rPr>
                  </w:pPr>
                  <w:r>
                    <w:rPr>
                      <w:rFonts w:hint="eastAsia"/>
                      <w:color w:val="000000" w:themeColor="text1"/>
                      <w:sz w:val="21"/>
                      <w:szCs w:val="21"/>
                    </w:rPr>
                    <w:t>废润滑油</w:t>
                  </w:r>
                </w:p>
              </w:tc>
              <w:tc>
                <w:tcPr>
                  <w:tcW w:w="1255" w:type="dxa"/>
                  <w:vMerge w:val="continue"/>
                  <w:tcBorders>
                    <w:tl2br w:val="nil"/>
                    <w:tr2bl w:val="nil"/>
                  </w:tcBorders>
                  <w:tcMar>
                    <w:top w:w="15" w:type="dxa"/>
                    <w:left w:w="15" w:type="dxa"/>
                    <w:right w:w="15" w:type="dxa"/>
                  </w:tcMar>
                  <w:vAlign w:val="center"/>
                </w:tcPr>
                <w:p w14:paraId="4F49FBED">
                  <w:pPr>
                    <w:spacing w:line="240" w:lineRule="auto"/>
                    <w:ind w:firstLine="0" w:firstLineChars="0"/>
                    <w:jc w:val="center"/>
                    <w:rPr>
                      <w:color w:val="000000" w:themeColor="text1"/>
                      <w:sz w:val="21"/>
                      <w:szCs w:val="21"/>
                    </w:rPr>
                  </w:pPr>
                </w:p>
              </w:tc>
              <w:tc>
                <w:tcPr>
                  <w:tcW w:w="1473" w:type="dxa"/>
                  <w:tcBorders>
                    <w:tl2br w:val="nil"/>
                    <w:tr2bl w:val="nil"/>
                  </w:tcBorders>
                  <w:shd w:val="clear" w:color="auto" w:fill="auto"/>
                  <w:tcMar>
                    <w:top w:w="15" w:type="dxa"/>
                    <w:left w:w="15" w:type="dxa"/>
                    <w:right w:w="15" w:type="dxa"/>
                  </w:tcMar>
                  <w:vAlign w:val="center"/>
                </w:tcPr>
                <w:p w14:paraId="1E5CB03B">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1012" w:type="dxa"/>
                  <w:tcBorders>
                    <w:tl2br w:val="nil"/>
                    <w:tr2bl w:val="nil"/>
                  </w:tcBorders>
                  <w:tcMar>
                    <w:top w:w="15" w:type="dxa"/>
                    <w:left w:w="15" w:type="dxa"/>
                    <w:right w:w="15" w:type="dxa"/>
                  </w:tcMar>
                  <w:vAlign w:val="center"/>
                </w:tcPr>
                <w:p w14:paraId="5D569DC7">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100</w:t>
                  </w:r>
                </w:p>
              </w:tc>
              <w:tc>
                <w:tcPr>
                  <w:tcW w:w="945" w:type="dxa"/>
                  <w:tcBorders>
                    <w:tl2br w:val="nil"/>
                    <w:tr2bl w:val="nil"/>
                  </w:tcBorders>
                  <w:tcMar>
                    <w:top w:w="15" w:type="dxa"/>
                    <w:left w:w="15" w:type="dxa"/>
                    <w:right w:w="15" w:type="dxa"/>
                  </w:tcMar>
                  <w:vAlign w:val="center"/>
                </w:tcPr>
                <w:p w14:paraId="3410342E">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0.0006</w:t>
                  </w:r>
                </w:p>
              </w:tc>
              <w:tc>
                <w:tcPr>
                  <w:tcW w:w="2044" w:type="dxa"/>
                  <w:vMerge w:val="continue"/>
                  <w:tcBorders>
                    <w:tl2br w:val="nil"/>
                    <w:tr2bl w:val="nil"/>
                  </w:tcBorders>
                  <w:tcMar>
                    <w:top w:w="15" w:type="dxa"/>
                    <w:left w:w="15" w:type="dxa"/>
                    <w:right w:w="15" w:type="dxa"/>
                  </w:tcMar>
                  <w:vAlign w:val="center"/>
                </w:tcPr>
                <w:p w14:paraId="26E933D0">
                  <w:pPr>
                    <w:widowControl/>
                    <w:spacing w:line="240" w:lineRule="auto"/>
                    <w:ind w:firstLine="0" w:firstLineChars="0"/>
                    <w:jc w:val="center"/>
                    <w:textAlignment w:val="center"/>
                    <w:rPr>
                      <w:color w:val="000000" w:themeColor="text1"/>
                      <w:sz w:val="21"/>
                      <w:szCs w:val="21"/>
                    </w:rPr>
                  </w:pPr>
                </w:p>
              </w:tc>
            </w:tr>
            <w:tr w14:paraId="6012E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378" w:type="dxa"/>
                  <w:tcBorders>
                    <w:tl2br w:val="nil"/>
                    <w:tr2bl w:val="nil"/>
                  </w:tcBorders>
                  <w:tcMar>
                    <w:top w:w="15" w:type="dxa"/>
                    <w:left w:w="15" w:type="dxa"/>
                    <w:right w:w="15" w:type="dxa"/>
                  </w:tcMar>
                  <w:vAlign w:val="center"/>
                </w:tcPr>
                <w:p w14:paraId="70FCD16B">
                  <w:pPr>
                    <w:spacing w:line="240" w:lineRule="auto"/>
                    <w:ind w:firstLine="0" w:firstLineChars="0"/>
                    <w:jc w:val="center"/>
                    <w:rPr>
                      <w:color w:val="000000" w:themeColor="text1"/>
                      <w:sz w:val="21"/>
                      <w:szCs w:val="21"/>
                    </w:rPr>
                  </w:pPr>
                  <w:r>
                    <w:rPr>
                      <w:rFonts w:hint="eastAsia"/>
                      <w:color w:val="000000" w:themeColor="text1"/>
                      <w:sz w:val="21"/>
                      <w:szCs w:val="21"/>
                    </w:rPr>
                    <w:t>合计</w:t>
                  </w:r>
                  <w:r>
                    <w:rPr>
                      <w:color w:val="000000" w:themeColor="text1"/>
                      <w:sz w:val="21"/>
                      <w:szCs w:val="21"/>
                    </w:rPr>
                    <w:t>∑</w:t>
                  </w:r>
                </w:p>
              </w:tc>
              <w:tc>
                <w:tcPr>
                  <w:tcW w:w="1255" w:type="dxa"/>
                  <w:tcBorders>
                    <w:tl2br w:val="nil"/>
                    <w:tr2bl w:val="nil"/>
                  </w:tcBorders>
                  <w:tcMar>
                    <w:top w:w="15" w:type="dxa"/>
                    <w:left w:w="15" w:type="dxa"/>
                    <w:right w:w="15" w:type="dxa"/>
                  </w:tcMar>
                  <w:vAlign w:val="center"/>
                </w:tcPr>
                <w:p w14:paraId="2B7377FF">
                  <w:pPr>
                    <w:spacing w:line="240" w:lineRule="auto"/>
                    <w:ind w:firstLine="0" w:firstLineChars="0"/>
                    <w:jc w:val="center"/>
                    <w:rPr>
                      <w:color w:val="000000" w:themeColor="text1"/>
                      <w:sz w:val="21"/>
                      <w:szCs w:val="21"/>
                    </w:rPr>
                  </w:pPr>
                  <w:r>
                    <w:rPr>
                      <w:rFonts w:hint="eastAsia"/>
                      <w:color w:val="000000" w:themeColor="text1"/>
                      <w:sz w:val="21"/>
                      <w:szCs w:val="21"/>
                    </w:rPr>
                    <w:t>/</w:t>
                  </w:r>
                </w:p>
              </w:tc>
              <w:tc>
                <w:tcPr>
                  <w:tcW w:w="1473" w:type="dxa"/>
                  <w:tcBorders>
                    <w:tl2br w:val="nil"/>
                    <w:tr2bl w:val="nil"/>
                  </w:tcBorders>
                  <w:tcMar>
                    <w:top w:w="15" w:type="dxa"/>
                    <w:left w:w="15" w:type="dxa"/>
                    <w:right w:w="15" w:type="dxa"/>
                  </w:tcMar>
                  <w:vAlign w:val="center"/>
                </w:tcPr>
                <w:p w14:paraId="292E8EF5">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w:t>
                  </w:r>
                </w:p>
              </w:tc>
              <w:tc>
                <w:tcPr>
                  <w:tcW w:w="1012" w:type="dxa"/>
                  <w:tcBorders>
                    <w:tl2br w:val="nil"/>
                    <w:tr2bl w:val="nil"/>
                  </w:tcBorders>
                  <w:tcMar>
                    <w:top w:w="15" w:type="dxa"/>
                    <w:left w:w="15" w:type="dxa"/>
                    <w:right w:w="15" w:type="dxa"/>
                  </w:tcMar>
                  <w:vAlign w:val="center"/>
                </w:tcPr>
                <w:p w14:paraId="179184C8">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w:t>
                  </w:r>
                </w:p>
              </w:tc>
              <w:tc>
                <w:tcPr>
                  <w:tcW w:w="945" w:type="dxa"/>
                  <w:tcBorders>
                    <w:tl2br w:val="nil"/>
                    <w:tr2bl w:val="nil"/>
                  </w:tcBorders>
                  <w:tcMar>
                    <w:top w:w="15" w:type="dxa"/>
                    <w:left w:w="15" w:type="dxa"/>
                    <w:right w:w="15" w:type="dxa"/>
                  </w:tcMar>
                  <w:vAlign w:val="center"/>
                </w:tcPr>
                <w:p w14:paraId="45F06E85">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0.00352</w:t>
                  </w:r>
                </w:p>
              </w:tc>
              <w:tc>
                <w:tcPr>
                  <w:tcW w:w="2044" w:type="dxa"/>
                  <w:tcBorders>
                    <w:tl2br w:val="nil"/>
                    <w:tr2bl w:val="nil"/>
                  </w:tcBorders>
                  <w:tcMar>
                    <w:top w:w="15" w:type="dxa"/>
                    <w:left w:w="15" w:type="dxa"/>
                    <w:right w:w="15" w:type="dxa"/>
                  </w:tcMar>
                  <w:vAlign w:val="center"/>
                </w:tcPr>
                <w:p w14:paraId="3334CA3C">
                  <w:pPr>
                    <w:widowControl/>
                    <w:spacing w:line="240" w:lineRule="auto"/>
                    <w:ind w:firstLine="0" w:firstLineChars="0"/>
                    <w:jc w:val="center"/>
                    <w:textAlignment w:val="center"/>
                    <w:rPr>
                      <w:color w:val="000000" w:themeColor="text1"/>
                      <w:sz w:val="21"/>
                      <w:szCs w:val="21"/>
                    </w:rPr>
                  </w:pPr>
                  <w:r>
                    <w:rPr>
                      <w:rFonts w:hint="eastAsia"/>
                      <w:color w:val="000000" w:themeColor="text1"/>
                      <w:sz w:val="21"/>
                      <w:szCs w:val="21"/>
                    </w:rPr>
                    <w:t>/</w:t>
                  </w:r>
                </w:p>
              </w:tc>
            </w:tr>
          </w:tbl>
          <w:p w14:paraId="4C75C9AD">
            <w:pPr>
              <w:ind w:firstLine="480"/>
              <w:rPr>
                <w:color w:val="000000" w:themeColor="text1"/>
              </w:rPr>
            </w:pPr>
            <w:r>
              <w:rPr>
                <w:color w:val="000000" w:themeColor="text1"/>
              </w:rPr>
              <w:t>由上表可知，本项目风险物质最大储存量与临界量比值Q值及∑Q均﹤1。</w:t>
            </w:r>
          </w:p>
          <w:p w14:paraId="39E5ECBE">
            <w:pPr>
              <w:ind w:firstLine="480"/>
              <w:rPr>
                <w:color w:val="000000" w:themeColor="text1"/>
              </w:rPr>
            </w:pPr>
            <w:r>
              <w:rPr>
                <w:rFonts w:hint="eastAsia"/>
                <w:color w:val="000000" w:themeColor="text1"/>
              </w:rPr>
              <w:t>本项目涉及的风险物质理化性质见下表。</w:t>
            </w:r>
          </w:p>
          <w:p w14:paraId="213EE2F2">
            <w:pPr>
              <w:autoSpaceDE w:val="0"/>
              <w:autoSpaceDN w:val="0"/>
              <w:adjustRightInd w:val="0"/>
              <w:snapToGrid w:val="0"/>
              <w:ind w:firstLine="0" w:firstLineChars="0"/>
              <w:jc w:val="center"/>
              <w:rPr>
                <w:b/>
                <w:color w:val="000000" w:themeColor="text1"/>
                <w:sz w:val="21"/>
                <w:szCs w:val="21"/>
              </w:rPr>
            </w:pPr>
            <w:r>
              <w:rPr>
                <w:rFonts w:hint="eastAsia"/>
                <w:b/>
                <w:color w:val="000000" w:themeColor="text1"/>
                <w:sz w:val="21"/>
                <w:szCs w:val="21"/>
              </w:rPr>
              <w:t>表57  机油、润滑油理化性质及危险性识别一览表</w:t>
            </w:r>
          </w:p>
          <w:tbl>
            <w:tblPr>
              <w:tblStyle w:val="57"/>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362"/>
              <w:gridCol w:w="1437"/>
              <w:gridCol w:w="976"/>
              <w:gridCol w:w="340"/>
              <w:gridCol w:w="648"/>
              <w:gridCol w:w="987"/>
              <w:gridCol w:w="408"/>
              <w:gridCol w:w="1411"/>
            </w:tblGrid>
            <w:tr w14:paraId="7D00C7A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2A1C892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标识</w:t>
                  </w:r>
                </w:p>
              </w:tc>
              <w:tc>
                <w:tcPr>
                  <w:tcW w:w="844" w:type="pct"/>
                  <w:tcBorders>
                    <w:tl2br w:val="nil"/>
                    <w:tr2bl w:val="nil"/>
                  </w:tcBorders>
                  <w:vAlign w:val="center"/>
                </w:tcPr>
                <w:p w14:paraId="2FB3AEA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中文名</w:t>
                  </w:r>
                </w:p>
              </w:tc>
              <w:tc>
                <w:tcPr>
                  <w:tcW w:w="1707" w:type="pct"/>
                  <w:gridSpan w:val="3"/>
                  <w:tcBorders>
                    <w:tl2br w:val="nil"/>
                    <w:tr2bl w:val="nil"/>
                  </w:tcBorders>
                  <w:vAlign w:val="center"/>
                </w:tcPr>
                <w:p w14:paraId="03325FE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机油；</w:t>
                  </w:r>
                  <w:r>
                    <w:rPr>
                      <w:rFonts w:ascii="Times New Roman" w:hAnsi="Times New Roman" w:cs="Times New Roman"/>
                      <w:color w:val="000000" w:themeColor="text1"/>
                      <w:sz w:val="21"/>
                      <w:szCs w:val="21"/>
                    </w:rPr>
                    <w:t>润滑油</w:t>
                  </w:r>
                </w:p>
              </w:tc>
              <w:tc>
                <w:tcPr>
                  <w:tcW w:w="1014" w:type="pct"/>
                  <w:gridSpan w:val="2"/>
                  <w:tcBorders>
                    <w:tl2br w:val="nil"/>
                    <w:tr2bl w:val="nil"/>
                  </w:tcBorders>
                  <w:vAlign w:val="center"/>
                </w:tcPr>
                <w:p w14:paraId="5394BF3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危险货物编号</w:t>
                  </w:r>
                </w:p>
              </w:tc>
              <w:tc>
                <w:tcPr>
                  <w:tcW w:w="1127" w:type="pct"/>
                  <w:gridSpan w:val="2"/>
                  <w:tcBorders>
                    <w:tl2br w:val="nil"/>
                    <w:tr2bl w:val="nil"/>
                  </w:tcBorders>
                  <w:vAlign w:val="center"/>
                </w:tcPr>
                <w:p w14:paraId="02D98A06">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r>
            <w:tr w14:paraId="500A400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334700F1">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22B14B25">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英文名</w:t>
                  </w:r>
                </w:p>
              </w:tc>
              <w:tc>
                <w:tcPr>
                  <w:tcW w:w="1707" w:type="pct"/>
                  <w:gridSpan w:val="3"/>
                  <w:tcBorders>
                    <w:tl2br w:val="nil"/>
                    <w:tr2bl w:val="nil"/>
                  </w:tcBorders>
                  <w:vAlign w:val="center"/>
                </w:tcPr>
                <w:p w14:paraId="46E70F67">
                  <w:pPr>
                    <w:autoSpaceDE/>
                    <w:autoSpaceDN/>
                    <w:spacing w:line="240" w:lineRule="auto"/>
                    <w:ind w:firstLine="0" w:firstLineChars="0"/>
                    <w:jc w:val="center"/>
                    <w:rPr>
                      <w:color w:val="000000" w:themeColor="text1"/>
                      <w:sz w:val="21"/>
                      <w:szCs w:val="21"/>
                      <w:lang w:eastAsia="en-US"/>
                    </w:rPr>
                  </w:pPr>
                  <w:r>
                    <w:rPr>
                      <w:rFonts w:hint="eastAsia"/>
                      <w:color w:val="000000" w:themeColor="text1"/>
                      <w:sz w:val="21"/>
                      <w:szCs w:val="21"/>
                      <w:lang w:eastAsia="en-US"/>
                    </w:rPr>
                    <w:t>/</w:t>
                  </w:r>
                </w:p>
              </w:tc>
              <w:tc>
                <w:tcPr>
                  <w:tcW w:w="1014" w:type="pct"/>
                  <w:gridSpan w:val="2"/>
                  <w:tcBorders>
                    <w:tl2br w:val="nil"/>
                    <w:tr2bl w:val="nil"/>
                  </w:tcBorders>
                  <w:vAlign w:val="center"/>
                </w:tcPr>
                <w:p w14:paraId="5313F38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eastAsia="Times New Roman" w:cs="Times New Roman"/>
                      <w:color w:val="000000" w:themeColor="text1"/>
                      <w:sz w:val="21"/>
                      <w:szCs w:val="21"/>
                    </w:rPr>
                    <w:t>UN</w:t>
                  </w:r>
                  <w:r>
                    <w:rPr>
                      <w:rFonts w:ascii="Times New Roman" w:hAnsi="Times New Roman" w:cs="Times New Roman"/>
                      <w:color w:val="000000" w:themeColor="text1"/>
                      <w:sz w:val="21"/>
                      <w:szCs w:val="21"/>
                    </w:rPr>
                    <w:t>编号</w:t>
                  </w:r>
                </w:p>
              </w:tc>
              <w:tc>
                <w:tcPr>
                  <w:tcW w:w="1127" w:type="pct"/>
                  <w:gridSpan w:val="2"/>
                  <w:tcBorders>
                    <w:tl2br w:val="nil"/>
                    <w:tr2bl w:val="nil"/>
                  </w:tcBorders>
                  <w:vAlign w:val="center"/>
                </w:tcPr>
                <w:p w14:paraId="439C7C49">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r>
            <w:tr w14:paraId="11CA57A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4D821536">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理化 性质</w:t>
                  </w:r>
                </w:p>
              </w:tc>
              <w:tc>
                <w:tcPr>
                  <w:tcW w:w="844" w:type="pct"/>
                  <w:tcBorders>
                    <w:tl2br w:val="nil"/>
                    <w:tr2bl w:val="nil"/>
                  </w:tcBorders>
                  <w:vAlign w:val="center"/>
                </w:tcPr>
                <w:p w14:paraId="34638D3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外观与性状</w:t>
                  </w:r>
                </w:p>
              </w:tc>
              <w:tc>
                <w:tcPr>
                  <w:tcW w:w="3849" w:type="pct"/>
                  <w:gridSpan w:val="7"/>
                  <w:tcBorders>
                    <w:tl2br w:val="nil"/>
                    <w:tr2bl w:val="nil"/>
                  </w:tcBorders>
                  <w:vAlign w:val="center"/>
                </w:tcPr>
                <w:p w14:paraId="4E5A445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稍有粘性的液体，浅黄色至褐色。</w:t>
                  </w:r>
                </w:p>
              </w:tc>
            </w:tr>
            <w:tr w14:paraId="6FE24D8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6804143F">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6BA4EEF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熔点</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23B08A9F">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w:t>
                  </w:r>
                </w:p>
              </w:tc>
              <w:tc>
                <w:tcPr>
                  <w:tcW w:w="1218" w:type="pct"/>
                  <w:gridSpan w:val="3"/>
                  <w:tcBorders>
                    <w:tl2br w:val="nil"/>
                    <w:tr2bl w:val="nil"/>
                  </w:tcBorders>
                  <w:vAlign w:val="center"/>
                </w:tcPr>
                <w:p w14:paraId="6B5D5333">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cs="Times New Roman"/>
                      <w:color w:val="000000" w:themeColor="text1"/>
                      <w:sz w:val="21"/>
                      <w:szCs w:val="21"/>
                    </w:rPr>
                    <w:t>相对密度</w:t>
                  </w:r>
                  <w:r>
                    <w:rPr>
                      <w:rFonts w:hint="eastAsia" w:ascii="Times New Roman" w:hAnsi="Times New Roman" w:cs="Times New Roman"/>
                      <w:color w:val="000000" w:themeColor="text1"/>
                      <w:sz w:val="21"/>
                      <w:szCs w:val="21"/>
                      <w:lang w:eastAsia="zh-CN"/>
                    </w:rPr>
                    <w:t>（</w:t>
                  </w:r>
                  <w:r>
                    <w:rPr>
                      <w:rFonts w:ascii="Times New Roman" w:hAnsi="Times New Roman" w:cs="Times New Roman"/>
                      <w:color w:val="000000" w:themeColor="text1"/>
                      <w:sz w:val="21"/>
                      <w:szCs w:val="21"/>
                    </w:rPr>
                    <w:t>水</w:t>
                  </w:r>
                  <w:r>
                    <w:rPr>
                      <w:rFonts w:ascii="Times New Roman" w:hAnsi="Times New Roman" w:eastAsia="Times New Roman" w:cs="Times New Roman"/>
                      <w:color w:val="000000" w:themeColor="text1"/>
                      <w:sz w:val="21"/>
                      <w:szCs w:val="21"/>
                    </w:rPr>
                    <w:t>=1</w:t>
                  </w:r>
                  <w:r>
                    <w:rPr>
                      <w:rFonts w:hint="eastAsia" w:ascii="Times New Roman" w:hAnsi="Times New Roman" w:cs="Times New Roman"/>
                      <w:color w:val="000000" w:themeColor="text1"/>
                      <w:sz w:val="21"/>
                      <w:szCs w:val="21"/>
                      <w:lang w:eastAsia="zh-CN"/>
                    </w:rPr>
                    <w:t>）</w:t>
                  </w:r>
                </w:p>
              </w:tc>
              <w:tc>
                <w:tcPr>
                  <w:tcW w:w="1740" w:type="pct"/>
                  <w:gridSpan w:val="3"/>
                  <w:tcBorders>
                    <w:tl2br w:val="nil"/>
                    <w:tr2bl w:val="nil"/>
                  </w:tcBorders>
                  <w:vAlign w:val="center"/>
                </w:tcPr>
                <w:p w14:paraId="2E8E5D7C">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0.896kg/m³</w:t>
                  </w:r>
                </w:p>
              </w:tc>
            </w:tr>
            <w:tr w14:paraId="3EE371C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5C27AFDF">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28D0ECD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沸点</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12C8EB21">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cs="Times New Roman"/>
                      <w:color w:val="000000" w:themeColor="text1"/>
                      <w:sz w:val="21"/>
                      <w:szCs w:val="21"/>
                    </w:rPr>
                    <w:t>&gt;</w:t>
                  </w:r>
                  <w:r>
                    <w:rPr>
                      <w:rFonts w:ascii="Times New Roman" w:hAnsi="Times New Roman" w:eastAsia="Times New Roman" w:cs="Times New Roman"/>
                      <w:color w:val="000000" w:themeColor="text1"/>
                      <w:sz w:val="21"/>
                      <w:szCs w:val="21"/>
                    </w:rPr>
                    <w:t>290℃</w:t>
                  </w:r>
                </w:p>
              </w:tc>
              <w:tc>
                <w:tcPr>
                  <w:tcW w:w="1218" w:type="pct"/>
                  <w:gridSpan w:val="3"/>
                  <w:tcBorders>
                    <w:tl2br w:val="nil"/>
                    <w:tr2bl w:val="nil"/>
                  </w:tcBorders>
                  <w:vAlign w:val="center"/>
                </w:tcPr>
                <w:p w14:paraId="18BB2B0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饱和蒸汽压</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 xml:space="preserve">KPa </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20℃</w:t>
                  </w:r>
                  <w:r>
                    <w:rPr>
                      <w:rFonts w:hint="eastAsia" w:ascii="Times New Roman" w:hAnsi="Times New Roman" w:cs="Times New Roman"/>
                      <w:color w:val="000000" w:themeColor="text1"/>
                      <w:sz w:val="21"/>
                      <w:szCs w:val="21"/>
                      <w:lang w:eastAsia="zh-CN"/>
                    </w:rPr>
                    <w:t>））</w:t>
                  </w:r>
                </w:p>
              </w:tc>
              <w:tc>
                <w:tcPr>
                  <w:tcW w:w="1740" w:type="pct"/>
                  <w:gridSpan w:val="3"/>
                  <w:tcBorders>
                    <w:tl2br w:val="nil"/>
                    <w:tr2bl w:val="nil"/>
                  </w:tcBorders>
                  <w:vAlign w:val="center"/>
                </w:tcPr>
                <w:p w14:paraId="62350A11">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0.5Pa</w:t>
                  </w:r>
                </w:p>
              </w:tc>
            </w:tr>
            <w:tr w14:paraId="739B779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236EF95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健康危害</w:t>
                  </w:r>
                </w:p>
              </w:tc>
              <w:tc>
                <w:tcPr>
                  <w:tcW w:w="844" w:type="pct"/>
                  <w:tcBorders>
                    <w:tl2br w:val="nil"/>
                    <w:tr2bl w:val="nil"/>
                  </w:tcBorders>
                  <w:vAlign w:val="center"/>
                </w:tcPr>
                <w:p w14:paraId="66D06D0A">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侵入途径</w:t>
                  </w:r>
                </w:p>
              </w:tc>
              <w:tc>
                <w:tcPr>
                  <w:tcW w:w="3849" w:type="pct"/>
                  <w:gridSpan w:val="7"/>
                  <w:tcBorders>
                    <w:tl2br w:val="nil"/>
                    <w:tr2bl w:val="nil"/>
                  </w:tcBorders>
                  <w:vAlign w:val="center"/>
                </w:tcPr>
                <w:p w14:paraId="2C00845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吸入</w:t>
                  </w:r>
                </w:p>
              </w:tc>
            </w:tr>
            <w:tr w14:paraId="6B637B6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vAlign w:val="center"/>
                </w:tcPr>
                <w:p w14:paraId="03033992">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3CEFBA65">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毒性</w:t>
                  </w:r>
                </w:p>
              </w:tc>
              <w:tc>
                <w:tcPr>
                  <w:tcW w:w="3849" w:type="pct"/>
                  <w:gridSpan w:val="7"/>
                  <w:tcBorders>
                    <w:tl2br w:val="nil"/>
                    <w:tr2bl w:val="nil"/>
                  </w:tcBorders>
                  <w:vAlign w:val="center"/>
                </w:tcPr>
                <w:p w14:paraId="1CAF30A8">
                  <w:pPr>
                    <w:pStyle w:val="65"/>
                    <w:autoSpaceDE/>
                    <w:autoSpaceDN/>
                    <w:spacing w:line="240" w:lineRule="auto"/>
                    <w:ind w:firstLine="0" w:firstLineChars="0"/>
                    <w:jc w:val="center"/>
                    <w:rPr>
                      <w:rFonts w:ascii="Times New Roman" w:hAnsi="Times New Roman" w:eastAsia="Times New Roman" w:cs="Times New Roman"/>
                      <w:color w:val="000000" w:themeColor="text1"/>
                      <w:sz w:val="21"/>
                      <w:szCs w:val="21"/>
                    </w:rPr>
                  </w:pPr>
                  <w:r>
                    <w:rPr>
                      <w:rFonts w:ascii="Times New Roman" w:hAnsi="Times New Roman" w:eastAsia="Times New Roman" w:cs="Times New Roman"/>
                      <w:color w:val="000000" w:themeColor="text1"/>
                      <w:sz w:val="21"/>
                      <w:szCs w:val="21"/>
                    </w:rPr>
                    <w:t>LD50</w:t>
                  </w:r>
                  <w:r>
                    <w:rPr>
                      <w:rFonts w:ascii="Times New Roman" w:hAnsi="Times New Roman" w:cs="Times New Roman"/>
                      <w:color w:val="000000" w:themeColor="text1"/>
                      <w:sz w:val="21"/>
                      <w:szCs w:val="21"/>
                    </w:rPr>
                    <w:t>：</w:t>
                  </w:r>
                  <w:r>
                    <w:rPr>
                      <w:rFonts w:ascii="Times New Roman" w:hAnsi="Times New Roman" w:eastAsia="Times New Roman" w:cs="Times New Roman"/>
                      <w:color w:val="000000" w:themeColor="text1"/>
                      <w:sz w:val="21"/>
                      <w:szCs w:val="21"/>
                    </w:rPr>
                    <w:t>/ LC50</w:t>
                  </w:r>
                  <w:r>
                    <w:rPr>
                      <w:rFonts w:ascii="Times New Roman" w:hAnsi="Times New Roman" w:cs="Times New Roman"/>
                      <w:color w:val="000000" w:themeColor="text1"/>
                      <w:sz w:val="21"/>
                      <w:szCs w:val="21"/>
                    </w:rPr>
                    <w:t>：</w:t>
                  </w:r>
                  <w:r>
                    <w:rPr>
                      <w:rFonts w:ascii="Times New Roman" w:hAnsi="Times New Roman" w:eastAsia="Times New Roman" w:cs="Times New Roman"/>
                      <w:color w:val="000000" w:themeColor="text1"/>
                      <w:sz w:val="21"/>
                      <w:szCs w:val="21"/>
                    </w:rPr>
                    <w:t>/</w:t>
                  </w:r>
                </w:p>
              </w:tc>
            </w:tr>
            <w:tr w14:paraId="35845EC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vAlign w:val="center"/>
                </w:tcPr>
                <w:p w14:paraId="08FE0225">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44BAA6D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健康危害</w:t>
                  </w:r>
                </w:p>
              </w:tc>
              <w:tc>
                <w:tcPr>
                  <w:tcW w:w="3849" w:type="pct"/>
                  <w:gridSpan w:val="7"/>
                  <w:tcBorders>
                    <w:tl2br w:val="nil"/>
                    <w:tr2bl w:val="nil"/>
                  </w:tcBorders>
                  <w:vAlign w:val="center"/>
                </w:tcPr>
                <w:p w14:paraId="338BCB35">
                  <w:pPr>
                    <w:pStyle w:val="65"/>
                    <w:autoSpaceDE/>
                    <w:autoSpaceDN/>
                    <w:spacing w:line="240" w:lineRule="auto"/>
                    <w:ind w:firstLine="0" w:firstLineChars="0"/>
                    <w:jc w:val="left"/>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急性吸入，可出现乏力、头晕、头痛、恶心，严重者可引起油脂性肺炎。慢性接触者，暴露部位可发生油性痤疮和接触性皮炎。可引起神经衰弱综合征，呼吸道和眼刺激症状及慢性油脂性肺炎。有资料报告，接触石油润滑类的工人，有致癌性的病例报告。</w:t>
                  </w:r>
                </w:p>
              </w:tc>
            </w:tr>
            <w:tr w14:paraId="43428BE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vAlign w:val="center"/>
                </w:tcPr>
                <w:p w14:paraId="114B93D8">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5C6F285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急救方法</w:t>
                  </w:r>
                </w:p>
              </w:tc>
              <w:tc>
                <w:tcPr>
                  <w:tcW w:w="3849" w:type="pct"/>
                  <w:gridSpan w:val="7"/>
                  <w:tcBorders>
                    <w:tl2br w:val="nil"/>
                    <w:tr2bl w:val="nil"/>
                  </w:tcBorders>
                  <w:vAlign w:val="center"/>
                </w:tcPr>
                <w:p w14:paraId="0AAE532A">
                  <w:pPr>
                    <w:pStyle w:val="65"/>
                    <w:autoSpaceDE/>
                    <w:autoSpaceDN/>
                    <w:spacing w:line="240" w:lineRule="auto"/>
                    <w:ind w:firstLine="0" w:firstLineChars="0"/>
                    <w:jc w:val="left"/>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眼睛接触：提起眼睑，用流动清水或生理盐水彻底冲洗就医。食入：饮足量温水，催吐。就医。</w:t>
                  </w:r>
                </w:p>
                <w:p w14:paraId="3D78F0C2">
                  <w:pPr>
                    <w:pStyle w:val="65"/>
                    <w:autoSpaceDE/>
                    <w:autoSpaceDN/>
                    <w:spacing w:line="240" w:lineRule="auto"/>
                    <w:ind w:firstLine="0" w:firstLineChars="0"/>
                    <w:jc w:val="left"/>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皮肤接触：脱去被污染的衣着，用大量流动清水彻底冲洗。就医。吸入：迅速脱离现场至空气新鲜处。保持呼吸道通畅。如呼吸困难，给输氧。如呼吸停止，立即进行人工呼吸。就医。</w:t>
                  </w:r>
                </w:p>
              </w:tc>
            </w:tr>
            <w:tr w14:paraId="1D45108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restart"/>
                  <w:tcBorders>
                    <w:tl2br w:val="nil"/>
                    <w:tr2bl w:val="nil"/>
                  </w:tcBorders>
                  <w:vAlign w:val="center"/>
                </w:tcPr>
                <w:p w14:paraId="699D2537">
                  <w:pPr>
                    <w:pStyle w:val="65"/>
                    <w:autoSpaceDE/>
                    <w:autoSpaceDN/>
                    <w:spacing w:line="240" w:lineRule="auto"/>
                    <w:ind w:firstLine="0" w:firstLineChars="0"/>
                    <w:jc w:val="center"/>
                    <w:rPr>
                      <w:rFonts w:ascii="Times New Roman" w:hAnsi="Times New Roman" w:cs="Times New Roman"/>
                      <w:color w:val="000000" w:themeColor="text1"/>
                      <w:sz w:val="21"/>
                      <w:szCs w:val="21"/>
                      <w:lang w:eastAsia="zh-CN"/>
                    </w:rPr>
                  </w:pPr>
                  <w:r>
                    <w:rPr>
                      <w:rFonts w:ascii="Times New Roman" w:hAnsi="Times New Roman" w:cs="Times New Roman"/>
                      <w:color w:val="000000" w:themeColor="text1"/>
                      <w:sz w:val="21"/>
                      <w:szCs w:val="21"/>
                    </w:rPr>
                    <w:t>燃烧爆炸</w:t>
                  </w:r>
                  <w:r>
                    <w:rPr>
                      <w:rFonts w:ascii="Times New Roman" w:hAnsi="Times New Roman" w:cs="Times New Roman"/>
                      <w:color w:val="000000" w:themeColor="text1"/>
                      <w:sz w:val="21"/>
                      <w:szCs w:val="21"/>
                      <w:lang w:eastAsia="zh-CN"/>
                    </w:rPr>
                    <w:t>危险性</w:t>
                  </w:r>
                </w:p>
              </w:tc>
              <w:tc>
                <w:tcPr>
                  <w:tcW w:w="844" w:type="pct"/>
                  <w:tcBorders>
                    <w:tl2br w:val="nil"/>
                    <w:tr2bl w:val="nil"/>
                  </w:tcBorders>
                  <w:vAlign w:val="center"/>
                </w:tcPr>
                <w:p w14:paraId="6BB05875">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燃烧性</w:t>
                  </w:r>
                </w:p>
              </w:tc>
              <w:tc>
                <w:tcPr>
                  <w:tcW w:w="891" w:type="pct"/>
                  <w:tcBorders>
                    <w:tl2br w:val="nil"/>
                    <w:tr2bl w:val="nil"/>
                  </w:tcBorders>
                  <w:vAlign w:val="center"/>
                </w:tcPr>
                <w:p w14:paraId="2CBE7D3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可燃</w:t>
                  </w:r>
                </w:p>
              </w:tc>
              <w:tc>
                <w:tcPr>
                  <w:tcW w:w="1218" w:type="pct"/>
                  <w:gridSpan w:val="3"/>
                  <w:tcBorders>
                    <w:tl2br w:val="nil"/>
                    <w:tr2bl w:val="nil"/>
                  </w:tcBorders>
                  <w:vAlign w:val="center"/>
                </w:tcPr>
                <w:p w14:paraId="1565D1FF">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燃烧分解物</w:t>
                  </w:r>
                </w:p>
              </w:tc>
              <w:tc>
                <w:tcPr>
                  <w:tcW w:w="1740" w:type="pct"/>
                  <w:gridSpan w:val="3"/>
                  <w:tcBorders>
                    <w:tl2br w:val="nil"/>
                    <w:tr2bl w:val="nil"/>
                  </w:tcBorders>
                  <w:vAlign w:val="center"/>
                </w:tcPr>
                <w:p w14:paraId="3AFAEF4B">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一氧化碳、二氧化碳。</w:t>
                  </w:r>
                </w:p>
              </w:tc>
            </w:tr>
            <w:tr w14:paraId="01F9946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6455E2C1">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202903F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闪点</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5FCCB41B">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76</w:t>
                  </w:r>
                </w:p>
              </w:tc>
              <w:tc>
                <w:tcPr>
                  <w:tcW w:w="1218" w:type="pct"/>
                  <w:gridSpan w:val="3"/>
                  <w:tcBorders>
                    <w:tl2br w:val="nil"/>
                    <w:tr2bl w:val="nil"/>
                  </w:tcBorders>
                  <w:vAlign w:val="center"/>
                </w:tcPr>
                <w:p w14:paraId="54C42432">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爆炸上限（</w:t>
                  </w:r>
                  <w:r>
                    <w:rPr>
                      <w:rFonts w:ascii="Times New Roman" w:hAnsi="Times New Roman" w:eastAsia="Times New Roman" w:cs="Times New Roman"/>
                      <w:color w:val="000000" w:themeColor="text1"/>
                      <w:sz w:val="21"/>
                      <w:szCs w:val="21"/>
                    </w:rPr>
                    <w:t>v%</w:t>
                  </w:r>
                  <w:r>
                    <w:rPr>
                      <w:rFonts w:ascii="Times New Roman" w:hAnsi="Times New Roman" w:cs="Times New Roman"/>
                      <w:color w:val="000000" w:themeColor="text1"/>
                      <w:sz w:val="21"/>
                      <w:szCs w:val="21"/>
                    </w:rPr>
                    <w:t>）</w:t>
                  </w:r>
                </w:p>
              </w:tc>
              <w:tc>
                <w:tcPr>
                  <w:tcW w:w="1740" w:type="pct"/>
                  <w:gridSpan w:val="3"/>
                  <w:tcBorders>
                    <w:tl2br w:val="nil"/>
                    <w:tr2bl w:val="nil"/>
                  </w:tcBorders>
                  <w:vAlign w:val="center"/>
                </w:tcPr>
                <w:p w14:paraId="4A8A4D27">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6.5</w:t>
                  </w:r>
                </w:p>
              </w:tc>
            </w:tr>
            <w:tr w14:paraId="127855F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1A07CEF4">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vAlign w:val="center"/>
                </w:tcPr>
                <w:p w14:paraId="548FB8A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引燃温度</w:t>
                  </w:r>
                  <w:r>
                    <w:rPr>
                      <w:rFonts w:hint="eastAsia" w:ascii="Times New Roman" w:hAnsi="Times New Roman" w:cs="Times New Roman"/>
                      <w:color w:val="000000" w:themeColor="text1"/>
                      <w:sz w:val="21"/>
                      <w:szCs w:val="21"/>
                      <w:lang w:eastAsia="zh-CN"/>
                    </w:rPr>
                    <w:t>（</w:t>
                  </w:r>
                  <w:r>
                    <w:rPr>
                      <w:rFonts w:ascii="Times New Roman" w:hAnsi="Times New Roman" w:eastAsia="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w:t>
                  </w:r>
                </w:p>
              </w:tc>
              <w:tc>
                <w:tcPr>
                  <w:tcW w:w="891" w:type="pct"/>
                  <w:tcBorders>
                    <w:tl2br w:val="nil"/>
                    <w:tr2bl w:val="nil"/>
                  </w:tcBorders>
                  <w:vAlign w:val="center"/>
                </w:tcPr>
                <w:p w14:paraId="5DC22607">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248</w:t>
                  </w:r>
                </w:p>
              </w:tc>
              <w:tc>
                <w:tcPr>
                  <w:tcW w:w="1218" w:type="pct"/>
                  <w:gridSpan w:val="3"/>
                  <w:tcBorders>
                    <w:tl2br w:val="nil"/>
                    <w:tr2bl w:val="nil"/>
                  </w:tcBorders>
                  <w:vAlign w:val="center"/>
                </w:tcPr>
                <w:p w14:paraId="5184CE8C">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爆炸下限（</w:t>
                  </w:r>
                  <w:r>
                    <w:rPr>
                      <w:rFonts w:ascii="Times New Roman" w:hAnsi="Times New Roman" w:eastAsia="Times New Roman" w:cs="Times New Roman"/>
                      <w:color w:val="000000" w:themeColor="text1"/>
                      <w:sz w:val="21"/>
                      <w:szCs w:val="21"/>
                    </w:rPr>
                    <w:t>v%</w:t>
                  </w:r>
                  <w:r>
                    <w:rPr>
                      <w:rFonts w:ascii="Times New Roman" w:hAnsi="Times New Roman" w:cs="Times New Roman"/>
                      <w:color w:val="000000" w:themeColor="text1"/>
                      <w:sz w:val="21"/>
                      <w:szCs w:val="21"/>
                    </w:rPr>
                    <w:t>）</w:t>
                  </w:r>
                </w:p>
              </w:tc>
              <w:tc>
                <w:tcPr>
                  <w:tcW w:w="1740" w:type="pct"/>
                  <w:gridSpan w:val="3"/>
                  <w:tcBorders>
                    <w:tl2br w:val="nil"/>
                    <w:tr2bl w:val="nil"/>
                  </w:tcBorders>
                  <w:vAlign w:val="center"/>
                </w:tcPr>
                <w:p w14:paraId="11146139">
                  <w:pPr>
                    <w:autoSpaceDE/>
                    <w:autoSpaceDN/>
                    <w:spacing w:line="240" w:lineRule="auto"/>
                    <w:ind w:firstLine="0" w:firstLineChars="0"/>
                    <w:jc w:val="center"/>
                    <w:rPr>
                      <w:rFonts w:eastAsia="Times New Roman"/>
                      <w:color w:val="000000" w:themeColor="text1"/>
                      <w:sz w:val="21"/>
                      <w:szCs w:val="21"/>
                      <w:lang w:eastAsia="en-US"/>
                    </w:rPr>
                  </w:pPr>
                  <w:r>
                    <w:rPr>
                      <w:rFonts w:eastAsia="Times New Roman"/>
                      <w:color w:val="000000" w:themeColor="text1"/>
                      <w:sz w:val="21"/>
                      <w:szCs w:val="21"/>
                      <w:lang w:eastAsia="en-US"/>
                    </w:rPr>
                    <w:t>0.6</w:t>
                  </w:r>
                </w:p>
              </w:tc>
            </w:tr>
            <w:tr w14:paraId="5BAE64B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042F3174">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231807A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危险特性</w:t>
                  </w:r>
                </w:p>
              </w:tc>
              <w:tc>
                <w:tcPr>
                  <w:tcW w:w="3849" w:type="pct"/>
                  <w:gridSpan w:val="7"/>
                  <w:tcBorders>
                    <w:tl2br w:val="nil"/>
                    <w:tr2bl w:val="nil"/>
                  </w:tcBorders>
                  <w:shd w:val="clear" w:color="auto" w:fill="auto"/>
                  <w:vAlign w:val="center"/>
                </w:tcPr>
                <w:p w14:paraId="596FA2F0">
                  <w:pPr>
                    <w:pStyle w:val="65"/>
                    <w:autoSpaceDE/>
                    <w:autoSpaceDN/>
                    <w:spacing w:line="240" w:lineRule="auto"/>
                    <w:ind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8"/>
                      <w:sz w:val="21"/>
                      <w:szCs w:val="21"/>
                    </w:rPr>
                    <w:t>遇明火、高热可引起燃烧爆炸的危险。</w:t>
                  </w:r>
                </w:p>
              </w:tc>
            </w:tr>
            <w:tr w14:paraId="4AD22F1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3E770DEC">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78235D08">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8"/>
                      <w:sz w:val="21"/>
                      <w:szCs w:val="21"/>
                    </w:rPr>
                    <w:t>储运条件与</w:t>
                  </w:r>
                  <w:r>
                    <w:rPr>
                      <w:rFonts w:ascii="Times New Roman" w:hAnsi="Times New Roman" w:cs="Times New Roman"/>
                      <w:color w:val="000000" w:themeColor="text1"/>
                      <w:spacing w:val="6"/>
                      <w:sz w:val="21"/>
                      <w:szCs w:val="21"/>
                    </w:rPr>
                    <w:t>泄漏处理</w:t>
                  </w:r>
                </w:p>
              </w:tc>
              <w:tc>
                <w:tcPr>
                  <w:tcW w:w="3849" w:type="pct"/>
                  <w:gridSpan w:val="7"/>
                  <w:tcBorders>
                    <w:tl2br w:val="nil"/>
                    <w:tr2bl w:val="nil"/>
                  </w:tcBorders>
                  <w:shd w:val="clear" w:color="auto" w:fill="auto"/>
                  <w:vAlign w:val="center"/>
                </w:tcPr>
                <w:p w14:paraId="39316F07">
                  <w:pPr>
                    <w:pStyle w:val="65"/>
                    <w:autoSpaceDE/>
                    <w:autoSpaceDN/>
                    <w:spacing w:line="240" w:lineRule="auto"/>
                    <w:ind w:right="97"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10"/>
                      <w:sz w:val="21"/>
                      <w:szCs w:val="21"/>
                    </w:rPr>
                    <w:t>储运条件及注意事项：储存于阴凉、通风的库房。远离火种、热源。应与氧化剂分开存放，切忌混储。配备相应品种和数量的消防器材。储区应备有</w:t>
                  </w:r>
                  <w:r>
                    <w:rPr>
                      <w:rFonts w:hint="eastAsia" w:ascii="Times New Roman" w:hAnsi="Times New Roman" w:cs="Times New Roman"/>
                      <w:color w:val="000000" w:themeColor="text1"/>
                      <w:spacing w:val="10"/>
                      <w:sz w:val="21"/>
                      <w:szCs w:val="21"/>
                      <w:lang w:eastAsia="zh-CN"/>
                    </w:rPr>
                    <w:t>泄漏</w:t>
                  </w:r>
                  <w:r>
                    <w:rPr>
                      <w:rFonts w:ascii="Times New Roman" w:hAnsi="Times New Roman" w:cs="Times New Roman"/>
                      <w:color w:val="000000" w:themeColor="text1"/>
                      <w:spacing w:val="10"/>
                      <w:sz w:val="21"/>
                      <w:szCs w:val="21"/>
                    </w:rPr>
                    <w:t>应急处理设备和合适的收容材料。运输前应先检查包装容器是否完整、密封，运输过程中要确保容器不</w:t>
                  </w:r>
                  <w:r>
                    <w:rPr>
                      <w:rFonts w:hint="eastAsia" w:ascii="Times New Roman" w:hAnsi="Times New Roman" w:cs="Times New Roman"/>
                      <w:color w:val="000000" w:themeColor="text1"/>
                      <w:spacing w:val="10"/>
                      <w:sz w:val="21"/>
                      <w:szCs w:val="21"/>
                      <w:lang w:eastAsia="zh-CN"/>
                    </w:rPr>
                    <w:t>泄漏</w:t>
                  </w:r>
                  <w:r>
                    <w:rPr>
                      <w:rFonts w:ascii="Times New Roman" w:hAnsi="Times New Roman" w:cs="Times New Roman"/>
                      <w:color w:val="000000" w:themeColor="text1"/>
                      <w:spacing w:val="10"/>
                      <w:sz w:val="21"/>
                      <w:szCs w:val="21"/>
                    </w:rPr>
                    <w:t>、不倒塌、不坠落、不损坏。禁止与氧化剂、食用化学品等</w:t>
                  </w:r>
                  <w:r>
                    <w:rPr>
                      <w:rFonts w:ascii="Times New Roman" w:hAnsi="Times New Roman" w:cs="Times New Roman"/>
                      <w:color w:val="000000" w:themeColor="text1"/>
                      <w:spacing w:val="8"/>
                      <w:sz w:val="21"/>
                      <w:szCs w:val="21"/>
                    </w:rPr>
                    <w:t>混装混运。公路运输时要按规定路线行驶。</w:t>
                  </w:r>
                </w:p>
                <w:p w14:paraId="623E78E6">
                  <w:pPr>
                    <w:pStyle w:val="65"/>
                    <w:autoSpaceDE/>
                    <w:autoSpaceDN/>
                    <w:spacing w:line="240" w:lineRule="auto"/>
                    <w:ind w:right="44"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10"/>
                      <w:sz w:val="21"/>
                      <w:szCs w:val="21"/>
                    </w:rPr>
                    <w:t>泄漏处理：迅速撤离泄漏污染区人员至安全区，并进行隔</w:t>
                  </w:r>
                  <w:r>
                    <w:rPr>
                      <w:rFonts w:ascii="Times New Roman" w:hAnsi="Times New Roman" w:cs="Times New Roman"/>
                      <w:color w:val="000000" w:themeColor="text1"/>
                      <w:spacing w:val="9"/>
                      <w:sz w:val="21"/>
                      <w:szCs w:val="21"/>
                    </w:rPr>
                    <w:t>离，严</w:t>
                  </w:r>
                  <w:r>
                    <w:rPr>
                      <w:rFonts w:ascii="Times New Roman" w:hAnsi="Times New Roman" w:cs="Times New Roman"/>
                      <w:color w:val="000000" w:themeColor="text1"/>
                      <w:spacing w:val="4"/>
                      <w:sz w:val="21"/>
                      <w:szCs w:val="21"/>
                    </w:rPr>
                    <w:t>格限制出入。切断火源。建议应急处理人员戴自给正压式呼吸器，</w:t>
                  </w:r>
                  <w:r>
                    <w:rPr>
                      <w:rFonts w:ascii="Times New Roman" w:hAnsi="Times New Roman" w:cs="Times New Roman"/>
                      <w:color w:val="000000" w:themeColor="text1"/>
                      <w:spacing w:val="10"/>
                      <w:sz w:val="21"/>
                      <w:szCs w:val="21"/>
                    </w:rPr>
                    <w:t>穿一般作业工作服。尽可能切断泄漏源。防止流入下水道、排洪沟等限制性空间。小量泄漏：用砂土、活性炭或其它惰性材料吸收。大量泄漏：构筑围堤或挖坑收容。用泵转移至槽车或专用收</w:t>
                  </w:r>
                  <w:r>
                    <w:rPr>
                      <w:rFonts w:ascii="Times New Roman" w:hAnsi="Times New Roman" w:cs="Times New Roman"/>
                      <w:color w:val="000000" w:themeColor="text1"/>
                      <w:spacing w:val="8"/>
                      <w:sz w:val="21"/>
                      <w:szCs w:val="21"/>
                    </w:rPr>
                    <w:t>集器内，回收或运至废物处理场所处置。</w:t>
                  </w:r>
                </w:p>
              </w:tc>
            </w:tr>
            <w:tr w14:paraId="0AE623C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64A90DFB">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4ED5845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24"/>
                      <w:sz w:val="21"/>
                      <w:szCs w:val="21"/>
                    </w:rPr>
                    <w:t>建规火险分</w:t>
                  </w:r>
                  <w:r>
                    <w:rPr>
                      <w:rFonts w:ascii="Times New Roman" w:hAnsi="Times New Roman" w:cs="Times New Roman"/>
                      <w:color w:val="000000" w:themeColor="text1"/>
                      <w:spacing w:val="1"/>
                      <w:sz w:val="21"/>
                      <w:szCs w:val="21"/>
                    </w:rPr>
                    <w:t xml:space="preserve"> </w:t>
                  </w:r>
                  <w:r>
                    <w:rPr>
                      <w:rFonts w:ascii="Times New Roman" w:hAnsi="Times New Roman" w:cs="Times New Roman"/>
                      <w:color w:val="000000" w:themeColor="text1"/>
                      <w:sz w:val="21"/>
                      <w:szCs w:val="21"/>
                    </w:rPr>
                    <w:t>级</w:t>
                  </w:r>
                </w:p>
              </w:tc>
              <w:tc>
                <w:tcPr>
                  <w:tcW w:w="891" w:type="pct"/>
                  <w:tcBorders>
                    <w:tl2br w:val="nil"/>
                    <w:tr2bl w:val="nil"/>
                  </w:tcBorders>
                  <w:shd w:val="clear" w:color="auto" w:fill="auto"/>
                  <w:vAlign w:val="center"/>
                </w:tcPr>
                <w:p w14:paraId="204A1311">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position w:val="1"/>
                      <w:sz w:val="21"/>
                      <w:szCs w:val="21"/>
                    </w:rPr>
                    <w:t>乙</w:t>
                  </w:r>
                </w:p>
              </w:tc>
              <w:tc>
                <w:tcPr>
                  <w:tcW w:w="605" w:type="pct"/>
                  <w:tcBorders>
                    <w:tl2br w:val="nil"/>
                    <w:tr2bl w:val="nil"/>
                  </w:tcBorders>
                  <w:shd w:val="clear" w:color="auto" w:fill="auto"/>
                  <w:vAlign w:val="center"/>
                </w:tcPr>
                <w:p w14:paraId="3996EDB5">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稳定性</w:t>
                  </w:r>
                </w:p>
              </w:tc>
              <w:tc>
                <w:tcPr>
                  <w:tcW w:w="612" w:type="pct"/>
                  <w:gridSpan w:val="2"/>
                  <w:tcBorders>
                    <w:tl2br w:val="nil"/>
                    <w:tr2bl w:val="nil"/>
                  </w:tcBorders>
                  <w:shd w:val="clear" w:color="auto" w:fill="auto"/>
                  <w:vAlign w:val="center"/>
                </w:tcPr>
                <w:p w14:paraId="7F049FD7">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稳定</w:t>
                  </w:r>
                </w:p>
              </w:tc>
              <w:tc>
                <w:tcPr>
                  <w:tcW w:w="865" w:type="pct"/>
                  <w:gridSpan w:val="2"/>
                  <w:tcBorders>
                    <w:tl2br w:val="nil"/>
                    <w:tr2bl w:val="nil"/>
                  </w:tcBorders>
                  <w:shd w:val="clear" w:color="auto" w:fill="auto"/>
                  <w:vAlign w:val="center"/>
                </w:tcPr>
                <w:p w14:paraId="6CE51A9D">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聚合危害</w:t>
                  </w:r>
                </w:p>
              </w:tc>
              <w:tc>
                <w:tcPr>
                  <w:tcW w:w="874" w:type="pct"/>
                  <w:tcBorders>
                    <w:tl2br w:val="nil"/>
                    <w:tr2bl w:val="nil"/>
                  </w:tcBorders>
                  <w:shd w:val="clear" w:color="auto" w:fill="auto"/>
                  <w:vAlign w:val="center"/>
                </w:tcPr>
                <w:p w14:paraId="6E44CAA3">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5"/>
                      <w:sz w:val="21"/>
                      <w:szCs w:val="21"/>
                    </w:rPr>
                    <w:t>不出现</w:t>
                  </w:r>
                </w:p>
              </w:tc>
            </w:tr>
            <w:tr w14:paraId="6422E50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21B52C9F">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6EEB0F1E">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禁忌物</w:t>
                  </w:r>
                </w:p>
              </w:tc>
              <w:tc>
                <w:tcPr>
                  <w:tcW w:w="3849" w:type="pct"/>
                  <w:gridSpan w:val="7"/>
                  <w:tcBorders>
                    <w:tl2br w:val="nil"/>
                    <w:tr2bl w:val="nil"/>
                  </w:tcBorders>
                  <w:shd w:val="clear" w:color="auto" w:fill="auto"/>
                  <w:vAlign w:val="center"/>
                </w:tcPr>
                <w:p w14:paraId="28F0FC2E">
                  <w:pPr>
                    <w:pStyle w:val="65"/>
                    <w:autoSpaceDE/>
                    <w:autoSpaceDN/>
                    <w:spacing w:line="240" w:lineRule="auto"/>
                    <w:ind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4"/>
                      <w:sz w:val="21"/>
                      <w:szCs w:val="21"/>
                    </w:rPr>
                    <w:t>强氧化剂。</w:t>
                  </w:r>
                </w:p>
              </w:tc>
            </w:tr>
            <w:tr w14:paraId="640E8C2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jc w:val="center"/>
              </w:trPr>
              <w:tc>
                <w:tcPr>
                  <w:tcW w:w="305" w:type="pct"/>
                  <w:vMerge w:val="continue"/>
                  <w:tcBorders>
                    <w:tl2br w:val="nil"/>
                    <w:tr2bl w:val="nil"/>
                  </w:tcBorders>
                  <w:textDirection w:val="tbRlV"/>
                  <w:vAlign w:val="center"/>
                </w:tcPr>
                <w:p w14:paraId="29E24786">
                  <w:pPr>
                    <w:autoSpaceDE/>
                    <w:autoSpaceDN/>
                    <w:spacing w:line="240" w:lineRule="auto"/>
                    <w:ind w:firstLine="0" w:firstLineChars="0"/>
                    <w:jc w:val="center"/>
                    <w:rPr>
                      <w:color w:val="000000" w:themeColor="text1"/>
                      <w:sz w:val="21"/>
                      <w:szCs w:val="21"/>
                      <w:lang w:eastAsia="en-US"/>
                    </w:rPr>
                  </w:pPr>
                </w:p>
              </w:tc>
              <w:tc>
                <w:tcPr>
                  <w:tcW w:w="844" w:type="pct"/>
                  <w:tcBorders>
                    <w:tl2br w:val="nil"/>
                    <w:tr2bl w:val="nil"/>
                  </w:tcBorders>
                  <w:shd w:val="clear" w:color="auto" w:fill="auto"/>
                  <w:vAlign w:val="center"/>
                </w:tcPr>
                <w:p w14:paraId="6CD1DD39">
                  <w:pPr>
                    <w:pStyle w:val="65"/>
                    <w:autoSpaceDE/>
                    <w:autoSpaceDN/>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6"/>
                      <w:sz w:val="21"/>
                      <w:szCs w:val="21"/>
                    </w:rPr>
                    <w:t>灭火方法</w:t>
                  </w:r>
                </w:p>
              </w:tc>
              <w:tc>
                <w:tcPr>
                  <w:tcW w:w="3849" w:type="pct"/>
                  <w:gridSpan w:val="7"/>
                  <w:tcBorders>
                    <w:tl2br w:val="nil"/>
                    <w:tr2bl w:val="nil"/>
                  </w:tcBorders>
                  <w:shd w:val="clear" w:color="auto" w:fill="auto"/>
                  <w:vAlign w:val="center"/>
                </w:tcPr>
                <w:p w14:paraId="6D6671F4">
                  <w:pPr>
                    <w:pStyle w:val="65"/>
                    <w:autoSpaceDE/>
                    <w:autoSpaceDN/>
                    <w:spacing w:line="240" w:lineRule="auto"/>
                    <w:ind w:firstLine="0" w:firstLineChars="0"/>
                    <w:rPr>
                      <w:rFonts w:ascii="Times New Roman" w:hAnsi="Times New Roman" w:cs="Times New Roman"/>
                      <w:color w:val="000000" w:themeColor="text1"/>
                      <w:sz w:val="21"/>
                      <w:szCs w:val="21"/>
                    </w:rPr>
                  </w:pPr>
                  <w:r>
                    <w:rPr>
                      <w:rFonts w:ascii="Times New Roman" w:hAnsi="Times New Roman" w:cs="Times New Roman"/>
                      <w:color w:val="000000" w:themeColor="text1"/>
                      <w:spacing w:val="9"/>
                      <w:sz w:val="21"/>
                      <w:szCs w:val="21"/>
                    </w:rPr>
                    <w:t>用泡沫、二氧化碳、干粉、砂土灭火，用水灭火无效。</w:t>
                  </w:r>
                </w:p>
              </w:tc>
            </w:tr>
          </w:tbl>
          <w:p w14:paraId="7E491FBB">
            <w:pPr>
              <w:ind w:firstLine="0" w:firstLineChars="0"/>
              <w:jc w:val="center"/>
              <w:rPr>
                <w:b/>
                <w:bCs/>
                <w:color w:val="000000" w:themeColor="text1"/>
                <w:sz w:val="21"/>
                <w:szCs w:val="21"/>
              </w:rPr>
            </w:pPr>
            <w:r>
              <w:rPr>
                <w:rFonts w:hint="eastAsia"/>
                <w:b/>
                <w:bCs/>
                <w:color w:val="000000" w:themeColor="text1"/>
                <w:sz w:val="21"/>
                <w:szCs w:val="21"/>
              </w:rPr>
              <w:t>表58   液压油</w:t>
            </w:r>
            <w:r>
              <w:rPr>
                <w:rFonts w:hint="eastAsia"/>
                <w:b/>
                <w:color w:val="000000" w:themeColor="text1"/>
                <w:sz w:val="21"/>
                <w:szCs w:val="21"/>
              </w:rPr>
              <w:t>理化性质及危险性识别一览表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593"/>
              <w:gridCol w:w="5516"/>
            </w:tblGrid>
            <w:tr w14:paraId="20FD1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vAlign w:val="center"/>
                </w:tcPr>
                <w:p w14:paraId="3300A30B">
                  <w:pPr>
                    <w:spacing w:line="240" w:lineRule="auto"/>
                    <w:ind w:firstLine="0" w:firstLineChars="0"/>
                    <w:jc w:val="center"/>
                    <w:rPr>
                      <w:b/>
                      <w:bCs/>
                      <w:color w:val="000000" w:themeColor="text1"/>
                      <w:sz w:val="21"/>
                      <w:szCs w:val="21"/>
                    </w:rPr>
                  </w:pPr>
                  <w:r>
                    <w:rPr>
                      <w:b/>
                      <w:bCs/>
                      <w:color w:val="000000" w:themeColor="text1"/>
                      <w:sz w:val="21"/>
                      <w:szCs w:val="21"/>
                    </w:rPr>
                    <w:t>标识</w:t>
                  </w:r>
                </w:p>
              </w:tc>
              <w:tc>
                <w:tcPr>
                  <w:tcW w:w="4408" w:type="pct"/>
                  <w:gridSpan w:val="2"/>
                  <w:tcBorders>
                    <w:tl2br w:val="nil"/>
                    <w:tr2bl w:val="nil"/>
                  </w:tcBorders>
                  <w:vAlign w:val="center"/>
                </w:tcPr>
                <w:p w14:paraId="65738A40">
                  <w:pPr>
                    <w:spacing w:line="240" w:lineRule="auto"/>
                    <w:ind w:firstLine="0" w:firstLineChars="0"/>
                    <w:jc w:val="center"/>
                    <w:rPr>
                      <w:b/>
                      <w:bCs/>
                      <w:color w:val="000000" w:themeColor="text1"/>
                      <w:sz w:val="21"/>
                      <w:szCs w:val="21"/>
                    </w:rPr>
                  </w:pPr>
                  <w:r>
                    <w:rPr>
                      <w:b/>
                      <w:bCs/>
                      <w:color w:val="000000" w:themeColor="text1"/>
                      <w:sz w:val="21"/>
                      <w:szCs w:val="21"/>
                    </w:rPr>
                    <w:t>化学品名称：液压油</w:t>
                  </w:r>
                </w:p>
              </w:tc>
            </w:tr>
            <w:tr w14:paraId="6AFF8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29EFE346">
                  <w:pPr>
                    <w:spacing w:line="240" w:lineRule="auto"/>
                    <w:ind w:firstLine="0" w:firstLineChars="0"/>
                    <w:jc w:val="center"/>
                    <w:rPr>
                      <w:color w:val="000000" w:themeColor="text1"/>
                      <w:sz w:val="21"/>
                      <w:szCs w:val="21"/>
                    </w:rPr>
                  </w:pPr>
                  <w:r>
                    <w:rPr>
                      <w:color w:val="000000" w:themeColor="text1"/>
                      <w:sz w:val="21"/>
                      <w:szCs w:val="21"/>
                    </w:rPr>
                    <w:t>主要组成与性状</w:t>
                  </w:r>
                </w:p>
              </w:tc>
              <w:tc>
                <w:tcPr>
                  <w:tcW w:w="988" w:type="pct"/>
                  <w:tcBorders>
                    <w:tl2br w:val="nil"/>
                    <w:tr2bl w:val="nil"/>
                  </w:tcBorders>
                  <w:vAlign w:val="center"/>
                </w:tcPr>
                <w:p w14:paraId="5E3A9463">
                  <w:pPr>
                    <w:spacing w:line="240" w:lineRule="auto"/>
                    <w:ind w:firstLine="0" w:firstLineChars="0"/>
                    <w:jc w:val="center"/>
                    <w:rPr>
                      <w:color w:val="000000" w:themeColor="text1"/>
                      <w:sz w:val="21"/>
                      <w:szCs w:val="21"/>
                    </w:rPr>
                  </w:pPr>
                  <w:r>
                    <w:rPr>
                      <w:color w:val="000000" w:themeColor="text1"/>
                      <w:sz w:val="21"/>
                      <w:szCs w:val="21"/>
                    </w:rPr>
                    <w:t>成份</w:t>
                  </w:r>
                </w:p>
              </w:tc>
              <w:tc>
                <w:tcPr>
                  <w:tcW w:w="3419" w:type="pct"/>
                  <w:tcBorders>
                    <w:tl2br w:val="nil"/>
                    <w:tr2bl w:val="nil"/>
                  </w:tcBorders>
                  <w:vAlign w:val="center"/>
                </w:tcPr>
                <w:p w14:paraId="40B56B70">
                  <w:pPr>
                    <w:spacing w:line="240" w:lineRule="auto"/>
                    <w:ind w:firstLine="0" w:firstLineChars="0"/>
                    <w:jc w:val="center"/>
                    <w:rPr>
                      <w:color w:val="000000" w:themeColor="text1"/>
                      <w:sz w:val="21"/>
                      <w:szCs w:val="21"/>
                    </w:rPr>
                  </w:pPr>
                  <w:r>
                    <w:rPr>
                      <w:color w:val="000000" w:themeColor="text1"/>
                      <w:sz w:val="21"/>
                      <w:szCs w:val="21"/>
                    </w:rPr>
                    <w:t>含量</w:t>
                  </w:r>
                </w:p>
              </w:tc>
            </w:tr>
            <w:tr w14:paraId="62D4D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61580FFF">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35D39A91">
                  <w:pPr>
                    <w:spacing w:line="240" w:lineRule="auto"/>
                    <w:ind w:firstLine="0" w:firstLineChars="0"/>
                    <w:jc w:val="center"/>
                    <w:rPr>
                      <w:color w:val="000000" w:themeColor="text1"/>
                      <w:sz w:val="21"/>
                      <w:szCs w:val="21"/>
                    </w:rPr>
                  </w:pPr>
                  <w:r>
                    <w:rPr>
                      <w:color w:val="000000" w:themeColor="text1"/>
                      <w:sz w:val="21"/>
                      <w:szCs w:val="21"/>
                    </w:rPr>
                    <w:t>添加剂</w:t>
                  </w:r>
                </w:p>
              </w:tc>
              <w:tc>
                <w:tcPr>
                  <w:tcW w:w="3419" w:type="pct"/>
                  <w:tcBorders>
                    <w:tl2br w:val="nil"/>
                    <w:tr2bl w:val="nil"/>
                  </w:tcBorders>
                  <w:vAlign w:val="center"/>
                </w:tcPr>
                <w:p w14:paraId="7F5A0685">
                  <w:pPr>
                    <w:spacing w:line="240" w:lineRule="auto"/>
                    <w:ind w:firstLine="0" w:firstLineChars="0"/>
                    <w:jc w:val="center"/>
                    <w:rPr>
                      <w:color w:val="000000" w:themeColor="text1"/>
                      <w:sz w:val="21"/>
                      <w:szCs w:val="21"/>
                    </w:rPr>
                  </w:pPr>
                  <w:r>
                    <w:rPr>
                      <w:color w:val="000000" w:themeColor="text1"/>
                      <w:sz w:val="21"/>
                      <w:szCs w:val="21"/>
                    </w:rPr>
                    <w:t>＜10%</w:t>
                  </w:r>
                </w:p>
              </w:tc>
            </w:tr>
            <w:tr w14:paraId="6BFDE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70853A73">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5A60DECC">
                  <w:pPr>
                    <w:spacing w:line="240" w:lineRule="auto"/>
                    <w:ind w:firstLine="0" w:firstLineChars="0"/>
                    <w:jc w:val="center"/>
                    <w:rPr>
                      <w:color w:val="000000" w:themeColor="text1"/>
                      <w:sz w:val="21"/>
                      <w:szCs w:val="21"/>
                    </w:rPr>
                  </w:pPr>
                  <w:r>
                    <w:rPr>
                      <w:color w:val="000000" w:themeColor="text1"/>
                      <w:sz w:val="21"/>
                      <w:szCs w:val="21"/>
                    </w:rPr>
                    <w:t>基础油</w:t>
                  </w:r>
                </w:p>
              </w:tc>
              <w:tc>
                <w:tcPr>
                  <w:tcW w:w="3419" w:type="pct"/>
                  <w:tcBorders>
                    <w:tl2br w:val="nil"/>
                    <w:tr2bl w:val="nil"/>
                  </w:tcBorders>
                  <w:vAlign w:val="center"/>
                </w:tcPr>
                <w:p w14:paraId="2B303919">
                  <w:pPr>
                    <w:spacing w:line="240" w:lineRule="auto"/>
                    <w:ind w:firstLine="0" w:firstLineChars="0"/>
                    <w:jc w:val="center"/>
                    <w:rPr>
                      <w:color w:val="000000" w:themeColor="text1"/>
                      <w:sz w:val="21"/>
                      <w:szCs w:val="21"/>
                    </w:rPr>
                  </w:pPr>
                  <w:r>
                    <w:rPr>
                      <w:color w:val="000000" w:themeColor="text1"/>
                      <w:sz w:val="21"/>
                      <w:szCs w:val="21"/>
                    </w:rPr>
                    <w:t>＞90%</w:t>
                  </w:r>
                </w:p>
              </w:tc>
            </w:tr>
            <w:tr w14:paraId="638CC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6A75F2CC">
                  <w:pPr>
                    <w:spacing w:line="240" w:lineRule="auto"/>
                    <w:ind w:firstLine="0" w:firstLineChars="0"/>
                    <w:jc w:val="center"/>
                    <w:rPr>
                      <w:color w:val="000000" w:themeColor="text1"/>
                      <w:sz w:val="21"/>
                      <w:szCs w:val="21"/>
                    </w:rPr>
                  </w:pPr>
                  <w:r>
                    <w:rPr>
                      <w:color w:val="000000" w:themeColor="text1"/>
                      <w:sz w:val="21"/>
                      <w:szCs w:val="21"/>
                    </w:rPr>
                    <w:t>危险性概述</w:t>
                  </w:r>
                </w:p>
              </w:tc>
              <w:tc>
                <w:tcPr>
                  <w:tcW w:w="988" w:type="pct"/>
                  <w:tcBorders>
                    <w:tl2br w:val="nil"/>
                    <w:tr2bl w:val="nil"/>
                  </w:tcBorders>
                  <w:vAlign w:val="center"/>
                </w:tcPr>
                <w:p w14:paraId="5EA10D39">
                  <w:pPr>
                    <w:spacing w:line="240" w:lineRule="auto"/>
                    <w:ind w:firstLine="0" w:firstLineChars="0"/>
                    <w:jc w:val="center"/>
                    <w:rPr>
                      <w:color w:val="000000" w:themeColor="text1"/>
                      <w:sz w:val="21"/>
                      <w:szCs w:val="21"/>
                    </w:rPr>
                  </w:pPr>
                  <w:r>
                    <w:rPr>
                      <w:color w:val="000000" w:themeColor="text1"/>
                      <w:sz w:val="21"/>
                      <w:szCs w:val="21"/>
                    </w:rPr>
                    <w:t>危险性类别</w:t>
                  </w:r>
                </w:p>
              </w:tc>
              <w:tc>
                <w:tcPr>
                  <w:tcW w:w="3419" w:type="pct"/>
                  <w:tcBorders>
                    <w:tl2br w:val="nil"/>
                    <w:tr2bl w:val="nil"/>
                  </w:tcBorders>
                  <w:vAlign w:val="center"/>
                </w:tcPr>
                <w:p w14:paraId="0B5364B0">
                  <w:pPr>
                    <w:spacing w:line="240" w:lineRule="auto"/>
                    <w:ind w:firstLine="0" w:firstLineChars="0"/>
                    <w:jc w:val="center"/>
                    <w:rPr>
                      <w:color w:val="000000" w:themeColor="text1"/>
                      <w:sz w:val="21"/>
                      <w:szCs w:val="21"/>
                    </w:rPr>
                  </w:pPr>
                  <w:r>
                    <w:rPr>
                      <w:color w:val="000000" w:themeColor="text1"/>
                      <w:sz w:val="21"/>
                      <w:szCs w:val="21"/>
                    </w:rPr>
                    <w:t>非危险品</w:t>
                  </w:r>
                </w:p>
              </w:tc>
            </w:tr>
            <w:tr w14:paraId="7B7CC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08E024FB">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4F44E19">
                  <w:pPr>
                    <w:spacing w:line="240" w:lineRule="auto"/>
                    <w:ind w:firstLine="0" w:firstLineChars="0"/>
                    <w:jc w:val="center"/>
                    <w:rPr>
                      <w:color w:val="000000" w:themeColor="text1"/>
                      <w:sz w:val="21"/>
                      <w:szCs w:val="21"/>
                    </w:rPr>
                  </w:pPr>
                  <w:r>
                    <w:rPr>
                      <w:color w:val="000000" w:themeColor="text1"/>
                      <w:sz w:val="21"/>
                      <w:szCs w:val="21"/>
                    </w:rPr>
                    <w:t>侵入途径</w:t>
                  </w:r>
                </w:p>
              </w:tc>
              <w:tc>
                <w:tcPr>
                  <w:tcW w:w="3419" w:type="pct"/>
                  <w:tcBorders>
                    <w:tl2br w:val="nil"/>
                    <w:tr2bl w:val="nil"/>
                  </w:tcBorders>
                  <w:vAlign w:val="center"/>
                </w:tcPr>
                <w:p w14:paraId="1844A4A6">
                  <w:pPr>
                    <w:spacing w:line="240" w:lineRule="auto"/>
                    <w:ind w:firstLine="0" w:firstLineChars="0"/>
                    <w:jc w:val="center"/>
                    <w:rPr>
                      <w:color w:val="000000" w:themeColor="text1"/>
                      <w:sz w:val="21"/>
                      <w:szCs w:val="21"/>
                    </w:rPr>
                  </w:pPr>
                  <w:r>
                    <w:rPr>
                      <w:color w:val="000000" w:themeColor="text1"/>
                      <w:sz w:val="21"/>
                      <w:szCs w:val="21"/>
                    </w:rPr>
                    <w:t>吸入、食入、经皮吸收</w:t>
                  </w:r>
                </w:p>
              </w:tc>
            </w:tr>
            <w:tr w14:paraId="6D919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8CC5B21">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0B17F44B">
                  <w:pPr>
                    <w:spacing w:line="240" w:lineRule="auto"/>
                    <w:ind w:firstLine="0" w:firstLineChars="0"/>
                    <w:jc w:val="center"/>
                    <w:rPr>
                      <w:color w:val="000000" w:themeColor="text1"/>
                      <w:sz w:val="21"/>
                      <w:szCs w:val="21"/>
                    </w:rPr>
                  </w:pPr>
                  <w:r>
                    <w:rPr>
                      <w:color w:val="000000" w:themeColor="text1"/>
                      <w:sz w:val="21"/>
                      <w:szCs w:val="21"/>
                    </w:rPr>
                    <w:t>燃爆危险</w:t>
                  </w:r>
                </w:p>
              </w:tc>
              <w:tc>
                <w:tcPr>
                  <w:tcW w:w="3419" w:type="pct"/>
                  <w:tcBorders>
                    <w:tl2br w:val="nil"/>
                    <w:tr2bl w:val="nil"/>
                  </w:tcBorders>
                  <w:vAlign w:val="center"/>
                </w:tcPr>
                <w:p w14:paraId="5D88C897">
                  <w:pPr>
                    <w:spacing w:line="240" w:lineRule="auto"/>
                    <w:ind w:firstLine="0" w:firstLineChars="0"/>
                    <w:jc w:val="center"/>
                    <w:rPr>
                      <w:color w:val="000000" w:themeColor="text1"/>
                      <w:sz w:val="21"/>
                      <w:szCs w:val="21"/>
                    </w:rPr>
                  </w:pPr>
                  <w:r>
                    <w:rPr>
                      <w:color w:val="000000" w:themeColor="text1"/>
                      <w:sz w:val="21"/>
                      <w:szCs w:val="21"/>
                    </w:rPr>
                    <w:t>无爆炸危险性，属可燃物品</w:t>
                  </w:r>
                </w:p>
              </w:tc>
            </w:tr>
            <w:tr w14:paraId="46250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4A5F190B">
                  <w:pPr>
                    <w:spacing w:line="240" w:lineRule="auto"/>
                    <w:ind w:firstLine="0" w:firstLineChars="0"/>
                    <w:jc w:val="center"/>
                    <w:rPr>
                      <w:color w:val="000000" w:themeColor="text1"/>
                      <w:sz w:val="21"/>
                      <w:szCs w:val="21"/>
                    </w:rPr>
                  </w:pPr>
                  <w:r>
                    <w:rPr>
                      <w:color w:val="000000" w:themeColor="text1"/>
                      <w:sz w:val="21"/>
                      <w:szCs w:val="21"/>
                    </w:rPr>
                    <w:t>急救措施</w:t>
                  </w:r>
                </w:p>
              </w:tc>
              <w:tc>
                <w:tcPr>
                  <w:tcW w:w="988" w:type="pct"/>
                  <w:tcBorders>
                    <w:tl2br w:val="nil"/>
                    <w:tr2bl w:val="nil"/>
                  </w:tcBorders>
                  <w:vAlign w:val="center"/>
                </w:tcPr>
                <w:p w14:paraId="1DAA3FBA">
                  <w:pPr>
                    <w:spacing w:line="240" w:lineRule="auto"/>
                    <w:ind w:firstLine="0" w:firstLineChars="0"/>
                    <w:jc w:val="center"/>
                    <w:rPr>
                      <w:color w:val="000000" w:themeColor="text1"/>
                      <w:sz w:val="21"/>
                      <w:szCs w:val="21"/>
                    </w:rPr>
                  </w:pPr>
                  <w:r>
                    <w:rPr>
                      <w:color w:val="000000" w:themeColor="text1"/>
                      <w:sz w:val="21"/>
                      <w:szCs w:val="21"/>
                    </w:rPr>
                    <w:t>皮肤接触</w:t>
                  </w:r>
                </w:p>
              </w:tc>
              <w:tc>
                <w:tcPr>
                  <w:tcW w:w="3419" w:type="pct"/>
                  <w:tcBorders>
                    <w:tl2br w:val="nil"/>
                    <w:tr2bl w:val="nil"/>
                  </w:tcBorders>
                  <w:vAlign w:val="center"/>
                </w:tcPr>
                <w:p w14:paraId="7FFE1606">
                  <w:pPr>
                    <w:spacing w:line="240" w:lineRule="auto"/>
                    <w:ind w:firstLine="0" w:firstLineChars="0"/>
                    <w:jc w:val="center"/>
                    <w:rPr>
                      <w:color w:val="000000" w:themeColor="text1"/>
                      <w:sz w:val="21"/>
                      <w:szCs w:val="21"/>
                    </w:rPr>
                  </w:pPr>
                  <w:r>
                    <w:rPr>
                      <w:color w:val="000000" w:themeColor="text1"/>
                      <w:sz w:val="21"/>
                      <w:szCs w:val="21"/>
                    </w:rPr>
                    <w:t>脱去污染的衣着，用大量流动清水冲洗</w:t>
                  </w:r>
                </w:p>
              </w:tc>
            </w:tr>
            <w:tr w14:paraId="47ECC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5ADBCB8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07FB70B5">
                  <w:pPr>
                    <w:spacing w:line="240" w:lineRule="auto"/>
                    <w:ind w:firstLine="0" w:firstLineChars="0"/>
                    <w:jc w:val="center"/>
                    <w:rPr>
                      <w:color w:val="000000" w:themeColor="text1"/>
                      <w:sz w:val="21"/>
                      <w:szCs w:val="21"/>
                    </w:rPr>
                  </w:pPr>
                  <w:r>
                    <w:rPr>
                      <w:color w:val="000000" w:themeColor="text1"/>
                      <w:sz w:val="21"/>
                      <w:szCs w:val="21"/>
                    </w:rPr>
                    <w:t>眼睛接触</w:t>
                  </w:r>
                </w:p>
              </w:tc>
              <w:tc>
                <w:tcPr>
                  <w:tcW w:w="3419" w:type="pct"/>
                  <w:tcBorders>
                    <w:tl2br w:val="nil"/>
                    <w:tr2bl w:val="nil"/>
                  </w:tcBorders>
                  <w:vAlign w:val="center"/>
                </w:tcPr>
                <w:p w14:paraId="3A0CF036">
                  <w:pPr>
                    <w:spacing w:line="240" w:lineRule="auto"/>
                    <w:ind w:firstLine="0" w:firstLineChars="0"/>
                    <w:jc w:val="center"/>
                    <w:rPr>
                      <w:color w:val="000000" w:themeColor="text1"/>
                      <w:sz w:val="21"/>
                      <w:szCs w:val="21"/>
                    </w:rPr>
                  </w:pPr>
                  <w:r>
                    <w:rPr>
                      <w:color w:val="000000" w:themeColor="text1"/>
                      <w:sz w:val="21"/>
                      <w:szCs w:val="21"/>
                    </w:rPr>
                    <w:t>提起眼睑，用流动清水或生理盐水冲洗</w:t>
                  </w:r>
                </w:p>
              </w:tc>
            </w:tr>
            <w:tr w14:paraId="57953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660A253">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EBB34BB">
                  <w:pPr>
                    <w:spacing w:line="240" w:lineRule="auto"/>
                    <w:ind w:firstLine="0" w:firstLineChars="0"/>
                    <w:jc w:val="center"/>
                    <w:rPr>
                      <w:color w:val="000000" w:themeColor="text1"/>
                      <w:sz w:val="21"/>
                      <w:szCs w:val="21"/>
                    </w:rPr>
                  </w:pPr>
                  <w:r>
                    <w:rPr>
                      <w:color w:val="000000" w:themeColor="text1"/>
                      <w:sz w:val="21"/>
                      <w:szCs w:val="21"/>
                    </w:rPr>
                    <w:t>吸入</w:t>
                  </w:r>
                </w:p>
              </w:tc>
              <w:tc>
                <w:tcPr>
                  <w:tcW w:w="3419" w:type="pct"/>
                  <w:tcBorders>
                    <w:tl2br w:val="nil"/>
                    <w:tr2bl w:val="nil"/>
                  </w:tcBorders>
                  <w:vAlign w:val="center"/>
                </w:tcPr>
                <w:p w14:paraId="538757E0">
                  <w:pPr>
                    <w:spacing w:line="240" w:lineRule="auto"/>
                    <w:ind w:firstLine="0" w:firstLineChars="0"/>
                    <w:jc w:val="center"/>
                    <w:rPr>
                      <w:color w:val="000000" w:themeColor="text1"/>
                      <w:sz w:val="21"/>
                      <w:szCs w:val="21"/>
                    </w:rPr>
                  </w:pPr>
                  <w:r>
                    <w:rPr>
                      <w:color w:val="000000" w:themeColor="text1"/>
                      <w:sz w:val="21"/>
                      <w:szCs w:val="21"/>
                    </w:rPr>
                    <w:t>迅速脱离现场至空气新鲜处</w:t>
                  </w:r>
                </w:p>
              </w:tc>
            </w:tr>
            <w:tr w14:paraId="2DE24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01F676C0">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BDB1A29">
                  <w:pPr>
                    <w:spacing w:line="240" w:lineRule="auto"/>
                    <w:ind w:firstLine="0" w:firstLineChars="0"/>
                    <w:jc w:val="center"/>
                    <w:rPr>
                      <w:color w:val="000000" w:themeColor="text1"/>
                      <w:sz w:val="21"/>
                      <w:szCs w:val="21"/>
                    </w:rPr>
                  </w:pPr>
                  <w:r>
                    <w:rPr>
                      <w:color w:val="000000" w:themeColor="text1"/>
                      <w:sz w:val="21"/>
                      <w:szCs w:val="21"/>
                    </w:rPr>
                    <w:t>食入</w:t>
                  </w:r>
                </w:p>
              </w:tc>
              <w:tc>
                <w:tcPr>
                  <w:tcW w:w="3419" w:type="pct"/>
                  <w:tcBorders>
                    <w:tl2br w:val="nil"/>
                    <w:tr2bl w:val="nil"/>
                  </w:tcBorders>
                  <w:vAlign w:val="center"/>
                </w:tcPr>
                <w:p w14:paraId="6F7DFC9B">
                  <w:pPr>
                    <w:spacing w:line="240" w:lineRule="auto"/>
                    <w:ind w:firstLine="0" w:firstLineChars="0"/>
                    <w:jc w:val="center"/>
                    <w:rPr>
                      <w:color w:val="000000" w:themeColor="text1"/>
                      <w:sz w:val="21"/>
                      <w:szCs w:val="21"/>
                    </w:rPr>
                  </w:pPr>
                  <w:r>
                    <w:rPr>
                      <w:color w:val="000000" w:themeColor="text1"/>
                      <w:sz w:val="21"/>
                      <w:szCs w:val="21"/>
                    </w:rPr>
                    <w:t>饮足量温水，催吐</w:t>
                  </w:r>
                </w:p>
              </w:tc>
            </w:tr>
            <w:tr w14:paraId="6487F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5C7A710B">
                  <w:pPr>
                    <w:spacing w:line="240" w:lineRule="auto"/>
                    <w:ind w:firstLine="0" w:firstLineChars="0"/>
                    <w:jc w:val="center"/>
                    <w:rPr>
                      <w:color w:val="000000" w:themeColor="text1"/>
                      <w:sz w:val="21"/>
                      <w:szCs w:val="21"/>
                    </w:rPr>
                  </w:pPr>
                  <w:r>
                    <w:rPr>
                      <w:color w:val="000000" w:themeColor="text1"/>
                      <w:sz w:val="21"/>
                      <w:szCs w:val="21"/>
                    </w:rPr>
                    <w:t>燃爆特性与消防</w:t>
                  </w:r>
                </w:p>
              </w:tc>
              <w:tc>
                <w:tcPr>
                  <w:tcW w:w="988" w:type="pct"/>
                  <w:tcBorders>
                    <w:tl2br w:val="nil"/>
                    <w:tr2bl w:val="nil"/>
                  </w:tcBorders>
                  <w:vAlign w:val="center"/>
                </w:tcPr>
                <w:p w14:paraId="5B66C0B0">
                  <w:pPr>
                    <w:spacing w:line="240" w:lineRule="auto"/>
                    <w:ind w:firstLine="0" w:firstLineChars="0"/>
                    <w:jc w:val="center"/>
                    <w:rPr>
                      <w:color w:val="000000" w:themeColor="text1"/>
                      <w:sz w:val="21"/>
                      <w:szCs w:val="21"/>
                    </w:rPr>
                  </w:pPr>
                  <w:r>
                    <w:rPr>
                      <w:color w:val="000000" w:themeColor="text1"/>
                      <w:sz w:val="21"/>
                      <w:szCs w:val="21"/>
                    </w:rPr>
                    <w:t>危险特性</w:t>
                  </w:r>
                </w:p>
              </w:tc>
              <w:tc>
                <w:tcPr>
                  <w:tcW w:w="3419" w:type="pct"/>
                  <w:tcBorders>
                    <w:tl2br w:val="nil"/>
                    <w:tr2bl w:val="nil"/>
                  </w:tcBorders>
                  <w:vAlign w:val="center"/>
                </w:tcPr>
                <w:p w14:paraId="05919610">
                  <w:pPr>
                    <w:spacing w:line="240" w:lineRule="auto"/>
                    <w:ind w:firstLine="0" w:firstLineChars="0"/>
                    <w:jc w:val="center"/>
                    <w:rPr>
                      <w:color w:val="000000" w:themeColor="text1"/>
                      <w:sz w:val="21"/>
                      <w:szCs w:val="21"/>
                    </w:rPr>
                  </w:pPr>
                  <w:r>
                    <w:rPr>
                      <w:color w:val="000000" w:themeColor="text1"/>
                      <w:sz w:val="21"/>
                      <w:szCs w:val="21"/>
                    </w:rPr>
                    <w:t>遇明火、高热能引起燃烧</w:t>
                  </w:r>
                </w:p>
              </w:tc>
            </w:tr>
            <w:tr w14:paraId="5F5B6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17BC55D">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DB03CD1">
                  <w:pPr>
                    <w:spacing w:line="240" w:lineRule="auto"/>
                    <w:ind w:firstLine="0" w:firstLineChars="0"/>
                    <w:jc w:val="center"/>
                    <w:rPr>
                      <w:color w:val="000000" w:themeColor="text1"/>
                      <w:sz w:val="21"/>
                      <w:szCs w:val="21"/>
                    </w:rPr>
                  </w:pPr>
                  <w:r>
                    <w:rPr>
                      <w:color w:val="000000" w:themeColor="text1"/>
                      <w:sz w:val="21"/>
                      <w:szCs w:val="21"/>
                    </w:rPr>
                    <w:t>有害燃烧产物</w:t>
                  </w:r>
                </w:p>
              </w:tc>
              <w:tc>
                <w:tcPr>
                  <w:tcW w:w="3419" w:type="pct"/>
                  <w:tcBorders>
                    <w:tl2br w:val="nil"/>
                    <w:tr2bl w:val="nil"/>
                  </w:tcBorders>
                  <w:vAlign w:val="center"/>
                </w:tcPr>
                <w:p w14:paraId="07956F5A">
                  <w:pPr>
                    <w:spacing w:line="240" w:lineRule="auto"/>
                    <w:ind w:firstLine="0" w:firstLineChars="0"/>
                    <w:jc w:val="center"/>
                    <w:rPr>
                      <w:color w:val="000000" w:themeColor="text1"/>
                      <w:sz w:val="21"/>
                      <w:szCs w:val="21"/>
                    </w:rPr>
                  </w:pPr>
                  <w:r>
                    <w:rPr>
                      <w:color w:val="000000" w:themeColor="text1"/>
                      <w:sz w:val="21"/>
                      <w:szCs w:val="21"/>
                    </w:rPr>
                    <w:t>一氧化碳、二氧化碳</w:t>
                  </w:r>
                </w:p>
              </w:tc>
            </w:tr>
            <w:tr w14:paraId="329AF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41B13BF1">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48DF71D9">
                  <w:pPr>
                    <w:spacing w:line="240" w:lineRule="auto"/>
                    <w:ind w:firstLine="0" w:firstLineChars="0"/>
                    <w:jc w:val="center"/>
                    <w:rPr>
                      <w:color w:val="000000" w:themeColor="text1"/>
                      <w:sz w:val="21"/>
                      <w:szCs w:val="21"/>
                    </w:rPr>
                  </w:pPr>
                  <w:r>
                    <w:rPr>
                      <w:color w:val="000000" w:themeColor="text1"/>
                      <w:sz w:val="21"/>
                      <w:szCs w:val="21"/>
                    </w:rPr>
                    <w:t>灭火方法</w:t>
                  </w:r>
                </w:p>
              </w:tc>
              <w:tc>
                <w:tcPr>
                  <w:tcW w:w="3419" w:type="pct"/>
                  <w:tcBorders>
                    <w:tl2br w:val="nil"/>
                    <w:tr2bl w:val="nil"/>
                  </w:tcBorders>
                  <w:vAlign w:val="center"/>
                </w:tcPr>
                <w:p w14:paraId="79DDC318">
                  <w:pPr>
                    <w:spacing w:line="240" w:lineRule="auto"/>
                    <w:ind w:firstLine="0" w:firstLineChars="0"/>
                    <w:jc w:val="center"/>
                    <w:rPr>
                      <w:color w:val="000000" w:themeColor="text1"/>
                      <w:sz w:val="21"/>
                      <w:szCs w:val="21"/>
                    </w:rPr>
                  </w:pPr>
                  <w:r>
                    <w:rPr>
                      <w:color w:val="000000" w:themeColor="text1"/>
                      <w:sz w:val="21"/>
                      <w:szCs w:val="21"/>
                    </w:rPr>
                    <w:t>消防人员需佩戴防毒面具、穿全身消防服，在上风向灭火。尽可能将容器从火场移至空旷处。喷水保持火场容器冷却，直至灭火结束</w:t>
                  </w:r>
                </w:p>
              </w:tc>
            </w:tr>
            <w:tr w14:paraId="71A87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73E6E5C">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58AEEF01">
                  <w:pPr>
                    <w:spacing w:line="240" w:lineRule="auto"/>
                    <w:ind w:firstLine="0" w:firstLineChars="0"/>
                    <w:jc w:val="center"/>
                    <w:rPr>
                      <w:color w:val="000000" w:themeColor="text1"/>
                      <w:sz w:val="21"/>
                      <w:szCs w:val="21"/>
                    </w:rPr>
                  </w:pPr>
                  <w:r>
                    <w:rPr>
                      <w:color w:val="000000" w:themeColor="text1"/>
                      <w:sz w:val="21"/>
                      <w:szCs w:val="21"/>
                    </w:rPr>
                    <w:t>灭火剂</w:t>
                  </w:r>
                </w:p>
              </w:tc>
              <w:tc>
                <w:tcPr>
                  <w:tcW w:w="3419" w:type="pct"/>
                  <w:tcBorders>
                    <w:tl2br w:val="nil"/>
                    <w:tr2bl w:val="nil"/>
                  </w:tcBorders>
                  <w:vAlign w:val="center"/>
                </w:tcPr>
                <w:p w14:paraId="1DB41414">
                  <w:pPr>
                    <w:spacing w:line="240" w:lineRule="auto"/>
                    <w:ind w:firstLine="0" w:firstLineChars="0"/>
                    <w:jc w:val="center"/>
                    <w:rPr>
                      <w:color w:val="000000" w:themeColor="text1"/>
                      <w:sz w:val="21"/>
                      <w:szCs w:val="21"/>
                    </w:rPr>
                  </w:pPr>
                  <w:r>
                    <w:rPr>
                      <w:color w:val="000000" w:themeColor="text1"/>
                      <w:sz w:val="21"/>
                      <w:szCs w:val="21"/>
                    </w:rPr>
                    <w:t>泡沫、干粉、二氧化碳、砂土扑救</w:t>
                  </w:r>
                </w:p>
              </w:tc>
            </w:tr>
            <w:tr w14:paraId="5EFA8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tcBorders>
                    <w:tl2br w:val="nil"/>
                    <w:tr2bl w:val="nil"/>
                  </w:tcBorders>
                  <w:vAlign w:val="center"/>
                </w:tcPr>
                <w:p w14:paraId="527ADCA5">
                  <w:pPr>
                    <w:spacing w:line="240" w:lineRule="auto"/>
                    <w:ind w:firstLine="0" w:firstLineChars="0"/>
                    <w:jc w:val="center"/>
                    <w:rPr>
                      <w:color w:val="000000" w:themeColor="text1"/>
                      <w:sz w:val="21"/>
                      <w:szCs w:val="21"/>
                    </w:rPr>
                  </w:pPr>
                  <w:r>
                    <w:rPr>
                      <w:color w:val="000000" w:themeColor="text1"/>
                      <w:sz w:val="21"/>
                      <w:szCs w:val="21"/>
                    </w:rPr>
                    <w:t>泄漏应急处理</w:t>
                  </w:r>
                </w:p>
              </w:tc>
              <w:tc>
                <w:tcPr>
                  <w:tcW w:w="988" w:type="pct"/>
                  <w:tcBorders>
                    <w:tl2br w:val="nil"/>
                    <w:tr2bl w:val="nil"/>
                  </w:tcBorders>
                  <w:vAlign w:val="center"/>
                </w:tcPr>
                <w:p w14:paraId="23E5D31C">
                  <w:pPr>
                    <w:spacing w:line="240" w:lineRule="auto"/>
                    <w:ind w:firstLine="0" w:firstLineChars="0"/>
                    <w:jc w:val="center"/>
                    <w:rPr>
                      <w:color w:val="000000" w:themeColor="text1"/>
                      <w:sz w:val="21"/>
                      <w:szCs w:val="21"/>
                    </w:rPr>
                  </w:pPr>
                  <w:r>
                    <w:rPr>
                      <w:color w:val="000000" w:themeColor="text1"/>
                      <w:sz w:val="21"/>
                      <w:szCs w:val="21"/>
                    </w:rPr>
                    <w:t>应急处理</w:t>
                  </w:r>
                </w:p>
              </w:tc>
              <w:tc>
                <w:tcPr>
                  <w:tcW w:w="3419" w:type="pct"/>
                  <w:tcBorders>
                    <w:tl2br w:val="nil"/>
                    <w:tr2bl w:val="nil"/>
                  </w:tcBorders>
                  <w:vAlign w:val="center"/>
                </w:tcPr>
                <w:p w14:paraId="018454F9">
                  <w:pPr>
                    <w:spacing w:line="240" w:lineRule="auto"/>
                    <w:ind w:firstLine="0" w:firstLineChars="0"/>
                    <w:jc w:val="center"/>
                    <w:rPr>
                      <w:color w:val="000000" w:themeColor="text1"/>
                      <w:sz w:val="21"/>
                      <w:szCs w:val="21"/>
                    </w:rPr>
                  </w:pPr>
                  <w:r>
                    <w:rPr>
                      <w:color w:val="000000" w:themeColor="text1"/>
                      <w:sz w:val="21"/>
                      <w:szCs w:val="21"/>
                    </w:rPr>
                    <w:t>迅速撤离泄漏污染区人员至安全区，并进行隔离，严格限制出入，切断火源。建议应急处理人员戴自给式正压呼吸器，穿防毒服。尽可能切断泄漏源，防止流入下水道、排洪沟等限制性空间。小量泄漏：用砂土或其他不燃材料吸附或吸收。大量泄漏：构筑围堤或挖坑收容。</w:t>
                  </w:r>
                </w:p>
              </w:tc>
            </w:tr>
            <w:tr w14:paraId="7354F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29D578FF">
                  <w:pPr>
                    <w:spacing w:line="240" w:lineRule="auto"/>
                    <w:ind w:firstLine="0" w:firstLineChars="0"/>
                    <w:jc w:val="center"/>
                    <w:rPr>
                      <w:color w:val="000000" w:themeColor="text1"/>
                      <w:sz w:val="21"/>
                      <w:szCs w:val="21"/>
                    </w:rPr>
                  </w:pPr>
                  <w:r>
                    <w:rPr>
                      <w:color w:val="000000" w:themeColor="text1"/>
                      <w:sz w:val="21"/>
                      <w:szCs w:val="21"/>
                    </w:rPr>
                    <w:t>操作处置与储存</w:t>
                  </w:r>
                </w:p>
              </w:tc>
              <w:tc>
                <w:tcPr>
                  <w:tcW w:w="988" w:type="pct"/>
                  <w:tcBorders>
                    <w:tl2br w:val="nil"/>
                    <w:tr2bl w:val="nil"/>
                  </w:tcBorders>
                  <w:vAlign w:val="center"/>
                </w:tcPr>
                <w:p w14:paraId="0EC882F2">
                  <w:pPr>
                    <w:spacing w:line="240" w:lineRule="auto"/>
                    <w:ind w:firstLine="0" w:firstLineChars="0"/>
                    <w:jc w:val="center"/>
                    <w:rPr>
                      <w:color w:val="000000" w:themeColor="text1"/>
                      <w:sz w:val="21"/>
                      <w:szCs w:val="21"/>
                    </w:rPr>
                  </w:pPr>
                  <w:r>
                    <w:rPr>
                      <w:color w:val="000000" w:themeColor="text1"/>
                      <w:sz w:val="21"/>
                      <w:szCs w:val="21"/>
                    </w:rPr>
                    <w:t>搬运注意事项</w:t>
                  </w:r>
                </w:p>
              </w:tc>
              <w:tc>
                <w:tcPr>
                  <w:tcW w:w="3419" w:type="pct"/>
                  <w:tcBorders>
                    <w:tl2br w:val="nil"/>
                    <w:tr2bl w:val="nil"/>
                  </w:tcBorders>
                  <w:vAlign w:val="center"/>
                </w:tcPr>
                <w:p w14:paraId="340E3B2A">
                  <w:pPr>
                    <w:spacing w:line="240" w:lineRule="auto"/>
                    <w:ind w:firstLine="0" w:firstLineChars="0"/>
                    <w:jc w:val="center"/>
                    <w:rPr>
                      <w:color w:val="000000" w:themeColor="text1"/>
                      <w:sz w:val="21"/>
                      <w:szCs w:val="21"/>
                    </w:rPr>
                  </w:pPr>
                  <w:r>
                    <w:rPr>
                      <w:color w:val="000000" w:themeColor="text1"/>
                      <w:sz w:val="21"/>
                      <w:szCs w:val="21"/>
                    </w:rPr>
                    <w:t>避免撞击磕碰</w:t>
                  </w:r>
                </w:p>
              </w:tc>
            </w:tr>
            <w:tr w14:paraId="5AAA1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D61727D">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3CBFA93D">
                  <w:pPr>
                    <w:spacing w:line="240" w:lineRule="auto"/>
                    <w:ind w:firstLine="0" w:firstLineChars="0"/>
                    <w:jc w:val="center"/>
                    <w:rPr>
                      <w:color w:val="000000" w:themeColor="text1"/>
                      <w:sz w:val="21"/>
                      <w:szCs w:val="21"/>
                    </w:rPr>
                  </w:pPr>
                  <w:r>
                    <w:rPr>
                      <w:color w:val="000000" w:themeColor="text1"/>
                      <w:sz w:val="21"/>
                      <w:szCs w:val="21"/>
                    </w:rPr>
                    <w:t>储存注意事项</w:t>
                  </w:r>
                </w:p>
              </w:tc>
              <w:tc>
                <w:tcPr>
                  <w:tcW w:w="3419" w:type="pct"/>
                  <w:tcBorders>
                    <w:tl2br w:val="nil"/>
                    <w:tr2bl w:val="nil"/>
                  </w:tcBorders>
                  <w:vAlign w:val="center"/>
                </w:tcPr>
                <w:p w14:paraId="003C1E0C">
                  <w:pPr>
                    <w:spacing w:line="240" w:lineRule="auto"/>
                    <w:ind w:firstLine="0" w:firstLineChars="0"/>
                    <w:jc w:val="center"/>
                    <w:rPr>
                      <w:color w:val="000000" w:themeColor="text1"/>
                      <w:sz w:val="21"/>
                      <w:szCs w:val="21"/>
                    </w:rPr>
                  </w:pPr>
                  <w:r>
                    <w:rPr>
                      <w:color w:val="000000" w:themeColor="text1"/>
                      <w:sz w:val="21"/>
                      <w:szCs w:val="21"/>
                    </w:rPr>
                    <w:t>常温下室内储存，如露天存放需有遮阳防雨措施</w:t>
                  </w:r>
                </w:p>
              </w:tc>
            </w:tr>
            <w:tr w14:paraId="249CC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309EFBA1">
                  <w:pPr>
                    <w:spacing w:line="240" w:lineRule="auto"/>
                    <w:ind w:firstLine="0" w:firstLineChars="0"/>
                    <w:jc w:val="center"/>
                    <w:rPr>
                      <w:color w:val="000000" w:themeColor="text1"/>
                      <w:sz w:val="21"/>
                      <w:szCs w:val="21"/>
                    </w:rPr>
                  </w:pPr>
                  <w:r>
                    <w:rPr>
                      <w:color w:val="000000" w:themeColor="text1"/>
                      <w:sz w:val="21"/>
                      <w:szCs w:val="21"/>
                    </w:rPr>
                    <w:t>理化性质</w:t>
                  </w:r>
                </w:p>
              </w:tc>
              <w:tc>
                <w:tcPr>
                  <w:tcW w:w="988" w:type="pct"/>
                  <w:tcBorders>
                    <w:tl2br w:val="nil"/>
                    <w:tr2bl w:val="nil"/>
                  </w:tcBorders>
                  <w:vAlign w:val="center"/>
                </w:tcPr>
                <w:p w14:paraId="2B6AFFC2">
                  <w:pPr>
                    <w:spacing w:line="240" w:lineRule="auto"/>
                    <w:ind w:firstLine="0" w:firstLineChars="0"/>
                    <w:jc w:val="center"/>
                    <w:rPr>
                      <w:color w:val="000000" w:themeColor="text1"/>
                      <w:sz w:val="21"/>
                      <w:szCs w:val="21"/>
                    </w:rPr>
                  </w:pPr>
                  <w:r>
                    <w:rPr>
                      <w:color w:val="000000" w:themeColor="text1"/>
                      <w:sz w:val="21"/>
                      <w:szCs w:val="21"/>
                    </w:rPr>
                    <w:t>外观与性状</w:t>
                  </w:r>
                </w:p>
              </w:tc>
              <w:tc>
                <w:tcPr>
                  <w:tcW w:w="3419" w:type="pct"/>
                  <w:tcBorders>
                    <w:tl2br w:val="nil"/>
                    <w:tr2bl w:val="nil"/>
                  </w:tcBorders>
                  <w:vAlign w:val="center"/>
                </w:tcPr>
                <w:p w14:paraId="1A5DD511">
                  <w:pPr>
                    <w:spacing w:line="240" w:lineRule="auto"/>
                    <w:ind w:firstLine="0" w:firstLineChars="0"/>
                    <w:jc w:val="center"/>
                    <w:rPr>
                      <w:color w:val="000000" w:themeColor="text1"/>
                      <w:sz w:val="21"/>
                      <w:szCs w:val="21"/>
                    </w:rPr>
                  </w:pPr>
                  <w:r>
                    <w:rPr>
                      <w:color w:val="000000" w:themeColor="text1"/>
                      <w:sz w:val="21"/>
                      <w:szCs w:val="21"/>
                    </w:rPr>
                    <w:t>淡黄色液体</w:t>
                  </w:r>
                </w:p>
              </w:tc>
            </w:tr>
            <w:tr w14:paraId="66FB0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8647788">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65BFB931">
                  <w:pPr>
                    <w:spacing w:line="240" w:lineRule="auto"/>
                    <w:ind w:firstLine="0" w:firstLineChars="0"/>
                    <w:jc w:val="center"/>
                    <w:rPr>
                      <w:color w:val="000000" w:themeColor="text1"/>
                      <w:sz w:val="21"/>
                      <w:szCs w:val="21"/>
                    </w:rPr>
                  </w:pPr>
                  <w:r>
                    <w:rPr>
                      <w:color w:val="000000" w:themeColor="text1"/>
                      <w:sz w:val="21"/>
                      <w:szCs w:val="21"/>
                    </w:rPr>
                    <w:t>相对密度（水=1）</w:t>
                  </w:r>
                </w:p>
              </w:tc>
              <w:tc>
                <w:tcPr>
                  <w:tcW w:w="3419" w:type="pct"/>
                  <w:tcBorders>
                    <w:tl2br w:val="nil"/>
                    <w:tr2bl w:val="nil"/>
                  </w:tcBorders>
                  <w:vAlign w:val="center"/>
                </w:tcPr>
                <w:p w14:paraId="4971C7FD">
                  <w:pPr>
                    <w:spacing w:line="240" w:lineRule="auto"/>
                    <w:ind w:firstLine="0" w:firstLineChars="0"/>
                    <w:jc w:val="center"/>
                    <w:rPr>
                      <w:color w:val="000000" w:themeColor="text1"/>
                      <w:sz w:val="21"/>
                      <w:szCs w:val="21"/>
                    </w:rPr>
                  </w:pPr>
                  <w:r>
                    <w:rPr>
                      <w:color w:val="000000" w:themeColor="text1"/>
                      <w:sz w:val="21"/>
                      <w:szCs w:val="21"/>
                    </w:rPr>
                    <w:t>0.8710</w:t>
                  </w:r>
                </w:p>
              </w:tc>
            </w:tr>
            <w:tr w14:paraId="63EB5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AD82D5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1D1E1B66">
                  <w:pPr>
                    <w:spacing w:line="240" w:lineRule="auto"/>
                    <w:ind w:firstLine="0" w:firstLineChars="0"/>
                    <w:jc w:val="center"/>
                    <w:rPr>
                      <w:color w:val="000000" w:themeColor="text1"/>
                      <w:sz w:val="21"/>
                      <w:szCs w:val="21"/>
                    </w:rPr>
                  </w:pPr>
                  <w:r>
                    <w:rPr>
                      <w:color w:val="000000" w:themeColor="text1"/>
                      <w:sz w:val="21"/>
                      <w:szCs w:val="21"/>
                    </w:rPr>
                    <w:t>闪点（℃）</w:t>
                  </w:r>
                </w:p>
              </w:tc>
              <w:tc>
                <w:tcPr>
                  <w:tcW w:w="3419" w:type="pct"/>
                  <w:tcBorders>
                    <w:tl2br w:val="nil"/>
                    <w:tr2bl w:val="nil"/>
                  </w:tcBorders>
                  <w:vAlign w:val="center"/>
                </w:tcPr>
                <w:p w14:paraId="344FD9D8">
                  <w:pPr>
                    <w:spacing w:line="240" w:lineRule="auto"/>
                    <w:ind w:firstLine="0" w:firstLineChars="0"/>
                    <w:jc w:val="center"/>
                    <w:rPr>
                      <w:color w:val="000000" w:themeColor="text1"/>
                      <w:sz w:val="21"/>
                      <w:szCs w:val="21"/>
                    </w:rPr>
                  </w:pPr>
                  <w:r>
                    <w:rPr>
                      <w:color w:val="000000" w:themeColor="text1"/>
                      <w:sz w:val="21"/>
                      <w:szCs w:val="21"/>
                    </w:rPr>
                    <w:t>224</w:t>
                  </w:r>
                </w:p>
              </w:tc>
            </w:tr>
            <w:tr w14:paraId="215B6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7A92F45E">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350CBB92">
                  <w:pPr>
                    <w:spacing w:line="240" w:lineRule="auto"/>
                    <w:ind w:firstLine="0" w:firstLineChars="0"/>
                    <w:jc w:val="center"/>
                    <w:rPr>
                      <w:color w:val="000000" w:themeColor="text1"/>
                      <w:sz w:val="21"/>
                      <w:szCs w:val="21"/>
                    </w:rPr>
                  </w:pPr>
                  <w:r>
                    <w:rPr>
                      <w:color w:val="000000" w:themeColor="text1"/>
                      <w:sz w:val="21"/>
                      <w:szCs w:val="21"/>
                    </w:rPr>
                    <w:t>引燃温度（℃）</w:t>
                  </w:r>
                </w:p>
              </w:tc>
              <w:tc>
                <w:tcPr>
                  <w:tcW w:w="3419" w:type="pct"/>
                  <w:tcBorders>
                    <w:tl2br w:val="nil"/>
                    <w:tr2bl w:val="nil"/>
                  </w:tcBorders>
                  <w:vAlign w:val="center"/>
                </w:tcPr>
                <w:p w14:paraId="4EC7888F">
                  <w:pPr>
                    <w:spacing w:line="240" w:lineRule="auto"/>
                    <w:ind w:firstLine="0" w:firstLineChars="0"/>
                    <w:jc w:val="center"/>
                    <w:rPr>
                      <w:color w:val="000000" w:themeColor="text1"/>
                      <w:sz w:val="21"/>
                      <w:szCs w:val="21"/>
                    </w:rPr>
                  </w:pPr>
                  <w:r>
                    <w:rPr>
                      <w:color w:val="000000" w:themeColor="text1"/>
                      <w:sz w:val="21"/>
                      <w:szCs w:val="21"/>
                    </w:rPr>
                    <w:t>220-500</w:t>
                  </w:r>
                </w:p>
              </w:tc>
            </w:tr>
            <w:tr w14:paraId="706C5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21977D2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48248D76">
                  <w:pPr>
                    <w:spacing w:line="240" w:lineRule="auto"/>
                    <w:ind w:firstLine="0" w:firstLineChars="0"/>
                    <w:jc w:val="center"/>
                    <w:rPr>
                      <w:color w:val="000000" w:themeColor="text1"/>
                      <w:sz w:val="21"/>
                      <w:szCs w:val="21"/>
                    </w:rPr>
                  </w:pPr>
                  <w:r>
                    <w:rPr>
                      <w:color w:val="000000" w:themeColor="text1"/>
                      <w:sz w:val="21"/>
                      <w:szCs w:val="21"/>
                    </w:rPr>
                    <w:t>主要用途</w:t>
                  </w:r>
                </w:p>
              </w:tc>
              <w:tc>
                <w:tcPr>
                  <w:tcW w:w="3419" w:type="pct"/>
                  <w:tcBorders>
                    <w:tl2br w:val="nil"/>
                    <w:tr2bl w:val="nil"/>
                  </w:tcBorders>
                  <w:vAlign w:val="center"/>
                </w:tcPr>
                <w:p w14:paraId="250BD2CE">
                  <w:pPr>
                    <w:spacing w:line="240" w:lineRule="auto"/>
                    <w:ind w:firstLine="0" w:firstLineChars="0"/>
                    <w:jc w:val="center"/>
                    <w:rPr>
                      <w:color w:val="000000" w:themeColor="text1"/>
                      <w:sz w:val="21"/>
                      <w:szCs w:val="21"/>
                    </w:rPr>
                  </w:pPr>
                  <w:r>
                    <w:rPr>
                      <w:color w:val="000000" w:themeColor="text1"/>
                      <w:sz w:val="21"/>
                      <w:szCs w:val="21"/>
                    </w:rPr>
                    <w:t>适用于液压系统润滑</w:t>
                  </w:r>
                </w:p>
              </w:tc>
            </w:tr>
            <w:tr w14:paraId="3301C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tcBorders>
                    <w:tl2br w:val="nil"/>
                    <w:tr2bl w:val="nil"/>
                  </w:tcBorders>
                  <w:vAlign w:val="center"/>
                </w:tcPr>
                <w:p w14:paraId="1BD4BC5F">
                  <w:pPr>
                    <w:spacing w:line="240" w:lineRule="auto"/>
                    <w:ind w:firstLine="0" w:firstLineChars="0"/>
                    <w:jc w:val="center"/>
                    <w:rPr>
                      <w:color w:val="000000" w:themeColor="text1"/>
                      <w:sz w:val="21"/>
                      <w:szCs w:val="21"/>
                    </w:rPr>
                  </w:pPr>
                  <w:r>
                    <w:rPr>
                      <w:color w:val="000000" w:themeColor="text1"/>
                      <w:sz w:val="21"/>
                      <w:szCs w:val="21"/>
                    </w:rPr>
                    <w:t>稳定性和化学特性</w:t>
                  </w:r>
                </w:p>
              </w:tc>
              <w:tc>
                <w:tcPr>
                  <w:tcW w:w="988" w:type="pct"/>
                  <w:tcBorders>
                    <w:tl2br w:val="nil"/>
                    <w:tr2bl w:val="nil"/>
                  </w:tcBorders>
                  <w:vAlign w:val="center"/>
                </w:tcPr>
                <w:p w14:paraId="0C46B816">
                  <w:pPr>
                    <w:spacing w:line="240" w:lineRule="auto"/>
                    <w:ind w:firstLine="0" w:firstLineChars="0"/>
                    <w:jc w:val="center"/>
                    <w:rPr>
                      <w:color w:val="000000" w:themeColor="text1"/>
                      <w:sz w:val="21"/>
                      <w:szCs w:val="21"/>
                    </w:rPr>
                  </w:pPr>
                  <w:r>
                    <w:rPr>
                      <w:color w:val="000000" w:themeColor="text1"/>
                      <w:sz w:val="21"/>
                      <w:szCs w:val="21"/>
                    </w:rPr>
                    <w:t>稳定性</w:t>
                  </w:r>
                </w:p>
              </w:tc>
              <w:tc>
                <w:tcPr>
                  <w:tcW w:w="3419" w:type="pct"/>
                  <w:tcBorders>
                    <w:tl2br w:val="nil"/>
                    <w:tr2bl w:val="nil"/>
                  </w:tcBorders>
                  <w:vAlign w:val="center"/>
                </w:tcPr>
                <w:p w14:paraId="5EE1E547">
                  <w:pPr>
                    <w:spacing w:line="240" w:lineRule="auto"/>
                    <w:ind w:firstLine="0" w:firstLineChars="0"/>
                    <w:jc w:val="center"/>
                    <w:rPr>
                      <w:color w:val="000000" w:themeColor="text1"/>
                      <w:sz w:val="21"/>
                      <w:szCs w:val="21"/>
                    </w:rPr>
                  </w:pPr>
                  <w:r>
                    <w:rPr>
                      <w:color w:val="000000" w:themeColor="text1"/>
                      <w:sz w:val="21"/>
                      <w:szCs w:val="21"/>
                    </w:rPr>
                    <w:t>稳定</w:t>
                  </w:r>
                </w:p>
              </w:tc>
            </w:tr>
            <w:tr w14:paraId="55950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3B4E48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5A2EF641">
                  <w:pPr>
                    <w:spacing w:line="240" w:lineRule="auto"/>
                    <w:ind w:firstLine="0" w:firstLineChars="0"/>
                    <w:jc w:val="center"/>
                    <w:rPr>
                      <w:color w:val="000000" w:themeColor="text1"/>
                      <w:sz w:val="21"/>
                      <w:szCs w:val="21"/>
                    </w:rPr>
                  </w:pPr>
                  <w:r>
                    <w:rPr>
                      <w:color w:val="000000" w:themeColor="text1"/>
                      <w:sz w:val="21"/>
                      <w:szCs w:val="21"/>
                    </w:rPr>
                    <w:t>避免接触条件</w:t>
                  </w:r>
                </w:p>
              </w:tc>
              <w:tc>
                <w:tcPr>
                  <w:tcW w:w="3419" w:type="pct"/>
                  <w:tcBorders>
                    <w:tl2br w:val="nil"/>
                    <w:tr2bl w:val="nil"/>
                  </w:tcBorders>
                  <w:vAlign w:val="center"/>
                </w:tcPr>
                <w:p w14:paraId="31EDE021">
                  <w:pPr>
                    <w:spacing w:line="240" w:lineRule="auto"/>
                    <w:ind w:firstLine="0" w:firstLineChars="0"/>
                    <w:jc w:val="center"/>
                    <w:rPr>
                      <w:color w:val="000000" w:themeColor="text1"/>
                      <w:sz w:val="21"/>
                      <w:szCs w:val="21"/>
                    </w:rPr>
                  </w:pPr>
                  <w:r>
                    <w:rPr>
                      <w:color w:val="000000" w:themeColor="text1"/>
                      <w:sz w:val="21"/>
                      <w:szCs w:val="21"/>
                    </w:rPr>
                    <w:t>明火、高热</w:t>
                  </w:r>
                </w:p>
              </w:tc>
            </w:tr>
            <w:tr w14:paraId="33557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5327DB04">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7CE246A8">
                  <w:pPr>
                    <w:spacing w:line="240" w:lineRule="auto"/>
                    <w:ind w:firstLine="0" w:firstLineChars="0"/>
                    <w:jc w:val="center"/>
                    <w:rPr>
                      <w:color w:val="000000" w:themeColor="text1"/>
                      <w:sz w:val="21"/>
                      <w:szCs w:val="21"/>
                    </w:rPr>
                  </w:pPr>
                  <w:r>
                    <w:rPr>
                      <w:color w:val="000000" w:themeColor="text1"/>
                      <w:sz w:val="21"/>
                      <w:szCs w:val="21"/>
                    </w:rPr>
                    <w:t>禁配物</w:t>
                  </w:r>
                </w:p>
              </w:tc>
              <w:tc>
                <w:tcPr>
                  <w:tcW w:w="3419" w:type="pct"/>
                  <w:tcBorders>
                    <w:tl2br w:val="nil"/>
                    <w:tr2bl w:val="nil"/>
                  </w:tcBorders>
                  <w:vAlign w:val="center"/>
                </w:tcPr>
                <w:p w14:paraId="70C81E58">
                  <w:pPr>
                    <w:spacing w:line="240" w:lineRule="auto"/>
                    <w:ind w:firstLine="0" w:firstLineChars="0"/>
                    <w:jc w:val="center"/>
                    <w:rPr>
                      <w:color w:val="000000" w:themeColor="text1"/>
                      <w:sz w:val="21"/>
                      <w:szCs w:val="21"/>
                    </w:rPr>
                  </w:pPr>
                  <w:r>
                    <w:rPr>
                      <w:color w:val="000000" w:themeColor="text1"/>
                      <w:sz w:val="21"/>
                      <w:szCs w:val="21"/>
                    </w:rPr>
                    <w:t>酸、碱及强氧化剂</w:t>
                  </w:r>
                </w:p>
              </w:tc>
            </w:tr>
            <w:tr w14:paraId="0C6B9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4F628E08">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0A1274B7">
                  <w:pPr>
                    <w:spacing w:line="240" w:lineRule="auto"/>
                    <w:ind w:firstLine="0" w:firstLineChars="0"/>
                    <w:jc w:val="center"/>
                    <w:rPr>
                      <w:color w:val="000000" w:themeColor="text1"/>
                      <w:sz w:val="21"/>
                      <w:szCs w:val="21"/>
                    </w:rPr>
                  </w:pPr>
                  <w:r>
                    <w:rPr>
                      <w:color w:val="000000" w:themeColor="text1"/>
                      <w:sz w:val="21"/>
                      <w:szCs w:val="21"/>
                    </w:rPr>
                    <w:t>分解产物</w:t>
                  </w:r>
                </w:p>
              </w:tc>
              <w:tc>
                <w:tcPr>
                  <w:tcW w:w="3419" w:type="pct"/>
                  <w:tcBorders>
                    <w:tl2br w:val="nil"/>
                    <w:tr2bl w:val="nil"/>
                  </w:tcBorders>
                  <w:vAlign w:val="center"/>
                </w:tcPr>
                <w:p w14:paraId="7AE64634">
                  <w:pPr>
                    <w:spacing w:line="240" w:lineRule="auto"/>
                    <w:ind w:firstLine="0" w:firstLineChars="0"/>
                    <w:jc w:val="center"/>
                    <w:rPr>
                      <w:color w:val="000000" w:themeColor="text1"/>
                      <w:sz w:val="21"/>
                      <w:szCs w:val="21"/>
                    </w:rPr>
                  </w:pPr>
                  <w:r>
                    <w:rPr>
                      <w:color w:val="000000" w:themeColor="text1"/>
                      <w:sz w:val="21"/>
                      <w:szCs w:val="21"/>
                    </w:rPr>
                    <w:t>常温环境下储存不分解</w:t>
                  </w:r>
                </w:p>
              </w:tc>
            </w:tr>
            <w:tr w14:paraId="1387F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tcBorders>
                    <w:tl2br w:val="nil"/>
                    <w:tr2bl w:val="nil"/>
                  </w:tcBorders>
                  <w:vAlign w:val="center"/>
                </w:tcPr>
                <w:p w14:paraId="15143499">
                  <w:pPr>
                    <w:spacing w:line="240" w:lineRule="auto"/>
                    <w:ind w:firstLine="0" w:firstLineChars="0"/>
                    <w:jc w:val="center"/>
                    <w:rPr>
                      <w:color w:val="000000" w:themeColor="text1"/>
                      <w:sz w:val="21"/>
                      <w:szCs w:val="21"/>
                    </w:rPr>
                  </w:pPr>
                </w:p>
              </w:tc>
              <w:tc>
                <w:tcPr>
                  <w:tcW w:w="988" w:type="pct"/>
                  <w:tcBorders>
                    <w:tl2br w:val="nil"/>
                    <w:tr2bl w:val="nil"/>
                  </w:tcBorders>
                  <w:vAlign w:val="center"/>
                </w:tcPr>
                <w:p w14:paraId="33C2755D">
                  <w:pPr>
                    <w:spacing w:line="240" w:lineRule="auto"/>
                    <w:ind w:firstLine="0" w:firstLineChars="0"/>
                    <w:jc w:val="center"/>
                    <w:rPr>
                      <w:color w:val="000000" w:themeColor="text1"/>
                      <w:sz w:val="21"/>
                      <w:szCs w:val="21"/>
                    </w:rPr>
                  </w:pPr>
                  <w:r>
                    <w:rPr>
                      <w:color w:val="000000" w:themeColor="text1"/>
                      <w:sz w:val="21"/>
                      <w:szCs w:val="21"/>
                    </w:rPr>
                    <w:t>聚合危害</w:t>
                  </w:r>
                </w:p>
              </w:tc>
              <w:tc>
                <w:tcPr>
                  <w:tcW w:w="3419" w:type="pct"/>
                  <w:tcBorders>
                    <w:tl2br w:val="nil"/>
                    <w:tr2bl w:val="nil"/>
                  </w:tcBorders>
                  <w:vAlign w:val="center"/>
                </w:tcPr>
                <w:p w14:paraId="33003222">
                  <w:pPr>
                    <w:spacing w:line="240" w:lineRule="auto"/>
                    <w:ind w:firstLine="0" w:firstLineChars="0"/>
                    <w:jc w:val="center"/>
                    <w:rPr>
                      <w:color w:val="000000" w:themeColor="text1"/>
                      <w:sz w:val="21"/>
                      <w:szCs w:val="21"/>
                    </w:rPr>
                  </w:pPr>
                  <w:r>
                    <w:rPr>
                      <w:color w:val="000000" w:themeColor="text1"/>
                      <w:sz w:val="21"/>
                      <w:szCs w:val="21"/>
                    </w:rPr>
                    <w:t>不会发生</w:t>
                  </w:r>
                </w:p>
              </w:tc>
            </w:tr>
          </w:tbl>
          <w:p w14:paraId="3F416245">
            <w:pPr>
              <w:ind w:left="480" w:leftChars="200" w:firstLine="0" w:firstLineChars="0"/>
              <w:rPr>
                <w:b/>
                <w:bCs/>
                <w:color w:val="000000" w:themeColor="text1"/>
              </w:rPr>
            </w:pPr>
            <w:r>
              <w:rPr>
                <w:rFonts w:hint="eastAsia"/>
                <w:b/>
                <w:bCs/>
                <w:color w:val="000000" w:themeColor="text1"/>
              </w:rPr>
              <w:t>7.2环境影响途径</w:t>
            </w:r>
          </w:p>
          <w:p w14:paraId="3BD0B306">
            <w:pPr>
              <w:ind w:firstLine="480"/>
              <w:rPr>
                <w:color w:val="000000" w:themeColor="text1"/>
              </w:rPr>
            </w:pPr>
            <w:r>
              <w:rPr>
                <w:color w:val="000000" w:themeColor="text1"/>
              </w:rPr>
              <w:t>本项目可能影响环境的途径为：</w:t>
            </w:r>
          </w:p>
          <w:p w14:paraId="5579F217">
            <w:pPr>
              <w:ind w:firstLine="480"/>
              <w:rPr>
                <w:color w:val="000000" w:themeColor="text1"/>
              </w:rPr>
            </w:pPr>
            <w:r>
              <w:rPr>
                <w:color w:val="000000" w:themeColor="text1"/>
              </w:rPr>
              <w:t>泄漏事故：</w:t>
            </w:r>
            <w:r>
              <w:rPr>
                <w:rFonts w:hint="eastAsia"/>
                <w:color w:val="000000" w:themeColor="text1"/>
              </w:rPr>
              <w:t>液压油、机油、润滑油、废液压油、废机油、废润滑油泄漏</w:t>
            </w:r>
            <w:r>
              <w:rPr>
                <w:color w:val="000000" w:themeColor="text1"/>
              </w:rPr>
              <w:t>主要为因碰撞、包装不合格、设备损坏等原因导致泄漏，并且未及时收集处理，导致风险物质在储存区、生产使用区及厂区地面溢流，</w:t>
            </w:r>
            <w:r>
              <w:rPr>
                <w:rFonts w:hint="eastAsia"/>
                <w:color w:val="000000" w:themeColor="text1"/>
              </w:rPr>
              <w:t>在地面防渗层破裂的情况下，</w:t>
            </w:r>
            <w:r>
              <w:rPr>
                <w:color w:val="000000" w:themeColor="text1"/>
              </w:rPr>
              <w:t>污染</w:t>
            </w:r>
            <w:r>
              <w:rPr>
                <w:rFonts w:hint="eastAsia"/>
                <w:color w:val="000000" w:themeColor="text1"/>
              </w:rPr>
              <w:t>土壤、</w:t>
            </w:r>
            <w:r>
              <w:rPr>
                <w:color w:val="000000" w:themeColor="text1"/>
              </w:rPr>
              <w:t>地下水；或于雨天发生泄漏，随雨水散排流出厂界，对外界环境造成影响。</w:t>
            </w:r>
          </w:p>
          <w:p w14:paraId="4EC9FB47">
            <w:pPr>
              <w:ind w:firstLine="480"/>
              <w:rPr>
                <w:color w:val="000000" w:themeColor="text1"/>
              </w:rPr>
            </w:pPr>
            <w:r>
              <w:rPr>
                <w:color w:val="000000" w:themeColor="text1"/>
              </w:rPr>
              <w:t>火灾事故次生环境风险事故：</w:t>
            </w:r>
            <w:r>
              <w:rPr>
                <w:rFonts w:hint="eastAsia"/>
                <w:color w:val="000000" w:themeColor="text1"/>
              </w:rPr>
              <w:t>油品泄漏遇明火或高热可能会发生火灾事故。</w:t>
            </w:r>
            <w:r>
              <w:rPr>
                <w:color w:val="000000" w:themeColor="text1"/>
              </w:rPr>
              <w:t>火灾事故对环境的危害主要为有毒烟雾和灭火过程中产生的消防废水散流造成的次生环境污染问题，同时消防水中携带了一定量的风险物质，若不能及时收集可能</w:t>
            </w:r>
            <w:r>
              <w:rPr>
                <w:rFonts w:hint="eastAsia"/>
                <w:color w:val="000000" w:themeColor="text1"/>
              </w:rPr>
              <w:t>进入厂区内雨水管网，从而影响园区雨水管网受纳水体</w:t>
            </w:r>
            <w:r>
              <w:rPr>
                <w:color w:val="000000" w:themeColor="text1"/>
              </w:rPr>
              <w:t>。</w:t>
            </w:r>
          </w:p>
          <w:p w14:paraId="0965FF6D">
            <w:pPr>
              <w:ind w:left="480" w:leftChars="200" w:firstLine="0" w:firstLineChars="0"/>
              <w:rPr>
                <w:b/>
                <w:bCs/>
                <w:color w:val="000000" w:themeColor="text1"/>
              </w:rPr>
            </w:pPr>
            <w:r>
              <w:rPr>
                <w:rFonts w:hint="eastAsia"/>
                <w:b/>
                <w:bCs/>
                <w:color w:val="000000" w:themeColor="text1"/>
              </w:rPr>
              <w:t>7.3环境风险分析</w:t>
            </w:r>
          </w:p>
          <w:p w14:paraId="673EBC6B">
            <w:pPr>
              <w:ind w:firstLine="480"/>
              <w:rPr>
                <w:color w:val="000000" w:themeColor="text1"/>
              </w:rPr>
            </w:pPr>
            <w:r>
              <w:rPr>
                <w:color w:val="000000" w:themeColor="text1"/>
              </w:rPr>
              <w:t>泄漏事故：风险物质在生产使用区及储存区泄漏时，生产使用区及储存区均设置防渗、防流失措施，</w:t>
            </w:r>
            <w:r>
              <w:rPr>
                <w:rFonts w:hint="eastAsia"/>
                <w:color w:val="000000" w:themeColor="text1"/>
              </w:rPr>
              <w:t>正常工况下</w:t>
            </w:r>
            <w:r>
              <w:rPr>
                <w:color w:val="000000" w:themeColor="text1"/>
              </w:rPr>
              <w:t>不会溢流出生产使用区及储存区，不会对外界环境产生影响</w:t>
            </w:r>
            <w:r>
              <w:rPr>
                <w:rFonts w:hint="eastAsia"/>
                <w:color w:val="000000" w:themeColor="text1"/>
              </w:rPr>
              <w:t>；非正常工况下，地面防渗层破裂，发生泄漏事故时泄漏液体下渗会对土壤及地下水造成影响，污染物的影响主要表现在垂向上污染物的扩散，水平方向上的扩散趋势甚微，而垂向上污染物的污染深度考虑包气带自身防护作用，污染物渗漏至土壤环境、地下水环境的量较少，对土壤、地下水的影响较小</w:t>
            </w:r>
            <w:r>
              <w:rPr>
                <w:color w:val="000000" w:themeColor="text1"/>
              </w:rPr>
              <w:t>。风险物质在厂区运输过程泄漏，泄漏量较小，基本能够将泄漏物围堵在厂区范围内，基本不会对外部水环境产生影响</w:t>
            </w:r>
            <w:r>
              <w:rPr>
                <w:rFonts w:hint="eastAsia"/>
                <w:color w:val="000000" w:themeColor="text1"/>
              </w:rPr>
              <w:t>。</w:t>
            </w:r>
          </w:p>
          <w:p w14:paraId="2096EE0C">
            <w:pPr>
              <w:ind w:firstLine="480"/>
              <w:rPr>
                <w:color w:val="000000" w:themeColor="text1"/>
              </w:rPr>
            </w:pPr>
            <w:r>
              <w:rPr>
                <w:rFonts w:hint="eastAsia"/>
                <w:color w:val="000000" w:themeColor="text1"/>
              </w:rPr>
              <w:t>火灾事故：</w:t>
            </w:r>
            <w:r>
              <w:rPr>
                <w:color w:val="000000" w:themeColor="text1"/>
              </w:rPr>
              <w:t>火灾本身是安全事故，但会产生消防废水，</w:t>
            </w:r>
            <w:r>
              <w:rPr>
                <w:rFonts w:hint="eastAsia"/>
                <w:color w:val="000000" w:themeColor="text1"/>
              </w:rPr>
              <w:t>厂区内雨水排放口设置切换装置，在火灾事故发生后及时将消防废水切换至园区污水管网，避免对园区雨水管网受纳水体产生不利影响</w:t>
            </w:r>
            <w:r>
              <w:rPr>
                <w:color w:val="000000" w:themeColor="text1"/>
              </w:rPr>
              <w:t>。</w:t>
            </w:r>
          </w:p>
          <w:p w14:paraId="7D135681">
            <w:pPr>
              <w:ind w:firstLine="482"/>
              <w:rPr>
                <w:color w:val="000000" w:themeColor="text1"/>
              </w:rPr>
            </w:pPr>
            <w:r>
              <w:rPr>
                <w:rFonts w:hint="eastAsia"/>
                <w:b/>
                <w:bCs/>
                <w:color w:val="000000" w:themeColor="text1"/>
              </w:rPr>
              <w:t>7.4环境风险防范措施及应急措施</w:t>
            </w:r>
          </w:p>
          <w:p w14:paraId="1A97BCB5">
            <w:pPr>
              <w:pStyle w:val="39"/>
              <w:ind w:firstLine="480"/>
              <w:rPr>
                <w:rFonts w:eastAsia="宋体"/>
                <w:color w:val="000000" w:themeColor="text1"/>
                <w:kern w:val="2"/>
                <w:szCs w:val="24"/>
              </w:rPr>
            </w:pPr>
            <w:r>
              <w:rPr>
                <w:rFonts w:eastAsia="宋体"/>
                <w:color w:val="000000" w:themeColor="text1"/>
                <w:kern w:val="2"/>
                <w:szCs w:val="24"/>
              </w:rPr>
              <w:t>（1）环境风险防范措施</w:t>
            </w:r>
          </w:p>
          <w:p w14:paraId="11D14749">
            <w:pPr>
              <w:pStyle w:val="39"/>
              <w:ind w:firstLine="480"/>
              <w:rPr>
                <w:rFonts w:eastAsia="宋体"/>
                <w:color w:val="000000" w:themeColor="text1"/>
                <w:kern w:val="2"/>
                <w:szCs w:val="24"/>
              </w:rPr>
            </w:pPr>
            <w:r>
              <w:rPr>
                <w:rFonts w:eastAsia="宋体"/>
                <w:color w:val="000000" w:themeColor="text1"/>
                <w:kern w:val="2"/>
                <w:szCs w:val="24"/>
              </w:rPr>
              <w:t>1）本项目</w:t>
            </w:r>
            <w:r>
              <w:rPr>
                <w:rFonts w:eastAsia="宋体"/>
                <w:color w:val="000000" w:themeColor="text1"/>
              </w:rPr>
              <w:t>液压油、机油、润滑油</w:t>
            </w:r>
            <w:r>
              <w:rPr>
                <w:rFonts w:eastAsia="宋体"/>
                <w:color w:val="000000" w:themeColor="text1"/>
                <w:kern w:val="2"/>
                <w:szCs w:val="24"/>
              </w:rPr>
              <w:t>密闭桶装储存于油品储存库，</w:t>
            </w:r>
            <w:r>
              <w:rPr>
                <w:rFonts w:eastAsia="宋体"/>
                <w:color w:val="000000" w:themeColor="text1"/>
              </w:rPr>
              <w:t>废液压油、废机油、废润滑油</w:t>
            </w:r>
            <w:r>
              <w:rPr>
                <w:rFonts w:eastAsia="宋体"/>
                <w:color w:val="000000" w:themeColor="text1"/>
                <w:kern w:val="2"/>
                <w:szCs w:val="24"/>
              </w:rPr>
              <w:t>桶装加盖储存于危废暂存间，</w:t>
            </w:r>
            <w:r>
              <w:rPr>
                <w:rFonts w:eastAsia="宋体"/>
                <w:color w:val="000000" w:themeColor="text1"/>
              </w:rPr>
              <w:t>液压油、机油、润滑油</w:t>
            </w:r>
            <w:r>
              <w:rPr>
                <w:rFonts w:eastAsia="宋体"/>
                <w:color w:val="000000" w:themeColor="text1"/>
                <w:kern w:val="2"/>
                <w:szCs w:val="24"/>
              </w:rPr>
              <w:t>及</w:t>
            </w:r>
            <w:r>
              <w:rPr>
                <w:rFonts w:eastAsia="宋体"/>
                <w:color w:val="000000" w:themeColor="text1"/>
              </w:rPr>
              <w:t>废液压油、废机油、废润滑油</w:t>
            </w:r>
            <w:r>
              <w:rPr>
                <w:rFonts w:eastAsia="宋体"/>
                <w:color w:val="000000" w:themeColor="text1"/>
                <w:kern w:val="2"/>
                <w:szCs w:val="24"/>
              </w:rPr>
              <w:t>储存区域下设托盘，油品储存库、危废暂存间均进行地面防渗，油品储存库</w:t>
            </w:r>
            <w:r>
              <w:rPr>
                <w:rFonts w:eastAsia="宋体"/>
                <w:color w:val="000000" w:themeColor="text1"/>
                <w:szCs w:val="24"/>
              </w:rPr>
              <w:t>渗透系数≤1.0×10</w:t>
            </w:r>
            <w:r>
              <w:rPr>
                <w:rFonts w:eastAsia="宋体"/>
                <w:color w:val="000000" w:themeColor="text1"/>
                <w:szCs w:val="24"/>
                <w:vertAlign w:val="superscript"/>
              </w:rPr>
              <w:t>-7</w:t>
            </w:r>
            <w:r>
              <w:rPr>
                <w:rFonts w:eastAsia="宋体"/>
                <w:color w:val="000000" w:themeColor="text1"/>
                <w:szCs w:val="24"/>
              </w:rPr>
              <w:t>cm/s，危废暂存间渗透系数≤1.0×10</w:t>
            </w:r>
            <w:r>
              <w:rPr>
                <w:rFonts w:eastAsia="宋体"/>
                <w:color w:val="000000" w:themeColor="text1"/>
                <w:szCs w:val="24"/>
                <w:vertAlign w:val="superscript"/>
              </w:rPr>
              <w:t>-10</w:t>
            </w:r>
            <w:r>
              <w:rPr>
                <w:rFonts w:eastAsia="宋体"/>
                <w:color w:val="000000" w:themeColor="text1"/>
                <w:szCs w:val="24"/>
              </w:rPr>
              <w:t>cm/s，且有截留设施，</w:t>
            </w:r>
            <w:r>
              <w:rPr>
                <w:rFonts w:eastAsia="宋体"/>
                <w:color w:val="000000" w:themeColor="text1"/>
                <w:kern w:val="2"/>
                <w:szCs w:val="24"/>
              </w:rPr>
              <w:t>如果发生泄漏事故，确保风险物质不会溢流出上述区域，避免对水环境、土壤环境造成影响。</w:t>
            </w:r>
          </w:p>
          <w:p w14:paraId="29FED080">
            <w:pPr>
              <w:pStyle w:val="39"/>
              <w:ind w:firstLine="480"/>
              <w:rPr>
                <w:rFonts w:eastAsia="宋体"/>
                <w:color w:val="000000" w:themeColor="text1"/>
                <w:spacing w:val="-8"/>
              </w:rPr>
            </w:pPr>
            <w:r>
              <w:rPr>
                <w:rFonts w:eastAsia="宋体"/>
                <w:color w:val="000000" w:themeColor="text1"/>
                <w:kern w:val="2"/>
                <w:szCs w:val="24"/>
              </w:rPr>
              <w:t>2）</w:t>
            </w:r>
            <w:r>
              <w:rPr>
                <w:rFonts w:eastAsia="宋体"/>
                <w:color w:val="000000" w:themeColor="text1"/>
                <w:spacing w:val="-8"/>
              </w:rPr>
              <w:t>成立环境应急处理领导小组，负责环境事故处理的指挥和调度工作。</w:t>
            </w:r>
          </w:p>
          <w:p w14:paraId="347E534D">
            <w:pPr>
              <w:pStyle w:val="39"/>
              <w:ind w:firstLine="448"/>
              <w:rPr>
                <w:rFonts w:eastAsia="宋体"/>
                <w:color w:val="000000" w:themeColor="text1"/>
                <w:kern w:val="2"/>
                <w:szCs w:val="24"/>
              </w:rPr>
            </w:pPr>
            <w:r>
              <w:rPr>
                <w:rFonts w:eastAsia="宋体"/>
                <w:color w:val="000000" w:themeColor="text1"/>
                <w:spacing w:val="-8"/>
              </w:rPr>
              <w:t>3）给应急队伍配备相关应急器具及劳保用品，应急器具及劳保用品在指定地点存放。</w:t>
            </w:r>
          </w:p>
          <w:p w14:paraId="70E8B703">
            <w:pPr>
              <w:pStyle w:val="39"/>
              <w:ind w:firstLine="480"/>
              <w:rPr>
                <w:rFonts w:eastAsia="宋体"/>
                <w:color w:val="000000" w:themeColor="text1"/>
                <w:kern w:val="2"/>
                <w:szCs w:val="24"/>
              </w:rPr>
            </w:pPr>
            <w:r>
              <w:rPr>
                <w:rFonts w:eastAsia="宋体"/>
                <w:color w:val="000000" w:themeColor="text1"/>
                <w:kern w:val="2"/>
                <w:szCs w:val="24"/>
              </w:rPr>
              <w:t>4）加强岗位培训，落实风险防范责任制，加强防范环境风险事故工作，严格项目环境风险源管理，形成常态化的巡视检查制度，及时发现问题、及时解决，从源头消除环境事故隐患。</w:t>
            </w:r>
          </w:p>
          <w:p w14:paraId="3387F383">
            <w:pPr>
              <w:pStyle w:val="39"/>
              <w:ind w:firstLine="480"/>
              <w:rPr>
                <w:rFonts w:eastAsia="宋体"/>
                <w:color w:val="000000" w:themeColor="text1"/>
                <w:kern w:val="2"/>
                <w:szCs w:val="24"/>
              </w:rPr>
            </w:pPr>
            <w:r>
              <w:rPr>
                <w:rFonts w:eastAsia="宋体"/>
                <w:color w:val="000000" w:themeColor="text1"/>
                <w:kern w:val="2"/>
                <w:szCs w:val="24"/>
              </w:rPr>
              <w:t>5）安排专职人员定期对油品储存库内液压油、机油、润滑油以及危废暂存间内</w:t>
            </w:r>
            <w:r>
              <w:rPr>
                <w:rFonts w:eastAsia="宋体"/>
                <w:color w:val="000000" w:themeColor="text1"/>
              </w:rPr>
              <w:t>废液压油、废机油、废润滑油</w:t>
            </w:r>
            <w:r>
              <w:rPr>
                <w:rFonts w:eastAsia="宋体"/>
                <w:color w:val="000000" w:themeColor="text1"/>
                <w:kern w:val="2"/>
                <w:szCs w:val="24"/>
              </w:rPr>
              <w:t>储存容器进行巡回检查，检查是否出现跑冒滴漏现象，并及时检修。</w:t>
            </w:r>
          </w:p>
          <w:p w14:paraId="320D66D3">
            <w:pPr>
              <w:pStyle w:val="39"/>
              <w:ind w:firstLine="480"/>
              <w:rPr>
                <w:rFonts w:eastAsia="宋体"/>
                <w:color w:val="000000" w:themeColor="text1"/>
                <w:kern w:val="2"/>
                <w:szCs w:val="24"/>
              </w:rPr>
            </w:pPr>
            <w:r>
              <w:rPr>
                <w:rFonts w:eastAsia="宋体"/>
                <w:color w:val="000000" w:themeColor="text1"/>
                <w:kern w:val="2"/>
                <w:szCs w:val="24"/>
              </w:rPr>
              <w:t>6）配备沙土、吸油毡等吸附工具，软木塞、粘结剂等堵漏工具，风险物质泄漏情境下能够及时进行堵漏和收集；</w:t>
            </w:r>
            <w:r>
              <w:rPr>
                <w:rFonts w:eastAsia="宋体"/>
                <w:color w:val="000000" w:themeColor="text1"/>
                <w:szCs w:val="21"/>
              </w:rPr>
              <w:t>备有一定量的沙袋，在发生事故情况下对事发现场进行围截或临时围截事故池，避免消防废水外排。</w:t>
            </w:r>
          </w:p>
          <w:p w14:paraId="7C976E56">
            <w:pPr>
              <w:pStyle w:val="39"/>
              <w:ind w:firstLine="480"/>
              <w:rPr>
                <w:rFonts w:eastAsia="宋体"/>
                <w:color w:val="000000" w:themeColor="text1"/>
                <w:kern w:val="2"/>
                <w:szCs w:val="24"/>
              </w:rPr>
            </w:pPr>
            <w:r>
              <w:rPr>
                <w:rFonts w:eastAsia="宋体"/>
                <w:color w:val="000000" w:themeColor="text1"/>
                <w:kern w:val="2"/>
                <w:szCs w:val="24"/>
              </w:rPr>
              <w:t>7）当发生事故时，为不使事故扩大，防止二次灾害的发生，要求及时抢险抢修，必须对各种险情进行事故前预测，保证抢险队伍的素质，遇险时应及时与当地消防部门取得联系，以获得有力支持。</w:t>
            </w:r>
          </w:p>
          <w:p w14:paraId="012096CF">
            <w:pPr>
              <w:pStyle w:val="39"/>
              <w:ind w:firstLine="480"/>
              <w:rPr>
                <w:rFonts w:eastAsia="宋体"/>
                <w:color w:val="000000" w:themeColor="text1"/>
                <w:kern w:val="2"/>
                <w:szCs w:val="24"/>
              </w:rPr>
            </w:pPr>
            <w:r>
              <w:rPr>
                <w:rFonts w:eastAsia="宋体"/>
                <w:color w:val="000000" w:themeColor="text1"/>
                <w:kern w:val="2"/>
                <w:szCs w:val="24"/>
              </w:rPr>
              <w:t>8）项目在运营中应确保正确操作和正常运行，在操作运行方面要求工作人员必须进行岗前专业培训，严格执行安全生产操作规程，进行安全性专业维护和保养，对安全设备进行定期校验，确保安全生产。建立健全防范制度，加强监督管理，同时建立夜间值班巡查制度、安全奖惩制度等。</w:t>
            </w:r>
          </w:p>
          <w:p w14:paraId="4322DF57">
            <w:pPr>
              <w:widowControl/>
              <w:ind w:firstLine="480"/>
              <w:rPr>
                <w:color w:val="000000" w:themeColor="text1"/>
              </w:rPr>
            </w:pPr>
            <w:r>
              <w:rPr>
                <w:color w:val="000000" w:themeColor="text1"/>
              </w:rPr>
              <w:t>（2）应急措施</w:t>
            </w:r>
          </w:p>
          <w:p w14:paraId="12715643">
            <w:pPr>
              <w:ind w:firstLine="480"/>
              <w:rPr>
                <w:color w:val="000000" w:themeColor="text1"/>
              </w:rPr>
            </w:pPr>
            <w:r>
              <w:rPr>
                <w:color w:val="000000" w:themeColor="text1"/>
              </w:rPr>
              <w:t>液压油、机油、润滑油、废液压油、废机油、废润滑油等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w:t>
            </w:r>
            <w:r>
              <w:rPr>
                <w:color w:val="000000" w:themeColor="text1"/>
                <w:spacing w:val="-3"/>
              </w:rPr>
              <w:t>当风险物质泄漏至雨水管网时，应急组对厂区</w:t>
            </w:r>
            <w:r>
              <w:rPr>
                <w:color w:val="000000" w:themeColor="text1"/>
                <w:spacing w:val="-4"/>
              </w:rPr>
              <w:t>雨水排口进行封堵，防</w:t>
            </w:r>
            <w:r>
              <w:rPr>
                <w:color w:val="000000" w:themeColor="text1"/>
                <w:spacing w:val="-3"/>
              </w:rPr>
              <w:t>止泄漏物泄漏至厂区外。一旦泄漏至厂区外，企业应告知当地政府</w:t>
            </w:r>
            <w:r>
              <w:rPr>
                <w:color w:val="000000" w:themeColor="text1"/>
                <w:spacing w:val="-4"/>
              </w:rPr>
              <w:t>、生态环境局、环境保</w:t>
            </w:r>
            <w:r>
              <w:rPr>
                <w:color w:val="000000" w:themeColor="text1"/>
                <w:spacing w:val="-1"/>
              </w:rPr>
              <w:t>护监测站等部门进行处理</w:t>
            </w:r>
            <w:r>
              <w:rPr>
                <w:color w:val="000000" w:themeColor="text1"/>
              </w:rPr>
              <w:t>。泄漏得不到有效控制或引发火灾爆炸事故，立即停产，全厂人员撤离至安全区域，并上报当地主管部门进行处理。</w:t>
            </w:r>
          </w:p>
          <w:p w14:paraId="59262FA9">
            <w:pPr>
              <w:ind w:firstLine="480"/>
              <w:rPr>
                <w:color w:val="000000" w:themeColor="text1"/>
              </w:rPr>
            </w:pPr>
            <w:r>
              <w:rPr>
                <w:color w:val="000000" w:themeColor="text1"/>
              </w:rPr>
              <w:t>（3）编制企业突发环境事件应急预案，应急预案应包括预案适用范围、环境事件分类与分级、组织机构与职责、监控和预警、应急响应、应急保障、善后处置、预案管理与演练等内容。</w:t>
            </w:r>
          </w:p>
          <w:p w14:paraId="76836E08">
            <w:pPr>
              <w:ind w:firstLine="480"/>
              <w:rPr>
                <w:color w:val="000000" w:themeColor="text1"/>
              </w:rPr>
            </w:pPr>
            <w:r>
              <w:rPr>
                <w:color w:val="000000" w:themeColor="text1"/>
              </w:rPr>
              <w:t>企业突发环境事件应急预案应体现分级响应、区域联动的原则，与地方政府突发环境事件应急预案相衔接，明确分级响应程序。</w:t>
            </w:r>
          </w:p>
          <w:p w14:paraId="52A2EF24">
            <w:pPr>
              <w:ind w:firstLine="480"/>
              <w:rPr>
                <w:color w:val="000000" w:themeColor="text1"/>
              </w:rPr>
            </w:pPr>
            <w:r>
              <w:rPr>
                <w:color w:val="000000" w:themeColor="text1"/>
              </w:rPr>
              <w:t>综上所述，本项目环境风险在可控范围内。</w:t>
            </w:r>
          </w:p>
          <w:p w14:paraId="2C4C0E6F">
            <w:pPr>
              <w:adjustRightInd w:val="0"/>
              <w:snapToGrid w:val="0"/>
              <w:ind w:firstLine="482"/>
              <w:rPr>
                <w:b/>
                <w:bCs/>
                <w:color w:val="000000" w:themeColor="text1"/>
              </w:rPr>
            </w:pPr>
            <w:r>
              <w:rPr>
                <w:b/>
                <w:bCs/>
                <w:color w:val="000000" w:themeColor="text1"/>
              </w:rPr>
              <w:t>8、电磁辐射</w:t>
            </w:r>
          </w:p>
          <w:p w14:paraId="3DD311F8">
            <w:pPr>
              <w:ind w:firstLine="480"/>
              <w:rPr>
                <w:color w:val="000000" w:themeColor="text1"/>
              </w:rPr>
            </w:pPr>
            <w:r>
              <w:rPr>
                <w:color w:val="000000" w:themeColor="text1"/>
              </w:rPr>
              <w:t>本项目不涉及电磁辐射源，即不会对项目所在区环境产生相应的电磁辐射影响。</w:t>
            </w:r>
          </w:p>
        </w:tc>
      </w:tr>
    </w:tbl>
    <w:p w14:paraId="1D081C92">
      <w:pPr>
        <w:ind w:firstLine="480"/>
        <w:rPr>
          <w:color w:val="000000" w:themeColor="text1"/>
        </w:rPr>
        <w:sectPr>
          <w:pgSz w:w="11906" w:h="16838"/>
          <w:pgMar w:top="1440" w:right="1247" w:bottom="1440" w:left="1417" w:header="851" w:footer="992" w:gutter="0"/>
          <w:cols w:space="425" w:num="1"/>
          <w:docGrid w:type="lines" w:linePitch="312" w:charSpace="0"/>
        </w:sectPr>
      </w:pPr>
    </w:p>
    <w:p w14:paraId="77A5C5A0">
      <w:pPr>
        <w:pStyle w:val="2"/>
        <w:rPr>
          <w:color w:val="000000" w:themeColor="text1"/>
        </w:rPr>
      </w:pPr>
      <w:bookmarkStart w:id="6" w:name="_Toc19298"/>
      <w:r>
        <w:rPr>
          <w:rFonts w:hint="eastAsia"/>
          <w:color w:val="000000" w:themeColor="text1"/>
        </w:rPr>
        <w:t>五、</w:t>
      </w:r>
      <w:bookmarkStart w:id="7" w:name="_Hlk54167917"/>
      <w:r>
        <w:rPr>
          <w:rFonts w:hint="eastAsia"/>
          <w:color w:val="000000" w:themeColor="text1"/>
        </w:rPr>
        <w:t>环境保护措施监督检查清单</w:t>
      </w:r>
      <w:bookmarkEnd w:id="6"/>
      <w:bookmarkEnd w:id="7"/>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750"/>
        <w:gridCol w:w="990"/>
        <w:gridCol w:w="1665"/>
        <w:gridCol w:w="1035"/>
        <w:gridCol w:w="2751"/>
      </w:tblGrid>
      <w:tr w14:paraId="2AFD4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tcBorders>
              <w:tl2br w:val="single" w:color="auto" w:sz="4" w:space="0"/>
            </w:tcBorders>
          </w:tcPr>
          <w:p w14:paraId="7EA4E4D8">
            <w:pPr>
              <w:pStyle w:val="35"/>
              <w:rPr>
                <w:color w:val="000000" w:themeColor="text1"/>
                <w:sz w:val="24"/>
                <w:szCs w:val="24"/>
              </w:rPr>
            </w:pPr>
            <w:r>
              <w:rPr>
                <w:rFonts w:hint="eastAsia"/>
                <w:color w:val="000000" w:themeColor="text1"/>
                <w:sz w:val="24"/>
                <w:szCs w:val="24"/>
              </w:rPr>
              <w:t xml:space="preserve">  内容</w:t>
            </w:r>
          </w:p>
          <w:p w14:paraId="616A9885">
            <w:pPr>
              <w:pStyle w:val="35"/>
              <w:jc w:val="both"/>
              <w:rPr>
                <w:color w:val="000000" w:themeColor="text1"/>
                <w:sz w:val="24"/>
                <w:szCs w:val="24"/>
              </w:rPr>
            </w:pPr>
          </w:p>
          <w:p w14:paraId="7385EC85">
            <w:pPr>
              <w:pStyle w:val="35"/>
              <w:jc w:val="both"/>
              <w:rPr>
                <w:color w:val="000000" w:themeColor="text1"/>
                <w:sz w:val="24"/>
                <w:szCs w:val="24"/>
              </w:rPr>
            </w:pPr>
            <w:r>
              <w:rPr>
                <w:rFonts w:hint="eastAsia"/>
                <w:color w:val="000000" w:themeColor="text1"/>
                <w:sz w:val="24"/>
                <w:szCs w:val="24"/>
              </w:rPr>
              <w:t>要素</w:t>
            </w:r>
          </w:p>
        </w:tc>
        <w:tc>
          <w:tcPr>
            <w:tcW w:w="1750" w:type="dxa"/>
            <w:vAlign w:val="center"/>
          </w:tcPr>
          <w:p w14:paraId="5D489990">
            <w:pPr>
              <w:pStyle w:val="35"/>
              <w:rPr>
                <w:color w:val="000000" w:themeColor="text1"/>
                <w:sz w:val="24"/>
                <w:szCs w:val="24"/>
              </w:rPr>
            </w:pPr>
            <w:r>
              <w:rPr>
                <w:rFonts w:hint="eastAsia"/>
                <w:color w:val="000000" w:themeColor="text1"/>
                <w:sz w:val="24"/>
                <w:szCs w:val="24"/>
              </w:rPr>
              <w:t>排放口（编号、名称）/污染源</w:t>
            </w:r>
          </w:p>
        </w:tc>
        <w:tc>
          <w:tcPr>
            <w:tcW w:w="990" w:type="dxa"/>
            <w:vAlign w:val="center"/>
          </w:tcPr>
          <w:p w14:paraId="3F054761">
            <w:pPr>
              <w:pStyle w:val="35"/>
              <w:rPr>
                <w:color w:val="000000" w:themeColor="text1"/>
                <w:sz w:val="24"/>
                <w:szCs w:val="24"/>
              </w:rPr>
            </w:pPr>
            <w:r>
              <w:rPr>
                <w:rFonts w:hint="eastAsia"/>
                <w:color w:val="000000" w:themeColor="text1"/>
                <w:sz w:val="24"/>
                <w:szCs w:val="24"/>
              </w:rPr>
              <w:t>污染物项目</w:t>
            </w:r>
          </w:p>
        </w:tc>
        <w:tc>
          <w:tcPr>
            <w:tcW w:w="2700" w:type="dxa"/>
            <w:gridSpan w:val="2"/>
            <w:vAlign w:val="center"/>
          </w:tcPr>
          <w:p w14:paraId="086434AB">
            <w:pPr>
              <w:pStyle w:val="35"/>
              <w:rPr>
                <w:color w:val="000000" w:themeColor="text1"/>
                <w:sz w:val="24"/>
                <w:szCs w:val="24"/>
              </w:rPr>
            </w:pPr>
            <w:r>
              <w:rPr>
                <w:rFonts w:hint="eastAsia"/>
                <w:color w:val="000000" w:themeColor="text1"/>
                <w:sz w:val="24"/>
                <w:szCs w:val="24"/>
              </w:rPr>
              <w:t>环境保护措施</w:t>
            </w:r>
          </w:p>
        </w:tc>
        <w:tc>
          <w:tcPr>
            <w:tcW w:w="2751" w:type="dxa"/>
            <w:vAlign w:val="center"/>
          </w:tcPr>
          <w:p w14:paraId="7E24DB5C">
            <w:pPr>
              <w:pStyle w:val="35"/>
              <w:rPr>
                <w:color w:val="000000" w:themeColor="text1"/>
                <w:sz w:val="24"/>
                <w:szCs w:val="24"/>
              </w:rPr>
            </w:pPr>
            <w:r>
              <w:rPr>
                <w:rFonts w:hint="eastAsia"/>
                <w:color w:val="000000" w:themeColor="text1"/>
                <w:sz w:val="24"/>
                <w:szCs w:val="24"/>
              </w:rPr>
              <w:t>执行标准</w:t>
            </w:r>
          </w:p>
        </w:tc>
      </w:tr>
      <w:tr w14:paraId="688EE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vAlign w:val="center"/>
          </w:tcPr>
          <w:p w14:paraId="19F11738">
            <w:pPr>
              <w:pStyle w:val="35"/>
              <w:rPr>
                <w:color w:val="000000" w:themeColor="text1"/>
                <w:sz w:val="24"/>
                <w:szCs w:val="24"/>
              </w:rPr>
            </w:pPr>
            <w:r>
              <w:rPr>
                <w:rFonts w:hint="eastAsia"/>
                <w:color w:val="000000" w:themeColor="text1"/>
                <w:sz w:val="24"/>
                <w:szCs w:val="24"/>
              </w:rPr>
              <w:t>大气环境</w:t>
            </w:r>
          </w:p>
        </w:tc>
        <w:tc>
          <w:tcPr>
            <w:tcW w:w="1750" w:type="dxa"/>
            <w:shd w:val="clear" w:color="auto" w:fill="auto"/>
            <w:vAlign w:val="center"/>
          </w:tcPr>
          <w:p w14:paraId="54BE0618">
            <w:pPr>
              <w:pStyle w:val="66"/>
              <w:spacing w:line="240" w:lineRule="auto"/>
              <w:ind w:left="0" w:right="0" w:firstLine="0" w:firstLineChars="0"/>
              <w:rPr>
                <w:color w:val="000000" w:themeColor="text1"/>
                <w:szCs w:val="24"/>
              </w:rPr>
            </w:pPr>
            <w:r>
              <w:rPr>
                <w:rFonts w:hint="eastAsia"/>
                <w:color w:val="000000" w:themeColor="text1"/>
                <w:szCs w:val="24"/>
              </w:rPr>
              <w:t>烘干废气（</w:t>
            </w:r>
            <w:r>
              <w:rPr>
                <w:color w:val="000000" w:themeColor="text1"/>
                <w:szCs w:val="24"/>
              </w:rPr>
              <w:t>包括热风炉燃料燃烧废气和物料烘干工艺废气</w:t>
            </w:r>
            <w:r>
              <w:rPr>
                <w:rFonts w:hint="eastAsia"/>
                <w:color w:val="000000" w:themeColor="text1"/>
                <w:szCs w:val="24"/>
              </w:rPr>
              <w:t>）</w:t>
            </w:r>
          </w:p>
        </w:tc>
        <w:tc>
          <w:tcPr>
            <w:tcW w:w="990" w:type="dxa"/>
            <w:shd w:val="clear" w:color="auto" w:fill="auto"/>
            <w:vAlign w:val="center"/>
          </w:tcPr>
          <w:p w14:paraId="13412BF4">
            <w:pPr>
              <w:pStyle w:val="66"/>
              <w:spacing w:line="240" w:lineRule="auto"/>
              <w:ind w:left="0" w:right="0" w:firstLine="0" w:firstLineChars="0"/>
              <w:rPr>
                <w:color w:val="000000" w:themeColor="text1"/>
                <w:szCs w:val="24"/>
              </w:rPr>
            </w:pPr>
            <w:r>
              <w:rPr>
                <w:rFonts w:hint="eastAsia"/>
                <w:color w:val="000000" w:themeColor="text1"/>
                <w:szCs w:val="24"/>
              </w:rPr>
              <w:t>颗粒物、SO</w:t>
            </w:r>
            <w:r>
              <w:rPr>
                <w:rFonts w:hint="eastAsia"/>
                <w:color w:val="000000" w:themeColor="text1"/>
                <w:szCs w:val="24"/>
                <w:vertAlign w:val="subscript"/>
              </w:rPr>
              <w:t>2</w:t>
            </w:r>
            <w:r>
              <w:rPr>
                <w:rFonts w:hint="eastAsia"/>
                <w:color w:val="000000" w:themeColor="text1"/>
                <w:szCs w:val="24"/>
              </w:rPr>
              <w:t>、NO</w:t>
            </w:r>
            <w:r>
              <w:rPr>
                <w:rFonts w:hint="eastAsia"/>
                <w:color w:val="000000" w:themeColor="text1"/>
                <w:szCs w:val="24"/>
                <w:vertAlign w:val="subscript"/>
              </w:rPr>
              <w:t>X</w:t>
            </w:r>
            <w:r>
              <w:rPr>
                <w:rFonts w:hint="eastAsia"/>
                <w:color w:val="000000" w:themeColor="text1"/>
                <w:szCs w:val="24"/>
              </w:rPr>
              <w:t>、汞、烟气黑度</w:t>
            </w:r>
          </w:p>
        </w:tc>
        <w:tc>
          <w:tcPr>
            <w:tcW w:w="2700" w:type="dxa"/>
            <w:gridSpan w:val="2"/>
            <w:shd w:val="clear" w:color="auto" w:fill="auto"/>
            <w:vAlign w:val="center"/>
          </w:tcPr>
          <w:p w14:paraId="521A9AF6">
            <w:pPr>
              <w:pStyle w:val="66"/>
              <w:spacing w:line="240" w:lineRule="auto"/>
              <w:ind w:left="0" w:right="0" w:firstLine="0" w:firstLineChars="0"/>
              <w:rPr>
                <w:color w:val="000000" w:themeColor="text1"/>
                <w:szCs w:val="24"/>
              </w:rPr>
            </w:pPr>
            <w:r>
              <w:rPr>
                <w:rFonts w:hint="eastAsia"/>
                <w:color w:val="000000" w:themeColor="text1"/>
                <w:szCs w:val="24"/>
              </w:rPr>
              <w:t>烘干机设备密闭，烘干方式为热风直接与物料接触烘干，烘干废气经烘干机废气出口设置的集气管道收集后，通过“沙克龙除尘器+布袋除尘器”处理后由1根15m高排气筒（DA001）排放</w:t>
            </w:r>
          </w:p>
        </w:tc>
        <w:tc>
          <w:tcPr>
            <w:tcW w:w="2751" w:type="dxa"/>
            <w:vAlign w:val="center"/>
          </w:tcPr>
          <w:p w14:paraId="161FC8C3">
            <w:pPr>
              <w:spacing w:line="264" w:lineRule="auto"/>
              <w:ind w:firstLine="0" w:firstLineChars="0"/>
              <w:jc w:val="center"/>
              <w:rPr>
                <w:color w:val="000000" w:themeColor="text1"/>
              </w:rPr>
            </w:pPr>
            <w:r>
              <w:rPr>
                <w:rFonts w:hint="eastAsia"/>
                <w:color w:val="000000" w:themeColor="text1"/>
              </w:rPr>
              <w:t>《工业炉窑大气污染物排放标准》（DB13/ 1640-2012）表1、表2工业炉窑排放限值颗粒物50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400mg/m</w:t>
            </w:r>
            <w:r>
              <w:rPr>
                <w:rFonts w:hint="eastAsia"/>
                <w:color w:val="000000" w:themeColor="text1"/>
                <w:spacing w:val="-5"/>
                <w:vertAlign w:val="superscript"/>
              </w:rPr>
              <w:t>3</w:t>
            </w:r>
            <w:r>
              <w:rPr>
                <w:rFonts w:hint="eastAsia"/>
                <w:color w:val="000000" w:themeColor="text1"/>
              </w:rPr>
              <w:t>、汞0.010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、烟气黑度小于1级，</w:t>
            </w:r>
            <w:r>
              <w:rPr>
                <w:rFonts w:hint="eastAsia"/>
                <w:color w:val="000000" w:themeColor="text1"/>
                <w:spacing w:val="-5"/>
              </w:rPr>
              <w:t>排气筒高度不低于15m，且高出200m范围内最高建筑物3m以上的要求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r>
              <w:rPr>
                <w:rFonts w:hint="eastAsia"/>
                <w:color w:val="000000" w:themeColor="text1"/>
              </w:rPr>
              <w:t>同时执行《2019年“十项重点工作”工作方案》的通知（唐办发[2019]3号）中</w:t>
            </w:r>
            <w:r>
              <w:rPr>
                <w:rFonts w:hint="eastAsia"/>
                <w:color w:val="000000" w:themeColor="text1"/>
                <w:spacing w:val="-5"/>
              </w:rPr>
              <w:t>排放限值：颗粒物30mg/m</w:t>
            </w:r>
            <w:r>
              <w:rPr>
                <w:rFonts w:hint="eastAsia"/>
                <w:color w:val="000000" w:themeColor="text1"/>
                <w:spacing w:val="-5"/>
                <w:vertAlign w:val="superscript"/>
              </w:rPr>
              <w:t>3</w:t>
            </w:r>
            <w:r>
              <w:rPr>
                <w:rFonts w:hint="eastAsia"/>
                <w:color w:val="000000" w:themeColor="text1"/>
                <w:spacing w:val="-5"/>
              </w:rPr>
              <w:t>、SO</w:t>
            </w:r>
            <w:r>
              <w:rPr>
                <w:rFonts w:hint="eastAsia"/>
                <w:color w:val="000000" w:themeColor="text1"/>
                <w:spacing w:val="-5"/>
                <w:vertAlign w:val="subscript"/>
              </w:rPr>
              <w:t>2</w:t>
            </w:r>
            <w:r>
              <w:rPr>
                <w:rFonts w:hint="eastAsia"/>
                <w:color w:val="000000" w:themeColor="text1"/>
                <w:spacing w:val="-5"/>
              </w:rPr>
              <w:t>200mg/m</w:t>
            </w:r>
            <w:r>
              <w:rPr>
                <w:rFonts w:hint="eastAsia"/>
                <w:color w:val="000000" w:themeColor="text1"/>
                <w:spacing w:val="-5"/>
                <w:vertAlign w:val="superscript"/>
              </w:rPr>
              <w:t>3</w:t>
            </w:r>
            <w:r>
              <w:rPr>
                <w:rFonts w:hint="eastAsia"/>
                <w:color w:val="000000" w:themeColor="text1"/>
                <w:spacing w:val="-5"/>
              </w:rPr>
              <w:t>、NO</w:t>
            </w:r>
            <w:r>
              <w:rPr>
                <w:rFonts w:hint="eastAsia"/>
                <w:color w:val="000000" w:themeColor="text1"/>
                <w:spacing w:val="-5"/>
                <w:vertAlign w:val="subscript"/>
              </w:rPr>
              <w:t>X</w:t>
            </w:r>
            <w:r>
              <w:rPr>
                <w:rFonts w:hint="eastAsia"/>
                <w:color w:val="000000" w:themeColor="text1"/>
                <w:spacing w:val="-5"/>
              </w:rPr>
              <w:t>300mg/m</w:t>
            </w:r>
            <w:r>
              <w:rPr>
                <w:rFonts w:hint="eastAsia"/>
                <w:color w:val="000000" w:themeColor="text1"/>
                <w:spacing w:val="-5"/>
                <w:vertAlign w:val="superscript"/>
              </w:rPr>
              <w:t>3</w:t>
            </w:r>
          </w:p>
        </w:tc>
      </w:tr>
      <w:tr w14:paraId="3869C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ECE82CD">
            <w:pPr>
              <w:pStyle w:val="35"/>
              <w:rPr>
                <w:color w:val="000000" w:themeColor="text1"/>
                <w:sz w:val="24"/>
                <w:szCs w:val="24"/>
              </w:rPr>
            </w:pPr>
          </w:p>
        </w:tc>
        <w:tc>
          <w:tcPr>
            <w:tcW w:w="1750" w:type="dxa"/>
            <w:shd w:val="clear" w:color="auto" w:fill="auto"/>
            <w:vAlign w:val="center"/>
          </w:tcPr>
          <w:p w14:paraId="76680B1F">
            <w:pPr>
              <w:pStyle w:val="66"/>
              <w:spacing w:line="240" w:lineRule="auto"/>
              <w:ind w:left="0" w:right="0" w:firstLine="0" w:firstLineChars="0"/>
              <w:rPr>
                <w:color w:val="000000" w:themeColor="text1"/>
                <w:szCs w:val="24"/>
              </w:rPr>
            </w:pPr>
            <w:r>
              <w:rPr>
                <w:rFonts w:hint="eastAsia"/>
                <w:color w:val="000000" w:themeColor="text1"/>
                <w:szCs w:val="24"/>
              </w:rPr>
              <w:t>中转仓落料及入料废气</w:t>
            </w:r>
          </w:p>
        </w:tc>
        <w:tc>
          <w:tcPr>
            <w:tcW w:w="990" w:type="dxa"/>
            <w:shd w:val="clear" w:color="auto" w:fill="auto"/>
            <w:vAlign w:val="center"/>
          </w:tcPr>
          <w:p w14:paraId="6A44C4C2">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279A888D">
            <w:pPr>
              <w:pStyle w:val="66"/>
              <w:spacing w:line="240" w:lineRule="auto"/>
              <w:ind w:left="0" w:right="0" w:firstLine="0" w:firstLineChars="0"/>
              <w:rPr>
                <w:color w:val="000000" w:themeColor="text1"/>
                <w:szCs w:val="24"/>
              </w:rPr>
            </w:pPr>
            <w:r>
              <w:rPr>
                <w:rFonts w:hint="eastAsia"/>
                <w:color w:val="000000" w:themeColor="text1"/>
                <w:szCs w:val="24"/>
              </w:rPr>
              <w:t>中转仓封闭设置，其入料口设软帘，顶部设置集气管</w:t>
            </w:r>
          </w:p>
        </w:tc>
        <w:tc>
          <w:tcPr>
            <w:tcW w:w="1035" w:type="dxa"/>
            <w:vMerge w:val="restart"/>
            <w:shd w:val="clear" w:color="auto" w:fill="auto"/>
            <w:vAlign w:val="center"/>
          </w:tcPr>
          <w:p w14:paraId="4C53D281">
            <w:pPr>
              <w:pStyle w:val="66"/>
              <w:spacing w:line="240" w:lineRule="auto"/>
              <w:ind w:left="0" w:right="0" w:firstLine="0" w:firstLineChars="0"/>
              <w:rPr>
                <w:color w:val="000000" w:themeColor="text1"/>
                <w:szCs w:val="24"/>
              </w:rPr>
            </w:pPr>
            <w:r>
              <w:rPr>
                <w:rFonts w:hint="eastAsia"/>
                <w:color w:val="000000" w:themeColor="text1"/>
                <w:szCs w:val="24"/>
              </w:rPr>
              <w:t>共用1台布袋除尘器处理后由1根15m高排气筒（DA002）排放</w:t>
            </w:r>
          </w:p>
        </w:tc>
        <w:tc>
          <w:tcPr>
            <w:tcW w:w="2751" w:type="dxa"/>
            <w:vMerge w:val="restart"/>
            <w:vAlign w:val="center"/>
          </w:tcPr>
          <w:p w14:paraId="16943CA5">
            <w:pPr>
              <w:spacing w:line="264" w:lineRule="auto"/>
              <w:ind w:firstLine="0" w:firstLineChars="0"/>
              <w:jc w:val="center"/>
              <w:rPr>
                <w:color w:val="000000" w:themeColor="text1"/>
                <w:spacing w:val="-5"/>
              </w:rPr>
            </w:pPr>
            <w:r>
              <w:rPr>
                <w:rFonts w:hint="eastAsia"/>
                <w:color w:val="000000" w:themeColor="text1"/>
              </w:rPr>
              <w:t>《大气污染物综合排放标准》（GB16297-1996）表2颗粒物排放限值120</w:t>
            </w:r>
            <w:r>
              <w:rPr>
                <w:rFonts w:hint="eastAsia"/>
                <w:color w:val="000000" w:themeColor="text1"/>
                <w:spacing w:val="-5"/>
              </w:rPr>
              <w:t>mg/m</w:t>
            </w:r>
            <w:r>
              <w:rPr>
                <w:rFonts w:hint="eastAsia"/>
                <w:color w:val="000000" w:themeColor="text1"/>
                <w:spacing w:val="-5"/>
                <w:vertAlign w:val="superscript"/>
              </w:rPr>
              <w:t>3</w:t>
            </w:r>
            <w:r>
              <w:rPr>
                <w:rFonts w:hint="eastAsia"/>
                <w:color w:val="000000" w:themeColor="text1"/>
              </w:rPr>
              <w:t>、排放速率3.5kg/h，排气筒高度不低于15m，</w:t>
            </w:r>
            <w:r>
              <w:rPr>
                <w:rFonts w:hint="eastAsia"/>
                <w:color w:val="000000" w:themeColor="text1"/>
                <w:spacing w:val="-5"/>
              </w:rPr>
              <w:t>且高出200m范围内最高建筑物5m以上的要求</w:t>
            </w:r>
            <w:r>
              <w:rPr>
                <w:rFonts w:hint="eastAsia" w:eastAsia="Times New Roman"/>
                <w:color w:val="000000" w:themeColor="text1"/>
                <w:spacing w:val="2"/>
              </w:rPr>
              <w:t>（本</w:t>
            </w:r>
            <w:r>
              <w:rPr>
                <w:rFonts w:eastAsia="Times New Roman"/>
                <w:color w:val="000000" w:themeColor="text1"/>
                <w:spacing w:val="2"/>
              </w:rPr>
              <w:t>项目排气筒200m范围内最高建筑物为</w:t>
            </w:r>
            <w:r>
              <w:rPr>
                <w:rFonts w:hint="eastAsia" w:eastAsia="Times New Roman"/>
                <w:color w:val="000000" w:themeColor="text1"/>
                <w:spacing w:val="2"/>
              </w:rPr>
              <w:t>9m）</w:t>
            </w:r>
          </w:p>
        </w:tc>
      </w:tr>
      <w:tr w14:paraId="6ACD7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9958709">
            <w:pPr>
              <w:pStyle w:val="35"/>
              <w:rPr>
                <w:color w:val="000000" w:themeColor="text1"/>
                <w:sz w:val="24"/>
                <w:szCs w:val="24"/>
              </w:rPr>
            </w:pPr>
          </w:p>
        </w:tc>
        <w:tc>
          <w:tcPr>
            <w:tcW w:w="1750" w:type="dxa"/>
            <w:shd w:val="clear" w:color="auto" w:fill="auto"/>
            <w:vAlign w:val="center"/>
          </w:tcPr>
          <w:p w14:paraId="4598BE8A">
            <w:pPr>
              <w:pStyle w:val="66"/>
              <w:spacing w:line="240" w:lineRule="auto"/>
              <w:ind w:left="0" w:right="0" w:firstLine="0" w:firstLineChars="0"/>
              <w:rPr>
                <w:color w:val="000000" w:themeColor="text1"/>
                <w:szCs w:val="24"/>
              </w:rPr>
            </w:pPr>
            <w:r>
              <w:rPr>
                <w:rFonts w:hint="eastAsia"/>
                <w:color w:val="000000" w:themeColor="text1"/>
                <w:szCs w:val="24"/>
              </w:rPr>
              <w:t>制粒废气</w:t>
            </w:r>
          </w:p>
        </w:tc>
        <w:tc>
          <w:tcPr>
            <w:tcW w:w="990" w:type="dxa"/>
            <w:shd w:val="clear" w:color="auto" w:fill="auto"/>
            <w:vAlign w:val="center"/>
          </w:tcPr>
          <w:p w14:paraId="7FCA75DD">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0D1B704B">
            <w:pPr>
              <w:pStyle w:val="66"/>
              <w:spacing w:line="240" w:lineRule="auto"/>
              <w:ind w:left="0" w:right="0" w:firstLine="0" w:firstLineChars="0"/>
              <w:rPr>
                <w:color w:val="000000" w:themeColor="text1"/>
                <w:szCs w:val="24"/>
              </w:rPr>
            </w:pPr>
            <w:r>
              <w:rPr>
                <w:rFonts w:hint="eastAsia"/>
                <w:color w:val="000000" w:themeColor="text1"/>
                <w:szCs w:val="24"/>
              </w:rPr>
              <w:t>4台生物质颗粒机设备密闭+4台旋风除尘器预处理</w:t>
            </w:r>
          </w:p>
        </w:tc>
        <w:tc>
          <w:tcPr>
            <w:tcW w:w="1035" w:type="dxa"/>
            <w:vMerge w:val="continue"/>
            <w:shd w:val="clear" w:color="auto" w:fill="auto"/>
            <w:vAlign w:val="center"/>
          </w:tcPr>
          <w:p w14:paraId="587392AC">
            <w:pPr>
              <w:pStyle w:val="66"/>
              <w:spacing w:line="240" w:lineRule="auto"/>
              <w:ind w:left="0" w:right="0" w:firstLine="0" w:firstLineChars="0"/>
              <w:rPr>
                <w:color w:val="000000" w:themeColor="text1"/>
                <w:szCs w:val="24"/>
              </w:rPr>
            </w:pPr>
          </w:p>
        </w:tc>
        <w:tc>
          <w:tcPr>
            <w:tcW w:w="2751" w:type="dxa"/>
            <w:vMerge w:val="continue"/>
            <w:vAlign w:val="center"/>
          </w:tcPr>
          <w:p w14:paraId="0F569A9C">
            <w:pPr>
              <w:spacing w:line="264" w:lineRule="auto"/>
              <w:ind w:firstLine="0" w:firstLineChars="0"/>
              <w:jc w:val="center"/>
              <w:rPr>
                <w:color w:val="000000" w:themeColor="text1"/>
                <w:spacing w:val="-5"/>
              </w:rPr>
            </w:pPr>
          </w:p>
        </w:tc>
      </w:tr>
      <w:tr w14:paraId="6F9C6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2A9E949C">
            <w:pPr>
              <w:pStyle w:val="35"/>
              <w:rPr>
                <w:color w:val="000000" w:themeColor="text1"/>
                <w:sz w:val="24"/>
                <w:szCs w:val="24"/>
              </w:rPr>
            </w:pPr>
          </w:p>
        </w:tc>
        <w:tc>
          <w:tcPr>
            <w:tcW w:w="1750" w:type="dxa"/>
            <w:shd w:val="clear" w:color="auto" w:fill="auto"/>
            <w:vAlign w:val="center"/>
          </w:tcPr>
          <w:p w14:paraId="39547A8B">
            <w:pPr>
              <w:pStyle w:val="66"/>
              <w:spacing w:line="240" w:lineRule="auto"/>
              <w:ind w:left="0" w:right="0" w:firstLine="0" w:firstLineChars="0"/>
              <w:rPr>
                <w:color w:val="000000" w:themeColor="text1"/>
                <w:szCs w:val="24"/>
              </w:rPr>
            </w:pPr>
            <w:r>
              <w:rPr>
                <w:rFonts w:hint="eastAsia"/>
                <w:color w:val="000000" w:themeColor="text1"/>
                <w:szCs w:val="24"/>
              </w:rPr>
              <w:t>筛分废气</w:t>
            </w:r>
          </w:p>
        </w:tc>
        <w:tc>
          <w:tcPr>
            <w:tcW w:w="990" w:type="dxa"/>
            <w:shd w:val="clear" w:color="auto" w:fill="auto"/>
            <w:vAlign w:val="center"/>
          </w:tcPr>
          <w:p w14:paraId="2E6D11C8">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0ED9BCDA">
            <w:pPr>
              <w:pStyle w:val="66"/>
              <w:spacing w:line="240" w:lineRule="auto"/>
              <w:ind w:left="0" w:right="0" w:firstLine="0" w:firstLineChars="0"/>
              <w:rPr>
                <w:color w:val="000000" w:themeColor="text1"/>
                <w:szCs w:val="24"/>
              </w:rPr>
            </w:pPr>
            <w:r>
              <w:rPr>
                <w:rFonts w:hint="eastAsia"/>
                <w:color w:val="000000" w:themeColor="text1"/>
                <w:szCs w:val="24"/>
              </w:rPr>
              <w:t>振筛设备密闭，设置集气管</w:t>
            </w:r>
          </w:p>
        </w:tc>
        <w:tc>
          <w:tcPr>
            <w:tcW w:w="1035" w:type="dxa"/>
            <w:vMerge w:val="continue"/>
            <w:shd w:val="clear" w:color="auto" w:fill="auto"/>
            <w:vAlign w:val="center"/>
          </w:tcPr>
          <w:p w14:paraId="251A383B">
            <w:pPr>
              <w:pStyle w:val="66"/>
              <w:spacing w:line="240" w:lineRule="auto"/>
              <w:ind w:left="0" w:right="0" w:firstLine="0" w:firstLineChars="0"/>
              <w:rPr>
                <w:color w:val="000000" w:themeColor="text1"/>
                <w:szCs w:val="24"/>
              </w:rPr>
            </w:pPr>
          </w:p>
        </w:tc>
        <w:tc>
          <w:tcPr>
            <w:tcW w:w="2751" w:type="dxa"/>
            <w:vMerge w:val="continue"/>
            <w:vAlign w:val="center"/>
          </w:tcPr>
          <w:p w14:paraId="2C96B3FF">
            <w:pPr>
              <w:spacing w:line="264" w:lineRule="auto"/>
              <w:ind w:firstLine="0" w:firstLineChars="0"/>
              <w:jc w:val="center"/>
              <w:rPr>
                <w:color w:val="000000" w:themeColor="text1"/>
                <w:spacing w:val="-5"/>
              </w:rPr>
            </w:pPr>
          </w:p>
        </w:tc>
      </w:tr>
      <w:tr w14:paraId="15488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52DB0467">
            <w:pPr>
              <w:pStyle w:val="35"/>
              <w:rPr>
                <w:color w:val="000000" w:themeColor="text1"/>
                <w:sz w:val="24"/>
                <w:szCs w:val="24"/>
              </w:rPr>
            </w:pPr>
          </w:p>
        </w:tc>
        <w:tc>
          <w:tcPr>
            <w:tcW w:w="1750" w:type="dxa"/>
            <w:shd w:val="clear" w:color="auto" w:fill="auto"/>
            <w:vAlign w:val="center"/>
          </w:tcPr>
          <w:p w14:paraId="0ECBC7A1">
            <w:pPr>
              <w:pStyle w:val="66"/>
              <w:spacing w:line="240" w:lineRule="auto"/>
              <w:ind w:left="0" w:right="0" w:firstLine="0" w:firstLineChars="0"/>
              <w:rPr>
                <w:color w:val="000000" w:themeColor="text1"/>
                <w:szCs w:val="24"/>
              </w:rPr>
            </w:pPr>
            <w:r>
              <w:rPr>
                <w:rFonts w:hint="eastAsia"/>
                <w:color w:val="000000" w:themeColor="text1"/>
                <w:szCs w:val="24"/>
              </w:rPr>
              <w:t>筛下料落料废气</w:t>
            </w:r>
          </w:p>
        </w:tc>
        <w:tc>
          <w:tcPr>
            <w:tcW w:w="990" w:type="dxa"/>
            <w:shd w:val="clear" w:color="auto" w:fill="auto"/>
            <w:vAlign w:val="center"/>
          </w:tcPr>
          <w:p w14:paraId="1673E86B">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00E8E409">
            <w:pPr>
              <w:pStyle w:val="66"/>
              <w:spacing w:line="240" w:lineRule="auto"/>
              <w:ind w:left="0" w:right="0" w:firstLine="0" w:firstLineChars="0"/>
              <w:rPr>
                <w:color w:val="000000" w:themeColor="text1"/>
                <w:szCs w:val="24"/>
              </w:rPr>
            </w:pPr>
            <w:r>
              <w:rPr>
                <w:rFonts w:hint="eastAsia"/>
                <w:color w:val="000000" w:themeColor="text1"/>
                <w:szCs w:val="24"/>
              </w:rPr>
              <w:t>振筛出料口上方设置集气罩</w:t>
            </w:r>
          </w:p>
        </w:tc>
        <w:tc>
          <w:tcPr>
            <w:tcW w:w="1035" w:type="dxa"/>
            <w:vMerge w:val="continue"/>
            <w:shd w:val="clear" w:color="auto" w:fill="auto"/>
            <w:vAlign w:val="center"/>
          </w:tcPr>
          <w:p w14:paraId="33AD85CC">
            <w:pPr>
              <w:pStyle w:val="66"/>
              <w:spacing w:line="240" w:lineRule="auto"/>
              <w:ind w:left="0" w:right="0" w:firstLine="0" w:firstLineChars="0"/>
              <w:rPr>
                <w:color w:val="000000" w:themeColor="text1"/>
                <w:szCs w:val="24"/>
              </w:rPr>
            </w:pPr>
          </w:p>
        </w:tc>
        <w:tc>
          <w:tcPr>
            <w:tcW w:w="2751" w:type="dxa"/>
            <w:vMerge w:val="continue"/>
            <w:vAlign w:val="center"/>
          </w:tcPr>
          <w:p w14:paraId="60326FF0">
            <w:pPr>
              <w:spacing w:line="264" w:lineRule="auto"/>
              <w:ind w:firstLine="0" w:firstLineChars="0"/>
              <w:jc w:val="center"/>
              <w:rPr>
                <w:color w:val="000000" w:themeColor="text1"/>
                <w:spacing w:val="-5"/>
              </w:rPr>
            </w:pPr>
          </w:p>
        </w:tc>
      </w:tr>
      <w:tr w14:paraId="79249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11C1B6B2">
            <w:pPr>
              <w:pStyle w:val="35"/>
              <w:rPr>
                <w:color w:val="000000" w:themeColor="text1"/>
                <w:sz w:val="24"/>
                <w:szCs w:val="24"/>
              </w:rPr>
            </w:pPr>
          </w:p>
        </w:tc>
        <w:tc>
          <w:tcPr>
            <w:tcW w:w="1750" w:type="dxa"/>
            <w:shd w:val="clear" w:color="auto" w:fill="auto"/>
            <w:vAlign w:val="center"/>
          </w:tcPr>
          <w:p w14:paraId="2E5937DF">
            <w:pPr>
              <w:pStyle w:val="66"/>
              <w:spacing w:line="240" w:lineRule="auto"/>
              <w:ind w:left="0" w:right="0" w:firstLine="0" w:firstLineChars="0"/>
              <w:rPr>
                <w:color w:val="000000" w:themeColor="text1"/>
                <w:szCs w:val="24"/>
              </w:rPr>
            </w:pPr>
            <w:r>
              <w:rPr>
                <w:rFonts w:hint="eastAsia"/>
                <w:color w:val="000000" w:themeColor="text1"/>
                <w:szCs w:val="24"/>
              </w:rPr>
              <w:t>成品网状料仓入料及冷却废气</w:t>
            </w:r>
          </w:p>
        </w:tc>
        <w:tc>
          <w:tcPr>
            <w:tcW w:w="990" w:type="dxa"/>
            <w:shd w:val="clear" w:color="auto" w:fill="auto"/>
            <w:vAlign w:val="center"/>
          </w:tcPr>
          <w:p w14:paraId="6EBF4959">
            <w:pPr>
              <w:pStyle w:val="66"/>
              <w:spacing w:line="240" w:lineRule="auto"/>
              <w:ind w:left="0" w:right="0" w:firstLine="0" w:firstLineChars="0"/>
              <w:rPr>
                <w:color w:val="000000" w:themeColor="text1"/>
                <w:szCs w:val="24"/>
              </w:rPr>
            </w:pPr>
          </w:p>
        </w:tc>
        <w:tc>
          <w:tcPr>
            <w:tcW w:w="1665" w:type="dxa"/>
            <w:shd w:val="clear" w:color="auto" w:fill="auto"/>
            <w:vAlign w:val="center"/>
          </w:tcPr>
          <w:p w14:paraId="56A80487">
            <w:pPr>
              <w:pStyle w:val="66"/>
              <w:spacing w:line="240" w:lineRule="auto"/>
              <w:ind w:left="0" w:right="0" w:firstLine="0" w:firstLineChars="0"/>
              <w:rPr>
                <w:color w:val="000000" w:themeColor="text1"/>
                <w:szCs w:val="24"/>
              </w:rPr>
            </w:pPr>
            <w:r>
              <w:rPr>
                <w:rFonts w:hint="eastAsia"/>
                <w:color w:val="000000" w:themeColor="text1"/>
                <w:szCs w:val="24"/>
              </w:rPr>
              <w:t>成品网状料仓入料口上方设置集气罩</w:t>
            </w:r>
          </w:p>
        </w:tc>
        <w:tc>
          <w:tcPr>
            <w:tcW w:w="1035" w:type="dxa"/>
            <w:vMerge w:val="continue"/>
            <w:shd w:val="clear" w:color="auto" w:fill="auto"/>
            <w:vAlign w:val="center"/>
          </w:tcPr>
          <w:p w14:paraId="321F99B0">
            <w:pPr>
              <w:pStyle w:val="66"/>
              <w:spacing w:line="240" w:lineRule="auto"/>
              <w:ind w:left="0" w:right="0" w:firstLine="0" w:firstLineChars="0"/>
              <w:rPr>
                <w:color w:val="000000" w:themeColor="text1"/>
                <w:szCs w:val="24"/>
              </w:rPr>
            </w:pPr>
          </w:p>
        </w:tc>
        <w:tc>
          <w:tcPr>
            <w:tcW w:w="2751" w:type="dxa"/>
            <w:vMerge w:val="continue"/>
            <w:vAlign w:val="center"/>
          </w:tcPr>
          <w:p w14:paraId="47969A65">
            <w:pPr>
              <w:spacing w:line="264" w:lineRule="auto"/>
              <w:ind w:firstLine="0" w:firstLineChars="0"/>
              <w:jc w:val="center"/>
              <w:rPr>
                <w:color w:val="000000" w:themeColor="text1"/>
                <w:spacing w:val="-5"/>
              </w:rPr>
            </w:pPr>
          </w:p>
        </w:tc>
      </w:tr>
      <w:tr w14:paraId="31E17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5B8E2B58">
            <w:pPr>
              <w:pStyle w:val="35"/>
              <w:rPr>
                <w:color w:val="000000" w:themeColor="text1"/>
                <w:sz w:val="24"/>
                <w:szCs w:val="24"/>
              </w:rPr>
            </w:pPr>
          </w:p>
        </w:tc>
        <w:tc>
          <w:tcPr>
            <w:tcW w:w="1750" w:type="dxa"/>
            <w:shd w:val="clear" w:color="auto" w:fill="auto"/>
            <w:vAlign w:val="center"/>
          </w:tcPr>
          <w:p w14:paraId="481A60DF">
            <w:pPr>
              <w:pStyle w:val="66"/>
              <w:spacing w:line="240" w:lineRule="auto"/>
              <w:ind w:left="0" w:right="0" w:firstLine="0" w:firstLineChars="0"/>
              <w:rPr>
                <w:color w:val="000000" w:themeColor="text1"/>
                <w:szCs w:val="24"/>
              </w:rPr>
            </w:pPr>
            <w:r>
              <w:rPr>
                <w:rFonts w:hint="eastAsia"/>
                <w:color w:val="000000" w:themeColor="text1"/>
                <w:szCs w:val="24"/>
              </w:rPr>
              <w:t>成品皮带输送机落料废气</w:t>
            </w:r>
          </w:p>
        </w:tc>
        <w:tc>
          <w:tcPr>
            <w:tcW w:w="990" w:type="dxa"/>
            <w:shd w:val="clear" w:color="auto" w:fill="auto"/>
            <w:vAlign w:val="center"/>
          </w:tcPr>
          <w:p w14:paraId="27D23374">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3BCBC5E0">
            <w:pPr>
              <w:pStyle w:val="66"/>
              <w:spacing w:line="240" w:lineRule="auto"/>
              <w:ind w:left="0" w:right="0" w:firstLine="0" w:firstLineChars="0"/>
              <w:rPr>
                <w:color w:val="000000" w:themeColor="text1"/>
                <w:szCs w:val="24"/>
              </w:rPr>
            </w:pPr>
            <w:r>
              <w:rPr>
                <w:rFonts w:hint="eastAsia"/>
                <w:color w:val="000000" w:themeColor="text1"/>
                <w:szCs w:val="24"/>
              </w:rPr>
              <w:t>成品皮带输送机落料点上方设置集气罩</w:t>
            </w:r>
          </w:p>
        </w:tc>
        <w:tc>
          <w:tcPr>
            <w:tcW w:w="1035" w:type="dxa"/>
            <w:vMerge w:val="continue"/>
            <w:shd w:val="clear" w:color="auto" w:fill="auto"/>
            <w:vAlign w:val="center"/>
          </w:tcPr>
          <w:p w14:paraId="3981A7FB">
            <w:pPr>
              <w:pStyle w:val="66"/>
              <w:spacing w:line="240" w:lineRule="auto"/>
              <w:ind w:left="0" w:right="0" w:firstLine="0" w:firstLineChars="0"/>
              <w:rPr>
                <w:color w:val="000000" w:themeColor="text1"/>
                <w:szCs w:val="24"/>
              </w:rPr>
            </w:pPr>
          </w:p>
        </w:tc>
        <w:tc>
          <w:tcPr>
            <w:tcW w:w="2751" w:type="dxa"/>
            <w:vMerge w:val="continue"/>
            <w:vAlign w:val="center"/>
          </w:tcPr>
          <w:p w14:paraId="5818C0F0">
            <w:pPr>
              <w:spacing w:line="264" w:lineRule="auto"/>
              <w:ind w:firstLine="0" w:firstLineChars="0"/>
              <w:jc w:val="center"/>
              <w:rPr>
                <w:color w:val="000000" w:themeColor="text1"/>
                <w:spacing w:val="-5"/>
              </w:rPr>
            </w:pPr>
          </w:p>
        </w:tc>
      </w:tr>
      <w:tr w14:paraId="4FE6E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51F71B4D">
            <w:pPr>
              <w:pStyle w:val="35"/>
              <w:rPr>
                <w:color w:val="000000" w:themeColor="text1"/>
                <w:sz w:val="24"/>
                <w:szCs w:val="24"/>
              </w:rPr>
            </w:pPr>
          </w:p>
        </w:tc>
        <w:tc>
          <w:tcPr>
            <w:tcW w:w="1750" w:type="dxa"/>
            <w:shd w:val="clear" w:color="auto" w:fill="auto"/>
            <w:vAlign w:val="center"/>
          </w:tcPr>
          <w:p w14:paraId="6D24296C">
            <w:pPr>
              <w:pStyle w:val="66"/>
              <w:spacing w:line="240" w:lineRule="auto"/>
              <w:ind w:left="0" w:right="0" w:firstLine="0" w:firstLineChars="0"/>
              <w:rPr>
                <w:color w:val="000000" w:themeColor="text1"/>
                <w:szCs w:val="24"/>
              </w:rPr>
            </w:pPr>
            <w:r>
              <w:rPr>
                <w:rFonts w:hint="eastAsia"/>
                <w:color w:val="000000" w:themeColor="text1"/>
                <w:szCs w:val="24"/>
              </w:rPr>
              <w:t>打包机包装废气</w:t>
            </w:r>
          </w:p>
        </w:tc>
        <w:tc>
          <w:tcPr>
            <w:tcW w:w="990" w:type="dxa"/>
            <w:shd w:val="clear" w:color="auto" w:fill="auto"/>
            <w:vAlign w:val="center"/>
          </w:tcPr>
          <w:p w14:paraId="48CB6B08">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1665" w:type="dxa"/>
            <w:shd w:val="clear" w:color="auto" w:fill="auto"/>
            <w:vAlign w:val="center"/>
          </w:tcPr>
          <w:p w14:paraId="340D603D">
            <w:pPr>
              <w:pStyle w:val="66"/>
              <w:spacing w:line="240" w:lineRule="auto"/>
              <w:ind w:left="0" w:right="0" w:firstLine="0" w:firstLineChars="0"/>
              <w:rPr>
                <w:color w:val="000000" w:themeColor="text1"/>
                <w:szCs w:val="24"/>
              </w:rPr>
            </w:pPr>
            <w:r>
              <w:rPr>
                <w:rFonts w:hint="eastAsia"/>
                <w:color w:val="000000" w:themeColor="text1"/>
                <w:szCs w:val="24"/>
              </w:rPr>
              <w:t>打包机侧方设置集气罩</w:t>
            </w:r>
          </w:p>
        </w:tc>
        <w:tc>
          <w:tcPr>
            <w:tcW w:w="1035" w:type="dxa"/>
            <w:vMerge w:val="continue"/>
            <w:shd w:val="clear" w:color="auto" w:fill="auto"/>
            <w:vAlign w:val="center"/>
          </w:tcPr>
          <w:p w14:paraId="662CD558">
            <w:pPr>
              <w:pStyle w:val="66"/>
              <w:spacing w:line="240" w:lineRule="auto"/>
              <w:ind w:left="0" w:right="0" w:firstLine="0" w:firstLineChars="0"/>
              <w:rPr>
                <w:color w:val="000000" w:themeColor="text1"/>
                <w:szCs w:val="24"/>
              </w:rPr>
            </w:pPr>
          </w:p>
        </w:tc>
        <w:tc>
          <w:tcPr>
            <w:tcW w:w="2751" w:type="dxa"/>
            <w:vMerge w:val="continue"/>
            <w:vAlign w:val="center"/>
          </w:tcPr>
          <w:p w14:paraId="238DC350">
            <w:pPr>
              <w:spacing w:line="264" w:lineRule="auto"/>
              <w:ind w:firstLine="0" w:firstLineChars="0"/>
              <w:jc w:val="center"/>
              <w:rPr>
                <w:color w:val="000000" w:themeColor="text1"/>
                <w:spacing w:val="-5"/>
              </w:rPr>
            </w:pPr>
          </w:p>
        </w:tc>
      </w:tr>
      <w:tr w14:paraId="175C9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1D5F4FF4">
            <w:pPr>
              <w:pStyle w:val="35"/>
              <w:rPr>
                <w:color w:val="000000" w:themeColor="text1"/>
                <w:sz w:val="24"/>
                <w:szCs w:val="24"/>
              </w:rPr>
            </w:pPr>
          </w:p>
        </w:tc>
        <w:tc>
          <w:tcPr>
            <w:tcW w:w="1750" w:type="dxa"/>
            <w:shd w:val="clear" w:color="auto" w:fill="auto"/>
            <w:vAlign w:val="center"/>
          </w:tcPr>
          <w:p w14:paraId="1DBAB3E7">
            <w:pPr>
              <w:pStyle w:val="66"/>
              <w:spacing w:line="240" w:lineRule="auto"/>
              <w:ind w:left="0" w:right="0" w:firstLine="0" w:firstLineChars="0"/>
              <w:rPr>
                <w:color w:val="000000" w:themeColor="text1"/>
                <w:szCs w:val="24"/>
              </w:rPr>
            </w:pPr>
            <w:r>
              <w:rPr>
                <w:rStyle w:val="53"/>
                <w:rFonts w:hint="eastAsia"/>
                <w:b w:val="0"/>
                <w:color w:val="000000" w:themeColor="text1"/>
                <w:sz w:val="24"/>
                <w:szCs w:val="24"/>
              </w:rPr>
              <w:t>原料装卸、堆存、铲车转运、上料斗上料过程废气</w:t>
            </w:r>
          </w:p>
        </w:tc>
        <w:tc>
          <w:tcPr>
            <w:tcW w:w="990" w:type="dxa"/>
            <w:shd w:val="clear" w:color="auto" w:fill="auto"/>
            <w:vAlign w:val="center"/>
          </w:tcPr>
          <w:p w14:paraId="363E160A">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2700" w:type="dxa"/>
            <w:gridSpan w:val="2"/>
            <w:shd w:val="clear" w:color="auto" w:fill="auto"/>
            <w:vAlign w:val="center"/>
          </w:tcPr>
          <w:p w14:paraId="264DE07C">
            <w:pPr>
              <w:pStyle w:val="66"/>
              <w:spacing w:line="240" w:lineRule="auto"/>
              <w:ind w:left="0" w:right="0" w:firstLine="0" w:firstLineChars="0"/>
              <w:rPr>
                <w:color w:val="000000" w:themeColor="text1"/>
                <w:szCs w:val="24"/>
              </w:rPr>
            </w:pPr>
            <w:r>
              <w:rPr>
                <w:rFonts w:hint="eastAsia"/>
                <w:color w:val="000000" w:themeColor="text1"/>
                <w:szCs w:val="24"/>
              </w:rPr>
              <w:t>产生量较小，在厂房内无组织排放</w:t>
            </w:r>
          </w:p>
        </w:tc>
        <w:tc>
          <w:tcPr>
            <w:tcW w:w="2751" w:type="dxa"/>
            <w:vAlign w:val="center"/>
          </w:tcPr>
          <w:p w14:paraId="54E48028">
            <w:pPr>
              <w:spacing w:line="264" w:lineRule="auto"/>
              <w:ind w:firstLine="0" w:firstLineChars="0"/>
              <w:jc w:val="center"/>
              <w:rPr>
                <w:color w:val="000000" w:themeColor="text1"/>
                <w:spacing w:val="-5"/>
              </w:rPr>
            </w:pPr>
            <w:r>
              <w:rPr>
                <w:rFonts w:hint="eastAsia"/>
                <w:color w:val="000000" w:themeColor="text1"/>
                <w:spacing w:val="-5"/>
              </w:rPr>
              <w:t>/</w:t>
            </w:r>
          </w:p>
        </w:tc>
      </w:tr>
      <w:tr w14:paraId="3D331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31DC1C41">
            <w:pPr>
              <w:pStyle w:val="35"/>
              <w:rPr>
                <w:color w:val="000000" w:themeColor="text1"/>
                <w:sz w:val="24"/>
                <w:szCs w:val="24"/>
              </w:rPr>
            </w:pPr>
          </w:p>
        </w:tc>
        <w:tc>
          <w:tcPr>
            <w:tcW w:w="1750" w:type="dxa"/>
            <w:shd w:val="clear" w:color="auto" w:fill="auto"/>
            <w:vAlign w:val="center"/>
          </w:tcPr>
          <w:p w14:paraId="43B6CA26">
            <w:pPr>
              <w:pStyle w:val="66"/>
              <w:spacing w:line="240" w:lineRule="auto"/>
              <w:ind w:left="0" w:right="0" w:firstLine="0" w:firstLineChars="0"/>
              <w:rPr>
                <w:color w:val="000000" w:themeColor="text1"/>
                <w:szCs w:val="24"/>
              </w:rPr>
            </w:pPr>
            <w:r>
              <w:rPr>
                <w:rFonts w:hint="eastAsia"/>
                <w:color w:val="000000" w:themeColor="text1"/>
                <w:szCs w:val="24"/>
              </w:rPr>
              <w:t>厂房</w:t>
            </w:r>
          </w:p>
        </w:tc>
        <w:tc>
          <w:tcPr>
            <w:tcW w:w="990" w:type="dxa"/>
            <w:shd w:val="clear" w:color="auto" w:fill="auto"/>
            <w:vAlign w:val="center"/>
          </w:tcPr>
          <w:p w14:paraId="395B86E1">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2700" w:type="dxa"/>
            <w:gridSpan w:val="2"/>
            <w:shd w:val="clear" w:color="auto" w:fill="auto"/>
            <w:vAlign w:val="center"/>
          </w:tcPr>
          <w:p w14:paraId="6E28D07F">
            <w:pPr>
              <w:pStyle w:val="66"/>
              <w:spacing w:line="240" w:lineRule="auto"/>
              <w:ind w:left="0" w:right="0" w:firstLine="0" w:firstLineChars="0"/>
              <w:rPr>
                <w:color w:val="000000" w:themeColor="text1"/>
                <w:szCs w:val="24"/>
              </w:rPr>
            </w:pPr>
            <w:r>
              <w:rPr>
                <w:rFonts w:hint="eastAsia"/>
                <w:color w:val="000000" w:themeColor="text1"/>
                <w:szCs w:val="24"/>
              </w:rPr>
              <w:t>/</w:t>
            </w:r>
          </w:p>
        </w:tc>
        <w:tc>
          <w:tcPr>
            <w:tcW w:w="2751" w:type="dxa"/>
            <w:vAlign w:val="center"/>
          </w:tcPr>
          <w:p w14:paraId="31B076B5">
            <w:pPr>
              <w:spacing w:line="264" w:lineRule="auto"/>
              <w:ind w:firstLine="0" w:firstLineChars="0"/>
              <w:jc w:val="center"/>
              <w:rPr>
                <w:color w:val="000000" w:themeColor="text1"/>
                <w:spacing w:val="-5"/>
              </w:rPr>
            </w:pPr>
            <w:r>
              <w:rPr>
                <w:rFonts w:hint="eastAsia"/>
                <w:color w:val="000000" w:themeColor="text1"/>
              </w:rPr>
              <w:t>《</w:t>
            </w:r>
            <w:r>
              <w:rPr>
                <w:rStyle w:val="27"/>
                <w:rFonts w:ascii="Arial" w:hAnsi="Arial" w:eastAsia="Arial" w:cs="Arial"/>
                <w:b w:val="0"/>
                <w:color w:val="000000" w:themeColor="text1"/>
                <w:shd w:val="clear" w:color="auto" w:fill="FFFFFF"/>
              </w:rPr>
              <w:t>工业炉窑大气污染物排放标准</w:t>
            </w:r>
            <w:r>
              <w:rPr>
                <w:rFonts w:hint="eastAsia"/>
                <w:color w:val="000000" w:themeColor="text1"/>
              </w:rPr>
              <w:t>》（GB 9078-1996）表3其他炉窑有车间厂房无组织排放浓度5</w:t>
            </w:r>
            <w:r>
              <w:rPr>
                <w:color w:val="000000" w:themeColor="text1"/>
                <w:kern w:val="0"/>
              </w:rPr>
              <w:t>mg/m</w:t>
            </w:r>
            <w:r>
              <w:rPr>
                <w:color w:val="000000" w:themeColor="text1"/>
                <w:kern w:val="0"/>
                <w:vertAlign w:val="superscript"/>
              </w:rPr>
              <w:t>3</w:t>
            </w:r>
          </w:p>
        </w:tc>
      </w:tr>
      <w:tr w14:paraId="5D2EC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27CA7013">
            <w:pPr>
              <w:pStyle w:val="35"/>
              <w:rPr>
                <w:color w:val="000000" w:themeColor="text1"/>
                <w:sz w:val="24"/>
                <w:szCs w:val="24"/>
              </w:rPr>
            </w:pPr>
          </w:p>
        </w:tc>
        <w:tc>
          <w:tcPr>
            <w:tcW w:w="1750" w:type="dxa"/>
            <w:shd w:val="clear" w:color="auto" w:fill="auto"/>
            <w:vAlign w:val="center"/>
          </w:tcPr>
          <w:p w14:paraId="333A1FE8">
            <w:pPr>
              <w:pStyle w:val="66"/>
              <w:spacing w:line="240" w:lineRule="auto"/>
              <w:ind w:left="0" w:right="0" w:firstLine="0" w:firstLineChars="0"/>
              <w:rPr>
                <w:color w:val="000000" w:themeColor="text1"/>
                <w:szCs w:val="24"/>
              </w:rPr>
            </w:pPr>
            <w:r>
              <w:rPr>
                <w:rFonts w:hint="eastAsia"/>
                <w:color w:val="000000" w:themeColor="text1"/>
                <w:szCs w:val="24"/>
              </w:rPr>
              <w:t>厂界</w:t>
            </w:r>
          </w:p>
        </w:tc>
        <w:tc>
          <w:tcPr>
            <w:tcW w:w="990" w:type="dxa"/>
            <w:shd w:val="clear" w:color="auto" w:fill="auto"/>
            <w:vAlign w:val="center"/>
          </w:tcPr>
          <w:p w14:paraId="35EEFD6D">
            <w:pPr>
              <w:pStyle w:val="66"/>
              <w:spacing w:line="240" w:lineRule="auto"/>
              <w:ind w:left="0" w:right="0" w:firstLine="0" w:firstLineChars="0"/>
              <w:rPr>
                <w:color w:val="000000" w:themeColor="text1"/>
                <w:szCs w:val="24"/>
              </w:rPr>
            </w:pPr>
            <w:r>
              <w:rPr>
                <w:rFonts w:hint="eastAsia"/>
                <w:color w:val="000000" w:themeColor="text1"/>
                <w:szCs w:val="24"/>
              </w:rPr>
              <w:t>颗粒物</w:t>
            </w:r>
          </w:p>
        </w:tc>
        <w:tc>
          <w:tcPr>
            <w:tcW w:w="2700" w:type="dxa"/>
            <w:gridSpan w:val="2"/>
            <w:shd w:val="clear" w:color="auto" w:fill="auto"/>
            <w:vAlign w:val="center"/>
          </w:tcPr>
          <w:p w14:paraId="03BC1BD3">
            <w:pPr>
              <w:pStyle w:val="66"/>
              <w:spacing w:line="240" w:lineRule="auto"/>
              <w:ind w:left="0" w:right="0" w:firstLine="0" w:firstLineChars="0"/>
              <w:rPr>
                <w:color w:val="000000" w:themeColor="text1"/>
                <w:szCs w:val="24"/>
              </w:rPr>
            </w:pPr>
            <w:r>
              <w:rPr>
                <w:rFonts w:hint="eastAsia"/>
                <w:color w:val="000000" w:themeColor="text1"/>
                <w:szCs w:val="24"/>
              </w:rPr>
              <w:t>/</w:t>
            </w:r>
          </w:p>
        </w:tc>
        <w:tc>
          <w:tcPr>
            <w:tcW w:w="2751" w:type="dxa"/>
            <w:vAlign w:val="center"/>
          </w:tcPr>
          <w:p w14:paraId="0767122E">
            <w:pPr>
              <w:spacing w:line="264" w:lineRule="auto"/>
              <w:ind w:firstLine="0" w:firstLineChars="0"/>
              <w:jc w:val="center"/>
              <w:rPr>
                <w:color w:val="000000" w:themeColor="text1"/>
              </w:rPr>
            </w:pPr>
            <w:r>
              <w:rPr>
                <w:color w:val="000000" w:themeColor="text1"/>
                <w:spacing w:val="-5"/>
              </w:rPr>
              <w:t>《大气污染物综合排放标准》（</w:t>
            </w:r>
            <w:r>
              <w:rPr>
                <w:rFonts w:eastAsia="Times New Roman"/>
                <w:color w:val="000000" w:themeColor="text1"/>
                <w:spacing w:val="-6"/>
              </w:rPr>
              <w:t>GB16297-1996</w:t>
            </w:r>
            <w:r>
              <w:rPr>
                <w:color w:val="000000" w:themeColor="text1"/>
                <w:spacing w:val="-6"/>
              </w:rPr>
              <w:t>）</w:t>
            </w:r>
            <w:r>
              <w:rPr>
                <w:rFonts w:hint="eastAsia"/>
                <w:color w:val="000000" w:themeColor="text1"/>
                <w:spacing w:val="-6"/>
              </w:rPr>
              <w:t>表 2 中无组织排放监控浓度限值</w:t>
            </w:r>
            <w:r>
              <w:rPr>
                <w:rFonts w:hint="eastAsia"/>
                <w:color w:val="000000" w:themeColor="text1"/>
              </w:rPr>
              <w:t>1.0mg/m</w:t>
            </w:r>
            <w:r>
              <w:rPr>
                <w:rFonts w:hint="eastAsia"/>
                <w:color w:val="000000" w:themeColor="text1"/>
                <w:vertAlign w:val="superscript"/>
              </w:rPr>
              <w:t>3</w:t>
            </w:r>
          </w:p>
        </w:tc>
      </w:tr>
      <w:tr w14:paraId="7A7B4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vAlign w:val="center"/>
          </w:tcPr>
          <w:p w14:paraId="04CD01EA">
            <w:pPr>
              <w:pStyle w:val="35"/>
              <w:rPr>
                <w:color w:val="000000" w:themeColor="text1"/>
                <w:sz w:val="24"/>
                <w:szCs w:val="24"/>
              </w:rPr>
            </w:pPr>
            <w:r>
              <w:rPr>
                <w:rFonts w:hint="eastAsia"/>
                <w:color w:val="000000" w:themeColor="text1"/>
                <w:sz w:val="24"/>
                <w:szCs w:val="24"/>
              </w:rPr>
              <w:t>地表水环境</w:t>
            </w:r>
          </w:p>
        </w:tc>
        <w:tc>
          <w:tcPr>
            <w:tcW w:w="1750" w:type="dxa"/>
            <w:shd w:val="clear" w:color="auto" w:fill="auto"/>
            <w:vAlign w:val="center"/>
          </w:tcPr>
          <w:p w14:paraId="791C73C7">
            <w:pPr>
              <w:pStyle w:val="66"/>
              <w:spacing w:line="240" w:lineRule="auto"/>
              <w:ind w:left="0" w:right="0" w:firstLine="0" w:firstLineChars="0"/>
              <w:rPr>
                <w:color w:val="000000" w:themeColor="text1"/>
                <w:szCs w:val="24"/>
              </w:rPr>
            </w:pPr>
            <w:r>
              <w:rPr>
                <w:rFonts w:hint="eastAsia"/>
                <w:color w:val="000000" w:themeColor="text1"/>
                <w:szCs w:val="24"/>
              </w:rPr>
              <w:t>热风炉冷却过程排污水</w:t>
            </w:r>
          </w:p>
        </w:tc>
        <w:tc>
          <w:tcPr>
            <w:tcW w:w="990" w:type="dxa"/>
            <w:shd w:val="clear" w:color="auto" w:fill="auto"/>
            <w:vAlign w:val="center"/>
          </w:tcPr>
          <w:p w14:paraId="513334DF">
            <w:pPr>
              <w:pStyle w:val="66"/>
              <w:spacing w:line="240" w:lineRule="auto"/>
              <w:ind w:left="0" w:right="0" w:firstLine="0" w:firstLineChars="0"/>
              <w:rPr>
                <w:color w:val="000000" w:themeColor="text1"/>
                <w:szCs w:val="24"/>
              </w:rPr>
            </w:pPr>
            <w:r>
              <w:rPr>
                <w:rFonts w:hint="eastAsia"/>
                <w:color w:val="000000" w:themeColor="text1"/>
                <w:szCs w:val="24"/>
              </w:rPr>
              <w:t>COD、SS</w:t>
            </w:r>
          </w:p>
        </w:tc>
        <w:tc>
          <w:tcPr>
            <w:tcW w:w="2700" w:type="dxa"/>
            <w:gridSpan w:val="2"/>
            <w:shd w:val="clear" w:color="auto" w:fill="auto"/>
            <w:vAlign w:val="center"/>
          </w:tcPr>
          <w:p w14:paraId="49F897C2">
            <w:pPr>
              <w:pStyle w:val="66"/>
              <w:spacing w:line="240" w:lineRule="auto"/>
              <w:ind w:left="0" w:right="0" w:firstLine="0" w:firstLineChars="0"/>
              <w:rPr>
                <w:color w:val="000000" w:themeColor="text1"/>
                <w:szCs w:val="24"/>
              </w:rPr>
            </w:pPr>
            <w:r>
              <w:rPr>
                <w:rFonts w:hint="eastAsia"/>
                <w:color w:val="000000" w:themeColor="text1"/>
                <w:szCs w:val="24"/>
              </w:rPr>
              <w:t>热风炉冷却过程排污水</w:t>
            </w:r>
            <w:r>
              <w:rPr>
                <w:color w:val="000000" w:themeColor="text1"/>
                <w:szCs w:val="24"/>
              </w:rPr>
              <w:t>回用于</w:t>
            </w:r>
            <w:r>
              <w:rPr>
                <w:rFonts w:hint="eastAsia" w:ascii="宋体" w:hAnsi="宋体" w:cs="宋体"/>
                <w:color w:val="000000" w:themeColor="text1"/>
                <w:szCs w:val="24"/>
              </w:rPr>
              <w:t>冲厕用水再利用，</w:t>
            </w:r>
            <w:r>
              <w:rPr>
                <w:rFonts w:hint="eastAsia"/>
                <w:color w:val="000000" w:themeColor="text1"/>
                <w:szCs w:val="24"/>
              </w:rPr>
              <w:t>不外排</w:t>
            </w:r>
          </w:p>
        </w:tc>
        <w:tc>
          <w:tcPr>
            <w:tcW w:w="2751" w:type="dxa"/>
            <w:vAlign w:val="center"/>
          </w:tcPr>
          <w:p w14:paraId="501834EA">
            <w:pPr>
              <w:pStyle w:val="35"/>
              <w:spacing w:line="264" w:lineRule="auto"/>
              <w:rPr>
                <w:color w:val="000000" w:themeColor="text1"/>
                <w:sz w:val="24"/>
                <w:szCs w:val="24"/>
              </w:rPr>
            </w:pPr>
            <w:r>
              <w:rPr>
                <w:rFonts w:hint="eastAsia"/>
                <w:color w:val="000000" w:themeColor="text1"/>
                <w:sz w:val="24"/>
                <w:szCs w:val="24"/>
              </w:rPr>
              <w:t>《城市污水再生利用 城市杂用水水质》（GB/T 18920-2020）中冲厕用水水质标准要求：COD：/、SS：/</w:t>
            </w:r>
          </w:p>
        </w:tc>
      </w:tr>
      <w:tr w14:paraId="7B0C5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42F4872D">
            <w:pPr>
              <w:pStyle w:val="35"/>
              <w:rPr>
                <w:color w:val="000000" w:themeColor="text1"/>
                <w:sz w:val="24"/>
                <w:szCs w:val="24"/>
              </w:rPr>
            </w:pPr>
          </w:p>
        </w:tc>
        <w:tc>
          <w:tcPr>
            <w:tcW w:w="1750" w:type="dxa"/>
            <w:shd w:val="clear" w:color="auto" w:fill="auto"/>
            <w:vAlign w:val="center"/>
          </w:tcPr>
          <w:p w14:paraId="6E11BBDD">
            <w:pPr>
              <w:pStyle w:val="66"/>
              <w:spacing w:line="240" w:lineRule="auto"/>
              <w:ind w:left="0" w:right="0" w:firstLine="0" w:firstLineChars="0"/>
              <w:rPr>
                <w:color w:val="000000" w:themeColor="text1"/>
                <w:szCs w:val="24"/>
              </w:rPr>
            </w:pPr>
            <w:r>
              <w:rPr>
                <w:rFonts w:hint="eastAsia"/>
                <w:color w:val="000000" w:themeColor="text1"/>
                <w:szCs w:val="24"/>
              </w:rPr>
              <w:t>生活污水</w:t>
            </w:r>
          </w:p>
        </w:tc>
        <w:tc>
          <w:tcPr>
            <w:tcW w:w="990" w:type="dxa"/>
            <w:shd w:val="clear" w:color="auto" w:fill="auto"/>
            <w:vAlign w:val="center"/>
          </w:tcPr>
          <w:p w14:paraId="48BA90C4">
            <w:pPr>
              <w:pStyle w:val="66"/>
              <w:spacing w:line="240" w:lineRule="auto"/>
              <w:ind w:left="0" w:right="0" w:firstLine="0" w:firstLineChars="0"/>
              <w:rPr>
                <w:color w:val="000000" w:themeColor="text1"/>
                <w:szCs w:val="24"/>
              </w:rPr>
            </w:pPr>
            <w:r>
              <w:rPr>
                <w:color w:val="000000" w:themeColor="text1"/>
                <w:szCs w:val="24"/>
              </w:rPr>
              <w:t>pH、COD、BOD</w:t>
            </w:r>
            <w:r>
              <w:rPr>
                <w:color w:val="000000" w:themeColor="text1"/>
                <w:szCs w:val="24"/>
                <w:vertAlign w:val="subscript"/>
              </w:rPr>
              <w:t>5</w:t>
            </w:r>
            <w:r>
              <w:rPr>
                <w:color w:val="000000" w:themeColor="text1"/>
                <w:szCs w:val="24"/>
              </w:rPr>
              <w:t>、SS、NH</w:t>
            </w:r>
            <w:r>
              <w:rPr>
                <w:color w:val="000000" w:themeColor="text1"/>
                <w:szCs w:val="24"/>
                <w:vertAlign w:val="subscript"/>
              </w:rPr>
              <w:t>3</w:t>
            </w:r>
            <w:r>
              <w:rPr>
                <w:color w:val="000000" w:themeColor="text1"/>
                <w:szCs w:val="24"/>
              </w:rPr>
              <w:t>-N</w:t>
            </w:r>
            <w:r>
              <w:rPr>
                <w:rFonts w:hint="eastAsia"/>
                <w:color w:val="000000" w:themeColor="text1"/>
                <w:szCs w:val="24"/>
              </w:rPr>
              <w:t>、TN、TP</w:t>
            </w:r>
          </w:p>
        </w:tc>
        <w:tc>
          <w:tcPr>
            <w:tcW w:w="2700" w:type="dxa"/>
            <w:gridSpan w:val="2"/>
            <w:shd w:val="clear" w:color="auto" w:fill="auto"/>
            <w:vAlign w:val="center"/>
          </w:tcPr>
          <w:p w14:paraId="29F23AFC">
            <w:pPr>
              <w:pStyle w:val="66"/>
              <w:spacing w:line="240" w:lineRule="auto"/>
              <w:ind w:left="0" w:right="0" w:firstLine="0" w:firstLineChars="0"/>
              <w:rPr>
                <w:color w:val="000000" w:themeColor="text1"/>
                <w:szCs w:val="24"/>
              </w:rPr>
            </w:pPr>
            <w:r>
              <w:rPr>
                <w:rFonts w:hint="eastAsia"/>
                <w:color w:val="000000" w:themeColor="text1"/>
                <w:szCs w:val="24"/>
              </w:rPr>
              <w:t>排入市政污水管网，最终进入曹妃甸工业区装备制造区污水处理站处理</w:t>
            </w:r>
          </w:p>
        </w:tc>
        <w:tc>
          <w:tcPr>
            <w:tcW w:w="2751" w:type="dxa"/>
            <w:vAlign w:val="center"/>
          </w:tcPr>
          <w:p w14:paraId="144F24F8">
            <w:pPr>
              <w:pStyle w:val="35"/>
              <w:spacing w:line="264" w:lineRule="auto"/>
              <w:rPr>
                <w:color w:val="000000" w:themeColor="text1"/>
                <w:sz w:val="24"/>
                <w:szCs w:val="24"/>
              </w:rPr>
            </w:pPr>
            <w:r>
              <w:rPr>
                <w:rFonts w:hint="eastAsia"/>
                <w:color w:val="000000" w:themeColor="text1"/>
                <w:sz w:val="24"/>
                <w:szCs w:val="24"/>
              </w:rPr>
              <w:t>《污水综合排放标准》（GB8978</w:t>
            </w:r>
            <w:r>
              <w:rPr>
                <w:rFonts w:hint="eastAsia" w:ascii="宋体" w:hAnsi="宋体" w:cs="宋体"/>
                <w:color w:val="000000" w:themeColor="text1"/>
                <w:sz w:val="24"/>
                <w:szCs w:val="24"/>
              </w:rPr>
              <w:t>-</w:t>
            </w:r>
            <w:r>
              <w:rPr>
                <w:rFonts w:hint="eastAsia"/>
                <w:color w:val="000000" w:themeColor="text1"/>
                <w:sz w:val="24"/>
                <w:szCs w:val="24"/>
              </w:rPr>
              <w:t>1996）表4中三级标准及曹妃甸工业区装备制造区污水处理站进水水质要求：pH：6-9（无量纲）、COD：</w:t>
            </w:r>
            <w:r>
              <w:rPr>
                <w:color w:val="000000" w:themeColor="text1"/>
                <w:kern w:val="24"/>
                <w:sz w:val="24"/>
                <w:szCs w:val="24"/>
              </w:rPr>
              <w:t>3</w:t>
            </w:r>
            <w:r>
              <w:rPr>
                <w:rFonts w:hint="eastAsia"/>
                <w:color w:val="000000" w:themeColor="text1"/>
                <w:kern w:val="24"/>
                <w:sz w:val="24"/>
                <w:szCs w:val="24"/>
              </w:rPr>
              <w:t>5</w:t>
            </w:r>
            <w:r>
              <w:rPr>
                <w:color w:val="000000" w:themeColor="text1"/>
                <w:kern w:val="24"/>
                <w:sz w:val="24"/>
                <w:szCs w:val="24"/>
              </w:rPr>
              <w:t>0mg/L、</w:t>
            </w:r>
            <w:r>
              <w:rPr>
                <w:rFonts w:hint="eastAsia"/>
                <w:color w:val="000000" w:themeColor="text1"/>
                <w:kern w:val="24"/>
                <w:sz w:val="24"/>
                <w:szCs w:val="24"/>
              </w:rPr>
              <w:t>BOD</w:t>
            </w:r>
            <w:r>
              <w:rPr>
                <w:rFonts w:hint="eastAsia"/>
                <w:color w:val="000000" w:themeColor="text1"/>
                <w:kern w:val="24"/>
                <w:sz w:val="24"/>
                <w:szCs w:val="24"/>
                <w:vertAlign w:val="subscript"/>
              </w:rPr>
              <w:t>5</w:t>
            </w:r>
            <w:r>
              <w:rPr>
                <w:rFonts w:hint="eastAsia"/>
                <w:color w:val="000000" w:themeColor="text1"/>
                <w:kern w:val="24"/>
                <w:sz w:val="24"/>
                <w:szCs w:val="24"/>
              </w:rPr>
              <w:t>：150</w:t>
            </w:r>
            <w:r>
              <w:rPr>
                <w:color w:val="000000" w:themeColor="text1"/>
                <w:kern w:val="24"/>
                <w:sz w:val="24"/>
                <w:szCs w:val="24"/>
              </w:rPr>
              <w:t>mg/L、</w:t>
            </w:r>
            <w:r>
              <w:rPr>
                <w:rFonts w:hint="eastAsia"/>
                <w:color w:val="000000" w:themeColor="text1"/>
                <w:kern w:val="24"/>
                <w:sz w:val="24"/>
                <w:szCs w:val="24"/>
              </w:rPr>
              <w:t>SS：390</w:t>
            </w:r>
            <w:r>
              <w:rPr>
                <w:color w:val="000000" w:themeColor="text1"/>
                <w:kern w:val="24"/>
                <w:sz w:val="24"/>
                <w:szCs w:val="24"/>
              </w:rPr>
              <w:t>mg/L、</w:t>
            </w:r>
            <w:r>
              <w:rPr>
                <w:rFonts w:hint="eastAsia"/>
                <w:color w:val="000000" w:themeColor="text1"/>
                <w:kern w:val="24"/>
                <w:sz w:val="24"/>
                <w:szCs w:val="24"/>
              </w:rPr>
              <w:t>氨氮：35</w:t>
            </w:r>
            <w:r>
              <w:rPr>
                <w:color w:val="000000" w:themeColor="text1"/>
                <w:kern w:val="24"/>
                <w:sz w:val="24"/>
                <w:szCs w:val="24"/>
              </w:rPr>
              <w:t>mg/L、</w:t>
            </w:r>
            <w:r>
              <w:rPr>
                <w:rFonts w:hint="eastAsia"/>
                <w:color w:val="000000" w:themeColor="text1"/>
                <w:kern w:val="24"/>
                <w:sz w:val="24"/>
                <w:szCs w:val="24"/>
              </w:rPr>
              <w:t>总氮：40</w:t>
            </w:r>
            <w:r>
              <w:rPr>
                <w:color w:val="000000" w:themeColor="text1"/>
                <w:kern w:val="24"/>
                <w:sz w:val="24"/>
                <w:szCs w:val="24"/>
              </w:rPr>
              <w:t>mg/L</w:t>
            </w:r>
            <w:r>
              <w:rPr>
                <w:rFonts w:hint="eastAsia"/>
                <w:color w:val="000000" w:themeColor="text1"/>
                <w:kern w:val="24"/>
                <w:sz w:val="24"/>
                <w:szCs w:val="24"/>
              </w:rPr>
              <w:t>，总磷：6mg/L</w:t>
            </w:r>
          </w:p>
        </w:tc>
      </w:tr>
      <w:tr w14:paraId="036A6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7282BBDD">
            <w:pPr>
              <w:pStyle w:val="35"/>
              <w:rPr>
                <w:color w:val="000000" w:themeColor="text1"/>
                <w:sz w:val="24"/>
                <w:szCs w:val="24"/>
              </w:rPr>
            </w:pPr>
            <w:r>
              <w:rPr>
                <w:rFonts w:hint="eastAsia"/>
                <w:color w:val="000000" w:themeColor="text1"/>
                <w:sz w:val="24"/>
                <w:szCs w:val="24"/>
              </w:rPr>
              <w:t>声环境</w:t>
            </w:r>
          </w:p>
        </w:tc>
        <w:tc>
          <w:tcPr>
            <w:tcW w:w="1750" w:type="dxa"/>
            <w:vAlign w:val="center"/>
          </w:tcPr>
          <w:p w14:paraId="7B195F08">
            <w:pPr>
              <w:pStyle w:val="35"/>
              <w:spacing w:line="264" w:lineRule="auto"/>
              <w:rPr>
                <w:color w:val="000000" w:themeColor="text1"/>
                <w:sz w:val="24"/>
                <w:szCs w:val="24"/>
              </w:rPr>
            </w:pPr>
            <w:r>
              <w:rPr>
                <w:rFonts w:hint="eastAsia"/>
                <w:color w:val="000000" w:themeColor="text1"/>
                <w:sz w:val="24"/>
                <w:szCs w:val="24"/>
              </w:rPr>
              <w:t>产噪生产设备及环保设备风机</w:t>
            </w:r>
          </w:p>
        </w:tc>
        <w:tc>
          <w:tcPr>
            <w:tcW w:w="990" w:type="dxa"/>
            <w:vAlign w:val="center"/>
          </w:tcPr>
          <w:p w14:paraId="48267384">
            <w:pPr>
              <w:pStyle w:val="35"/>
              <w:spacing w:line="264" w:lineRule="auto"/>
              <w:rPr>
                <w:color w:val="000000" w:themeColor="text1"/>
                <w:sz w:val="24"/>
                <w:szCs w:val="24"/>
              </w:rPr>
            </w:pPr>
            <w:r>
              <w:rPr>
                <w:rFonts w:hint="eastAsia"/>
                <w:color w:val="000000" w:themeColor="text1"/>
                <w:sz w:val="24"/>
                <w:szCs w:val="24"/>
              </w:rPr>
              <w:t>噪声</w:t>
            </w:r>
          </w:p>
        </w:tc>
        <w:tc>
          <w:tcPr>
            <w:tcW w:w="2700" w:type="dxa"/>
            <w:gridSpan w:val="2"/>
            <w:vAlign w:val="center"/>
          </w:tcPr>
          <w:p w14:paraId="00F7D96B">
            <w:pPr>
              <w:pStyle w:val="35"/>
              <w:spacing w:line="264" w:lineRule="auto"/>
              <w:rPr>
                <w:color w:val="000000" w:themeColor="text1"/>
                <w:sz w:val="24"/>
                <w:szCs w:val="24"/>
              </w:rPr>
            </w:pPr>
            <w:r>
              <w:rPr>
                <w:rFonts w:hint="eastAsia"/>
                <w:color w:val="000000" w:themeColor="text1"/>
                <w:sz w:val="24"/>
                <w:szCs w:val="24"/>
              </w:rPr>
              <w:t>选用低噪声设备、设置基础减振、封闭厂房隔声、风机设置隔声罩</w:t>
            </w:r>
          </w:p>
        </w:tc>
        <w:tc>
          <w:tcPr>
            <w:tcW w:w="2751" w:type="dxa"/>
            <w:vAlign w:val="center"/>
          </w:tcPr>
          <w:p w14:paraId="390D0077">
            <w:pPr>
              <w:pStyle w:val="35"/>
              <w:spacing w:line="264" w:lineRule="auto"/>
              <w:rPr>
                <w:color w:val="000000" w:themeColor="text1"/>
                <w:sz w:val="24"/>
                <w:szCs w:val="24"/>
              </w:rPr>
            </w:pPr>
            <w:r>
              <w:rPr>
                <w:color w:val="000000" w:themeColor="text1"/>
                <w:sz w:val="24"/>
                <w:szCs w:val="24"/>
              </w:rPr>
              <w:t>《工业企业厂界环境噪声排放标准》（GB12348-2008）中</w:t>
            </w:r>
            <w:r>
              <w:rPr>
                <w:rFonts w:hint="eastAsia"/>
                <w:color w:val="000000" w:themeColor="text1"/>
                <w:sz w:val="24"/>
                <w:szCs w:val="24"/>
              </w:rPr>
              <w:t>3类标准：昼间65dB（A），夜间55dB（A）</w:t>
            </w:r>
          </w:p>
        </w:tc>
      </w:tr>
      <w:tr w14:paraId="5B1DE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1DB15B7C">
            <w:pPr>
              <w:pStyle w:val="35"/>
              <w:rPr>
                <w:color w:val="000000" w:themeColor="text1"/>
                <w:sz w:val="24"/>
                <w:szCs w:val="24"/>
              </w:rPr>
            </w:pPr>
            <w:r>
              <w:rPr>
                <w:rFonts w:hint="eastAsia"/>
                <w:color w:val="000000" w:themeColor="text1"/>
                <w:sz w:val="24"/>
                <w:szCs w:val="24"/>
              </w:rPr>
              <w:t>电磁辐射</w:t>
            </w:r>
          </w:p>
        </w:tc>
        <w:tc>
          <w:tcPr>
            <w:tcW w:w="1750" w:type="dxa"/>
            <w:vAlign w:val="center"/>
          </w:tcPr>
          <w:p w14:paraId="6A4DD3D3">
            <w:pPr>
              <w:pStyle w:val="35"/>
              <w:spacing w:line="264" w:lineRule="auto"/>
              <w:rPr>
                <w:color w:val="000000" w:themeColor="text1"/>
                <w:sz w:val="24"/>
                <w:szCs w:val="24"/>
              </w:rPr>
            </w:pPr>
            <w:r>
              <w:rPr>
                <w:rFonts w:hint="eastAsia"/>
                <w:color w:val="000000" w:themeColor="text1"/>
                <w:sz w:val="24"/>
                <w:szCs w:val="24"/>
              </w:rPr>
              <w:t>-</w:t>
            </w:r>
          </w:p>
        </w:tc>
        <w:tc>
          <w:tcPr>
            <w:tcW w:w="990" w:type="dxa"/>
            <w:vAlign w:val="center"/>
          </w:tcPr>
          <w:p w14:paraId="362E6D2F">
            <w:pPr>
              <w:pStyle w:val="35"/>
              <w:spacing w:line="264" w:lineRule="auto"/>
              <w:rPr>
                <w:color w:val="000000" w:themeColor="text1"/>
                <w:sz w:val="24"/>
                <w:szCs w:val="24"/>
              </w:rPr>
            </w:pPr>
            <w:r>
              <w:rPr>
                <w:rFonts w:hint="eastAsia"/>
                <w:color w:val="000000" w:themeColor="text1"/>
                <w:sz w:val="24"/>
                <w:szCs w:val="24"/>
              </w:rPr>
              <w:t>-</w:t>
            </w:r>
          </w:p>
        </w:tc>
        <w:tc>
          <w:tcPr>
            <w:tcW w:w="2700" w:type="dxa"/>
            <w:gridSpan w:val="2"/>
            <w:vAlign w:val="center"/>
          </w:tcPr>
          <w:p w14:paraId="4A6B7607">
            <w:pPr>
              <w:pStyle w:val="35"/>
              <w:spacing w:line="264" w:lineRule="auto"/>
              <w:rPr>
                <w:color w:val="000000" w:themeColor="text1"/>
                <w:sz w:val="24"/>
                <w:szCs w:val="24"/>
              </w:rPr>
            </w:pPr>
            <w:r>
              <w:rPr>
                <w:rFonts w:hint="eastAsia"/>
                <w:color w:val="000000" w:themeColor="text1"/>
                <w:sz w:val="24"/>
                <w:szCs w:val="24"/>
              </w:rPr>
              <w:t>-</w:t>
            </w:r>
          </w:p>
        </w:tc>
        <w:tc>
          <w:tcPr>
            <w:tcW w:w="2751" w:type="dxa"/>
            <w:vAlign w:val="center"/>
          </w:tcPr>
          <w:p w14:paraId="1E1ABDD7">
            <w:pPr>
              <w:pStyle w:val="35"/>
              <w:spacing w:line="264" w:lineRule="auto"/>
              <w:rPr>
                <w:color w:val="000000" w:themeColor="text1"/>
                <w:sz w:val="24"/>
                <w:szCs w:val="24"/>
              </w:rPr>
            </w:pPr>
            <w:r>
              <w:rPr>
                <w:rFonts w:hint="eastAsia"/>
                <w:color w:val="000000" w:themeColor="text1"/>
                <w:sz w:val="24"/>
                <w:szCs w:val="24"/>
              </w:rPr>
              <w:t>-</w:t>
            </w:r>
          </w:p>
        </w:tc>
      </w:tr>
      <w:tr w14:paraId="3A246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vAlign w:val="center"/>
          </w:tcPr>
          <w:p w14:paraId="50D9669F">
            <w:pPr>
              <w:pStyle w:val="35"/>
              <w:rPr>
                <w:color w:val="000000" w:themeColor="text1"/>
                <w:sz w:val="24"/>
                <w:szCs w:val="24"/>
              </w:rPr>
            </w:pPr>
            <w:r>
              <w:rPr>
                <w:rFonts w:hint="eastAsia"/>
                <w:color w:val="000000" w:themeColor="text1"/>
                <w:sz w:val="24"/>
                <w:szCs w:val="24"/>
              </w:rPr>
              <w:t>固体废物</w:t>
            </w:r>
          </w:p>
        </w:tc>
        <w:tc>
          <w:tcPr>
            <w:tcW w:w="1750" w:type="dxa"/>
            <w:vAlign w:val="center"/>
          </w:tcPr>
          <w:p w14:paraId="799DD203">
            <w:pPr>
              <w:spacing w:line="360" w:lineRule="auto"/>
              <w:ind w:firstLine="0" w:firstLineChars="0"/>
              <w:jc w:val="center"/>
              <w:rPr>
                <w:color w:val="000000" w:themeColor="text1"/>
              </w:rPr>
            </w:pPr>
            <w:r>
              <w:rPr>
                <w:rFonts w:hint="eastAsia"/>
                <w:color w:val="000000" w:themeColor="text1"/>
              </w:rPr>
              <w:t>一般工业固体废物</w:t>
            </w:r>
          </w:p>
        </w:tc>
        <w:tc>
          <w:tcPr>
            <w:tcW w:w="6441" w:type="dxa"/>
            <w:gridSpan w:val="4"/>
            <w:vAlign w:val="center"/>
          </w:tcPr>
          <w:p w14:paraId="5D6CAFD1">
            <w:pPr>
              <w:spacing w:line="360" w:lineRule="auto"/>
              <w:ind w:firstLine="480"/>
              <w:jc w:val="left"/>
              <w:rPr>
                <w:color w:val="000000" w:themeColor="text1"/>
              </w:rPr>
            </w:pPr>
            <w:r>
              <w:rPr>
                <w:rFonts w:hint="eastAsia"/>
                <w:color w:val="000000" w:themeColor="text1"/>
              </w:rPr>
              <w:t>滚筒筛筛分</w:t>
            </w:r>
            <w:r>
              <w:rPr>
                <w:color w:val="000000" w:themeColor="text1"/>
              </w:rPr>
              <w:t>过程产生</w:t>
            </w:r>
            <w:r>
              <w:rPr>
                <w:rFonts w:hint="eastAsia"/>
                <w:color w:val="000000" w:themeColor="text1"/>
              </w:rPr>
              <w:t>的大块木废边角料暂存于一般固废储存区，定期外售给下游收购商进行加工处理；热风炉炉排下方排出的灰渣</w:t>
            </w:r>
            <w:r>
              <w:rPr>
                <w:color w:val="000000" w:themeColor="text1"/>
              </w:rPr>
              <w:t>通过炉排缝隙自然下落至底部灰斗，定期打开灰斗门人工清理，</w:t>
            </w:r>
            <w:r>
              <w:rPr>
                <w:rFonts w:hint="eastAsia"/>
                <w:color w:val="000000" w:themeColor="text1"/>
              </w:rPr>
              <w:t>集中收集后</w:t>
            </w:r>
            <w:r>
              <w:rPr>
                <w:color w:val="000000" w:themeColor="text1"/>
              </w:rPr>
              <w:t>暂存</w:t>
            </w:r>
            <w:r>
              <w:rPr>
                <w:rFonts w:hint="eastAsia"/>
                <w:color w:val="000000" w:themeColor="text1"/>
              </w:rPr>
              <w:t>于一般固废储存区，外售用作农田肥料；砂石分离器分离出的石子等硬质杂质</w:t>
            </w:r>
            <w:r>
              <w:rPr>
                <w:color w:val="000000" w:themeColor="text1"/>
              </w:rPr>
              <w:t>暂存</w:t>
            </w:r>
            <w:r>
              <w:rPr>
                <w:rFonts w:hint="eastAsia"/>
                <w:color w:val="000000" w:themeColor="text1"/>
              </w:rPr>
              <w:t>于一般固废储存区，定期外售物资回收公司回收利用；</w:t>
            </w:r>
            <w:r>
              <w:rPr>
                <w:color w:val="000000" w:themeColor="text1"/>
              </w:rPr>
              <w:t>振筛筛分出粒径小于8mm的不合格品经袋装收集后人工转移至中转仓返料至生物质颗粒机重新制粒</w:t>
            </w:r>
            <w:r>
              <w:rPr>
                <w:rFonts w:hint="eastAsia"/>
                <w:color w:val="000000" w:themeColor="text1"/>
              </w:rPr>
              <w:t>；包装过程产生的废包装袋及除尘器废布袋暂存于一般固废储存区，定期外售废品回收站；除尘器除尘灰落入布袋除尘器灰斗下方设置的带塑料内衬的密封袋内，袋装收集后暂存于一般固废储存区，定期外售物资回收公司回收利用；厂房截留颗粒物（沉降粉尘）落于厂房地面，定期清扫厂房地面，集中袋装收集，暂存于一般固废储存区，定期外售物资回收公司回收利用。</w:t>
            </w:r>
          </w:p>
        </w:tc>
      </w:tr>
      <w:tr w14:paraId="28484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66555FA4">
            <w:pPr>
              <w:pStyle w:val="35"/>
              <w:rPr>
                <w:color w:val="000000" w:themeColor="text1"/>
                <w:sz w:val="24"/>
                <w:szCs w:val="24"/>
              </w:rPr>
            </w:pPr>
          </w:p>
        </w:tc>
        <w:tc>
          <w:tcPr>
            <w:tcW w:w="1750" w:type="dxa"/>
            <w:vAlign w:val="center"/>
          </w:tcPr>
          <w:p w14:paraId="2279903F">
            <w:pPr>
              <w:spacing w:line="360" w:lineRule="auto"/>
              <w:ind w:firstLine="0" w:firstLineChars="0"/>
              <w:jc w:val="center"/>
              <w:rPr>
                <w:color w:val="000000" w:themeColor="text1"/>
              </w:rPr>
            </w:pPr>
            <w:r>
              <w:rPr>
                <w:rFonts w:hint="eastAsia"/>
                <w:color w:val="000000" w:themeColor="text1"/>
              </w:rPr>
              <w:t>生活垃圾</w:t>
            </w:r>
          </w:p>
        </w:tc>
        <w:tc>
          <w:tcPr>
            <w:tcW w:w="6441" w:type="dxa"/>
            <w:gridSpan w:val="4"/>
            <w:vAlign w:val="center"/>
          </w:tcPr>
          <w:p w14:paraId="6B019B83">
            <w:pPr>
              <w:spacing w:line="360" w:lineRule="auto"/>
              <w:ind w:firstLine="480"/>
              <w:jc w:val="left"/>
              <w:rPr>
                <w:color w:val="000000" w:themeColor="text1"/>
              </w:rPr>
            </w:pPr>
            <w:r>
              <w:rPr>
                <w:rFonts w:hint="eastAsia"/>
                <w:color w:val="000000" w:themeColor="text1"/>
              </w:rPr>
              <w:t>职工生活垃圾集中袋装收集，由当地环卫部门统一处理。</w:t>
            </w:r>
          </w:p>
        </w:tc>
      </w:tr>
      <w:tr w14:paraId="2E66F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vAlign w:val="center"/>
          </w:tcPr>
          <w:p w14:paraId="676AB8E5">
            <w:pPr>
              <w:ind w:firstLine="480"/>
              <w:rPr>
                <w:color w:val="000000" w:themeColor="text1"/>
              </w:rPr>
            </w:pPr>
          </w:p>
        </w:tc>
        <w:tc>
          <w:tcPr>
            <w:tcW w:w="1750" w:type="dxa"/>
            <w:vAlign w:val="center"/>
          </w:tcPr>
          <w:p w14:paraId="1FF907A6">
            <w:pPr>
              <w:spacing w:line="360" w:lineRule="auto"/>
              <w:ind w:firstLine="0" w:firstLineChars="0"/>
              <w:jc w:val="center"/>
              <w:rPr>
                <w:color w:val="000000" w:themeColor="text1"/>
              </w:rPr>
            </w:pPr>
            <w:r>
              <w:rPr>
                <w:rFonts w:hint="eastAsia"/>
                <w:color w:val="000000" w:themeColor="text1"/>
              </w:rPr>
              <w:t>危险废物</w:t>
            </w:r>
          </w:p>
        </w:tc>
        <w:tc>
          <w:tcPr>
            <w:tcW w:w="6441" w:type="dxa"/>
            <w:gridSpan w:val="4"/>
            <w:vAlign w:val="center"/>
          </w:tcPr>
          <w:p w14:paraId="1149C257">
            <w:pPr>
              <w:spacing w:line="360" w:lineRule="auto"/>
              <w:ind w:firstLine="480"/>
              <w:jc w:val="left"/>
              <w:rPr>
                <w:color w:val="000000" w:themeColor="text1"/>
              </w:rPr>
            </w:pPr>
            <w:r>
              <w:rPr>
                <w:color w:val="000000" w:themeColor="text1"/>
              </w:rPr>
              <w:t>设备维护</w:t>
            </w:r>
            <w:r>
              <w:rPr>
                <w:rFonts w:hint="eastAsia"/>
                <w:color w:val="000000" w:themeColor="text1"/>
              </w:rPr>
              <w:t>和</w:t>
            </w:r>
            <w:r>
              <w:rPr>
                <w:color w:val="000000" w:themeColor="text1"/>
              </w:rPr>
              <w:t>保养产生的</w:t>
            </w:r>
            <w:r>
              <w:rPr>
                <w:rFonts w:hint="eastAsia"/>
                <w:color w:val="000000" w:themeColor="text1"/>
              </w:rPr>
              <w:t>废液压油、废机油、</w:t>
            </w:r>
            <w:r>
              <w:rPr>
                <w:color w:val="000000" w:themeColor="text1"/>
              </w:rPr>
              <w:t>废润滑油</w:t>
            </w:r>
            <w:r>
              <w:rPr>
                <w:rFonts w:hint="eastAsia"/>
                <w:color w:val="000000" w:themeColor="text1"/>
              </w:rPr>
              <w:t>桶装加盖收集、废油桶加盖，</w:t>
            </w:r>
            <w:r>
              <w:rPr>
                <w:color w:val="000000" w:themeColor="text1"/>
              </w:rPr>
              <w:t>暂存于危废暂存间，定期交由有资质单位处置</w:t>
            </w:r>
            <w:r>
              <w:rPr>
                <w:rFonts w:hint="eastAsia"/>
                <w:color w:val="000000" w:themeColor="text1"/>
              </w:rPr>
              <w:t>。</w:t>
            </w:r>
          </w:p>
        </w:tc>
      </w:tr>
      <w:tr w14:paraId="3ABBB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42E512BD">
            <w:pPr>
              <w:pStyle w:val="35"/>
              <w:rPr>
                <w:color w:val="000000" w:themeColor="text1"/>
                <w:kern w:val="2"/>
                <w:sz w:val="24"/>
                <w:szCs w:val="24"/>
              </w:rPr>
            </w:pPr>
            <w:r>
              <w:rPr>
                <w:rFonts w:hint="eastAsia"/>
                <w:color w:val="000000" w:themeColor="text1"/>
                <w:sz w:val="24"/>
                <w:szCs w:val="24"/>
              </w:rPr>
              <w:t>土壤及地下水污染防治措施</w:t>
            </w:r>
          </w:p>
        </w:tc>
        <w:tc>
          <w:tcPr>
            <w:tcW w:w="8191" w:type="dxa"/>
            <w:gridSpan w:val="5"/>
            <w:vAlign w:val="center"/>
          </w:tcPr>
          <w:p w14:paraId="4E54C560">
            <w:pPr>
              <w:snapToGrid w:val="0"/>
              <w:ind w:firstLine="480"/>
              <w:jc w:val="left"/>
              <w:rPr>
                <w:color w:val="000000" w:themeColor="text1"/>
              </w:rPr>
            </w:pPr>
            <w:r>
              <w:rPr>
                <w:rFonts w:hint="eastAsia"/>
                <w:color w:val="000000" w:themeColor="text1"/>
              </w:rPr>
              <w:t>本项目地下水、土壤污染源主要为危废暂存间内的废液压油、废机油、废润滑油，油品储存库内的液压油、机油、润滑油，涉水设施（热风炉配套</w:t>
            </w:r>
            <w:r>
              <w:rPr>
                <w:color w:val="000000" w:themeColor="text1"/>
              </w:rPr>
              <w:t>冷却水箱</w:t>
            </w:r>
            <w:r>
              <w:rPr>
                <w:rFonts w:hint="eastAsia"/>
                <w:color w:val="000000" w:themeColor="text1"/>
              </w:rPr>
              <w:t>）及管道的跑冒滴漏，污染物类型为污染影响型，对地下水、土壤的污染途径主要为垂直入渗。本项目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做好防渗措施，避免由于泄漏造成物料下渗污染地下水、土壤环境。</w:t>
            </w:r>
          </w:p>
          <w:p w14:paraId="450716BD">
            <w:pPr>
              <w:snapToGrid w:val="0"/>
              <w:ind w:firstLine="480"/>
              <w:jc w:val="left"/>
              <w:rPr>
                <w:color w:val="000000" w:themeColor="text1"/>
              </w:rPr>
            </w:pPr>
            <w:r>
              <w:rPr>
                <w:rFonts w:hint="eastAsia"/>
                <w:color w:val="000000" w:themeColor="text1"/>
              </w:rPr>
              <w:t>针对可能污染源，本项目采取如下防渗措施：</w:t>
            </w:r>
          </w:p>
          <w:p w14:paraId="3C3B1367">
            <w:pPr>
              <w:snapToGrid w:val="0"/>
              <w:ind w:firstLine="480"/>
              <w:jc w:val="left"/>
              <w:rPr>
                <w:color w:val="000000" w:themeColor="text1"/>
              </w:rPr>
            </w:pPr>
            <w:r>
              <w:rPr>
                <w:rFonts w:hint="eastAsia"/>
                <w:color w:val="000000" w:themeColor="text1"/>
              </w:rPr>
              <w:t>本项目危废暂存间、油品储存库均位于厂房内，危废暂存间、油品储存库为重点防渗区，厂房内的其他区域及堆场为一般防渗区。</w:t>
            </w:r>
          </w:p>
          <w:p w14:paraId="3B09B2CC">
            <w:pPr>
              <w:numPr>
                <w:ilvl w:val="0"/>
                <w:numId w:val="10"/>
              </w:numPr>
              <w:snapToGrid w:val="0"/>
              <w:ind w:firstLine="480"/>
              <w:jc w:val="left"/>
              <w:rPr>
                <w:color w:val="000000" w:themeColor="text1"/>
                <w:kern w:val="0"/>
              </w:rPr>
            </w:pPr>
            <w:r>
              <w:rPr>
                <w:rFonts w:hint="eastAsia"/>
                <w:color w:val="000000" w:themeColor="text1"/>
              </w:rPr>
              <w:t>重点防渗区：危废暂存间内危险废物储存区域设置托盘，确保危废不落地，危废暂存间</w:t>
            </w:r>
            <w:r>
              <w:rPr>
                <w:color w:val="000000" w:themeColor="text1"/>
              </w:rPr>
              <w:t>地面采用抗渗混凝土浇筑，防渗层厚度为15cm，设有堵截泄漏的裙脚，地面与裙脚采用坚固防渗的材料建造，地面与裙脚涂敷3层环氧树脂，2层玻璃布进行防腐防渗，渗透系数≤1.0×10</w:t>
            </w:r>
            <w:r>
              <w:rPr>
                <w:color w:val="000000" w:themeColor="text1"/>
                <w:vertAlign w:val="superscript"/>
              </w:rPr>
              <w:t>-10</w:t>
            </w:r>
            <w:r>
              <w:rPr>
                <w:color w:val="000000" w:themeColor="text1"/>
              </w:rPr>
              <w:t>cm/s</w:t>
            </w:r>
            <w:r>
              <w:rPr>
                <w:rFonts w:hint="eastAsia"/>
                <w:color w:val="000000" w:themeColor="text1"/>
              </w:rPr>
              <w:t>；油品储存库设置托盘，确保油品不落地，地面</w:t>
            </w:r>
            <w:r>
              <w:rPr>
                <w:color w:val="000000" w:themeColor="text1"/>
              </w:rPr>
              <w:t>采用抗渗混凝土浇筑，涂敷3层环氧树脂，2层玻璃布进行防腐防渗，渗透系数≤1.0×10</w:t>
            </w:r>
            <w:r>
              <w:rPr>
                <w:color w:val="000000" w:themeColor="text1"/>
                <w:vertAlign w:val="superscript"/>
              </w:rPr>
              <w:t>-</w:t>
            </w:r>
            <w:r>
              <w:rPr>
                <w:rFonts w:hint="eastAsia"/>
                <w:color w:val="000000" w:themeColor="text1"/>
                <w:vertAlign w:val="superscript"/>
              </w:rPr>
              <w:t>7</w:t>
            </w:r>
            <w:r>
              <w:rPr>
                <w:color w:val="000000" w:themeColor="text1"/>
              </w:rPr>
              <w:t>cm/s</w:t>
            </w:r>
            <w:r>
              <w:rPr>
                <w:rFonts w:hint="eastAsia"/>
                <w:color w:val="000000" w:themeColor="text1"/>
                <w:kern w:val="0"/>
              </w:rPr>
              <w:t>。</w:t>
            </w:r>
          </w:p>
          <w:p w14:paraId="2B125D16">
            <w:pPr>
              <w:numPr>
                <w:ilvl w:val="0"/>
                <w:numId w:val="10"/>
              </w:numPr>
              <w:snapToGrid w:val="0"/>
              <w:ind w:firstLine="480"/>
              <w:jc w:val="left"/>
              <w:rPr>
                <w:color w:val="000000" w:themeColor="text1"/>
              </w:rPr>
            </w:pPr>
            <w:r>
              <w:rPr>
                <w:rFonts w:hint="eastAsia"/>
                <w:color w:val="000000" w:themeColor="text1"/>
              </w:rPr>
              <w:t>一般防渗区：厂房内的其他区域及堆场进行基础防渗处理，需</w:t>
            </w:r>
            <w:r>
              <w:rPr>
                <w:color w:val="000000" w:themeColor="text1"/>
              </w:rPr>
              <w:t>满足等效黏土防渗层Mb≥</w:t>
            </w:r>
            <w:r>
              <w:rPr>
                <w:rFonts w:hint="eastAsia"/>
                <w:color w:val="000000" w:themeColor="text1"/>
              </w:rPr>
              <w:t>1.5</w:t>
            </w:r>
            <w:r>
              <w:rPr>
                <w:color w:val="000000" w:themeColor="text1"/>
              </w:rPr>
              <w:t>m，K≤1×10</w:t>
            </w:r>
            <w:r>
              <w:rPr>
                <w:color w:val="000000" w:themeColor="text1"/>
                <w:vertAlign w:val="superscript"/>
              </w:rPr>
              <w:t>-7</w:t>
            </w:r>
            <w:r>
              <w:rPr>
                <w:color w:val="000000" w:themeColor="text1"/>
              </w:rPr>
              <w:t>cm/s</w:t>
            </w:r>
            <w:r>
              <w:rPr>
                <w:rFonts w:hint="eastAsia"/>
                <w:color w:val="000000" w:themeColor="text1"/>
              </w:rPr>
              <w:t>。厂房内使用液压油、机油、润滑油的设备区域设置托盘，确保废油不落地；热风炉配套</w:t>
            </w:r>
            <w:r>
              <w:rPr>
                <w:color w:val="000000" w:themeColor="text1"/>
              </w:rPr>
              <w:t>冷却水箱</w:t>
            </w:r>
            <w:r>
              <w:rPr>
                <w:rFonts w:hint="eastAsia"/>
                <w:color w:val="000000" w:themeColor="text1"/>
              </w:rPr>
              <w:t>为碳钢材质。</w:t>
            </w:r>
          </w:p>
        </w:tc>
      </w:tr>
      <w:tr w14:paraId="3E121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62670E08">
            <w:pPr>
              <w:pStyle w:val="35"/>
              <w:rPr>
                <w:color w:val="000000" w:themeColor="text1"/>
                <w:kern w:val="2"/>
                <w:sz w:val="24"/>
                <w:szCs w:val="24"/>
              </w:rPr>
            </w:pPr>
            <w:r>
              <w:rPr>
                <w:rFonts w:hint="eastAsia"/>
                <w:color w:val="000000" w:themeColor="text1"/>
                <w:sz w:val="24"/>
                <w:szCs w:val="24"/>
              </w:rPr>
              <w:t>生态保护措施</w:t>
            </w:r>
          </w:p>
        </w:tc>
        <w:tc>
          <w:tcPr>
            <w:tcW w:w="8191" w:type="dxa"/>
            <w:gridSpan w:val="5"/>
            <w:vAlign w:val="center"/>
          </w:tcPr>
          <w:p w14:paraId="6FD4AC22">
            <w:pPr>
              <w:spacing w:line="360" w:lineRule="auto"/>
              <w:ind w:firstLine="480"/>
              <w:rPr>
                <w:color w:val="000000" w:themeColor="text1"/>
              </w:rPr>
            </w:pPr>
            <w:r>
              <w:rPr>
                <w:rFonts w:hint="eastAsia"/>
                <w:color w:val="000000" w:themeColor="text1"/>
              </w:rPr>
              <w:t>本项目租赁唐山曹妃甸木业股份有限公司闲置厂房及堆场进行建设，无土建施工过程，用地范围内无生态环境保护目标，对区域生态环境影响较小。</w:t>
            </w:r>
          </w:p>
        </w:tc>
      </w:tr>
      <w:tr w14:paraId="244AA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083EB047">
            <w:pPr>
              <w:pStyle w:val="35"/>
              <w:rPr>
                <w:color w:val="000000" w:themeColor="text1"/>
                <w:kern w:val="2"/>
                <w:sz w:val="24"/>
                <w:szCs w:val="24"/>
              </w:rPr>
            </w:pPr>
            <w:r>
              <w:rPr>
                <w:rFonts w:hint="eastAsia"/>
                <w:color w:val="000000" w:themeColor="text1"/>
                <w:sz w:val="24"/>
                <w:szCs w:val="24"/>
              </w:rPr>
              <w:t>环境风险防范措施</w:t>
            </w:r>
          </w:p>
        </w:tc>
        <w:tc>
          <w:tcPr>
            <w:tcW w:w="8191" w:type="dxa"/>
            <w:gridSpan w:val="5"/>
            <w:vAlign w:val="center"/>
          </w:tcPr>
          <w:p w14:paraId="47252BF9">
            <w:pPr>
              <w:pStyle w:val="39"/>
              <w:numPr>
                <w:ilvl w:val="0"/>
                <w:numId w:val="11"/>
              </w:numPr>
              <w:ind w:firstLine="480"/>
              <w:rPr>
                <w:rFonts w:eastAsia="宋体"/>
                <w:color w:val="000000" w:themeColor="text1"/>
                <w:kern w:val="2"/>
                <w:szCs w:val="24"/>
              </w:rPr>
            </w:pPr>
            <w:r>
              <w:rPr>
                <w:rFonts w:eastAsia="宋体"/>
                <w:color w:val="000000" w:themeColor="text1"/>
                <w:kern w:val="2"/>
                <w:szCs w:val="24"/>
              </w:rPr>
              <w:t>本项目</w:t>
            </w:r>
            <w:r>
              <w:rPr>
                <w:rFonts w:eastAsia="宋体"/>
                <w:color w:val="000000" w:themeColor="text1"/>
              </w:rPr>
              <w:t>液压油、机油、润滑油</w:t>
            </w:r>
            <w:r>
              <w:rPr>
                <w:rFonts w:eastAsia="宋体"/>
                <w:color w:val="000000" w:themeColor="text1"/>
                <w:kern w:val="2"/>
                <w:szCs w:val="24"/>
              </w:rPr>
              <w:t>密闭桶装储存于油品储存库，</w:t>
            </w:r>
            <w:r>
              <w:rPr>
                <w:rFonts w:eastAsia="宋体"/>
                <w:color w:val="000000" w:themeColor="text1"/>
              </w:rPr>
              <w:t>废液压油、废机油、废润滑油</w:t>
            </w:r>
            <w:r>
              <w:rPr>
                <w:rFonts w:eastAsia="宋体"/>
                <w:color w:val="000000" w:themeColor="text1"/>
                <w:kern w:val="2"/>
                <w:szCs w:val="24"/>
              </w:rPr>
              <w:t>桶装加盖储存于危废暂存间，</w:t>
            </w:r>
            <w:r>
              <w:rPr>
                <w:rFonts w:eastAsia="宋体"/>
                <w:color w:val="000000" w:themeColor="text1"/>
              </w:rPr>
              <w:t>液压油、机油、润滑油</w:t>
            </w:r>
            <w:r>
              <w:rPr>
                <w:rFonts w:eastAsia="宋体"/>
                <w:color w:val="000000" w:themeColor="text1"/>
                <w:kern w:val="2"/>
                <w:szCs w:val="24"/>
              </w:rPr>
              <w:t>及</w:t>
            </w:r>
            <w:r>
              <w:rPr>
                <w:rFonts w:eastAsia="宋体"/>
                <w:color w:val="000000" w:themeColor="text1"/>
              </w:rPr>
              <w:t>废液压油、废机油、废润滑油</w:t>
            </w:r>
            <w:r>
              <w:rPr>
                <w:rFonts w:eastAsia="宋体"/>
                <w:color w:val="000000" w:themeColor="text1"/>
                <w:kern w:val="2"/>
                <w:szCs w:val="24"/>
              </w:rPr>
              <w:t>储存区域下设托盘，油品储存库、危废暂存间均进行地面防渗，油品储存库</w:t>
            </w:r>
            <w:r>
              <w:rPr>
                <w:rFonts w:eastAsia="宋体"/>
                <w:color w:val="000000" w:themeColor="text1"/>
                <w:szCs w:val="24"/>
              </w:rPr>
              <w:t>渗透系数≤1.0×10</w:t>
            </w:r>
            <w:r>
              <w:rPr>
                <w:rFonts w:eastAsia="宋体"/>
                <w:color w:val="000000" w:themeColor="text1"/>
                <w:szCs w:val="24"/>
                <w:vertAlign w:val="superscript"/>
              </w:rPr>
              <w:t>-7</w:t>
            </w:r>
            <w:r>
              <w:rPr>
                <w:rFonts w:eastAsia="宋体"/>
                <w:color w:val="000000" w:themeColor="text1"/>
                <w:szCs w:val="24"/>
              </w:rPr>
              <w:t>cm/s，危废暂存间渗透系数≤1.0×10</w:t>
            </w:r>
            <w:r>
              <w:rPr>
                <w:rFonts w:eastAsia="宋体"/>
                <w:color w:val="000000" w:themeColor="text1"/>
                <w:szCs w:val="24"/>
                <w:vertAlign w:val="superscript"/>
              </w:rPr>
              <w:t>-10</w:t>
            </w:r>
            <w:r>
              <w:rPr>
                <w:rFonts w:eastAsia="宋体"/>
                <w:color w:val="000000" w:themeColor="text1"/>
                <w:szCs w:val="24"/>
              </w:rPr>
              <w:t>cm/s，且有截留设施，</w:t>
            </w:r>
            <w:r>
              <w:rPr>
                <w:rFonts w:eastAsia="宋体"/>
                <w:color w:val="000000" w:themeColor="text1"/>
                <w:kern w:val="2"/>
                <w:szCs w:val="24"/>
              </w:rPr>
              <w:t>如果发生泄漏事故，确保风险物质不会溢流出上述区域，避免对水环境、土壤环境造成影响。</w:t>
            </w:r>
          </w:p>
          <w:p w14:paraId="4BA5B5B1">
            <w:pPr>
              <w:pStyle w:val="39"/>
              <w:numPr>
                <w:ilvl w:val="0"/>
                <w:numId w:val="11"/>
              </w:numPr>
              <w:ind w:firstLine="448"/>
              <w:rPr>
                <w:rFonts w:eastAsia="宋体"/>
                <w:color w:val="000000" w:themeColor="text1"/>
                <w:spacing w:val="-8"/>
              </w:rPr>
            </w:pPr>
            <w:r>
              <w:rPr>
                <w:rFonts w:eastAsia="宋体"/>
                <w:color w:val="000000" w:themeColor="text1"/>
                <w:spacing w:val="-8"/>
              </w:rPr>
              <w:t>成立环境应急处理领导小组，负责环境事故处理的指挥和调度工作。</w:t>
            </w:r>
          </w:p>
          <w:p w14:paraId="60B8B466">
            <w:pPr>
              <w:pStyle w:val="39"/>
              <w:ind w:firstLine="448"/>
              <w:rPr>
                <w:rFonts w:eastAsia="宋体"/>
                <w:color w:val="000000" w:themeColor="text1"/>
                <w:kern w:val="2"/>
                <w:szCs w:val="24"/>
              </w:rPr>
            </w:pPr>
            <w:r>
              <w:rPr>
                <w:rFonts w:eastAsia="宋体"/>
                <w:color w:val="000000" w:themeColor="text1"/>
                <w:spacing w:val="-8"/>
              </w:rPr>
              <w:t>（3）给应急队伍配备相关应急器具及劳保用品，应急器具及劳保用品在指定地点存放。</w:t>
            </w:r>
          </w:p>
          <w:p w14:paraId="237066CA">
            <w:pPr>
              <w:pStyle w:val="39"/>
              <w:ind w:firstLine="480"/>
              <w:rPr>
                <w:rFonts w:eastAsia="宋体"/>
                <w:color w:val="000000" w:themeColor="text1"/>
                <w:kern w:val="2"/>
                <w:szCs w:val="24"/>
              </w:rPr>
            </w:pPr>
            <w:r>
              <w:rPr>
                <w:rFonts w:eastAsia="宋体"/>
                <w:color w:val="000000" w:themeColor="text1"/>
                <w:kern w:val="2"/>
                <w:szCs w:val="24"/>
              </w:rPr>
              <w:t>（4）加强岗位培训，落实风险防范责任制，加强防范环境风险事故工作，严格项目环境风险源管理，形成常态化的巡视检查制度，及时发现问题、及时解决，从源头消除环境事故隐患。</w:t>
            </w:r>
          </w:p>
          <w:p w14:paraId="2E1AEC4B">
            <w:pPr>
              <w:pStyle w:val="39"/>
              <w:ind w:firstLine="480"/>
              <w:rPr>
                <w:rFonts w:eastAsia="宋体"/>
                <w:color w:val="000000" w:themeColor="text1"/>
                <w:kern w:val="2"/>
                <w:szCs w:val="24"/>
              </w:rPr>
            </w:pPr>
            <w:r>
              <w:rPr>
                <w:rFonts w:eastAsia="宋体"/>
                <w:color w:val="000000" w:themeColor="text1"/>
                <w:kern w:val="2"/>
                <w:szCs w:val="24"/>
              </w:rPr>
              <w:t>（5）安排专职人员定期对油品储存库内液压油、机油、润滑油以及危废暂存间内</w:t>
            </w:r>
            <w:r>
              <w:rPr>
                <w:rFonts w:eastAsia="宋体"/>
                <w:color w:val="000000" w:themeColor="text1"/>
              </w:rPr>
              <w:t>废液压油、废机油、废润滑油</w:t>
            </w:r>
            <w:r>
              <w:rPr>
                <w:rFonts w:eastAsia="宋体"/>
                <w:color w:val="000000" w:themeColor="text1"/>
                <w:kern w:val="2"/>
                <w:szCs w:val="24"/>
              </w:rPr>
              <w:t>储存容器进行巡回检查，检查是否出现跑冒滴漏现象，并及时检修。</w:t>
            </w:r>
          </w:p>
          <w:p w14:paraId="1B16FCED">
            <w:pPr>
              <w:pStyle w:val="39"/>
              <w:ind w:firstLine="480"/>
              <w:rPr>
                <w:rFonts w:eastAsia="宋体"/>
                <w:color w:val="000000" w:themeColor="text1"/>
                <w:kern w:val="2"/>
                <w:szCs w:val="24"/>
              </w:rPr>
            </w:pPr>
            <w:r>
              <w:rPr>
                <w:rFonts w:eastAsia="宋体"/>
                <w:color w:val="000000" w:themeColor="text1"/>
                <w:kern w:val="2"/>
                <w:szCs w:val="24"/>
              </w:rPr>
              <w:t>（6）配备沙土、吸油毡等吸附工具，软木塞、粘结剂等堵漏工具，风险物质泄漏情境下能够及时进行堵漏和收集；</w:t>
            </w:r>
            <w:r>
              <w:rPr>
                <w:rFonts w:eastAsia="宋体"/>
                <w:color w:val="000000" w:themeColor="text1"/>
                <w:szCs w:val="21"/>
              </w:rPr>
              <w:t>备有一定量的沙袋，在发生事故情况下对事发现场进行围截或临时围截事故池，避免消防废水外排。</w:t>
            </w:r>
          </w:p>
          <w:p w14:paraId="350F5CFF">
            <w:pPr>
              <w:pStyle w:val="39"/>
              <w:ind w:firstLine="480"/>
              <w:rPr>
                <w:rFonts w:eastAsia="宋体"/>
                <w:color w:val="000000" w:themeColor="text1"/>
                <w:kern w:val="2"/>
                <w:szCs w:val="24"/>
              </w:rPr>
            </w:pPr>
            <w:r>
              <w:rPr>
                <w:rFonts w:eastAsia="宋体"/>
                <w:color w:val="000000" w:themeColor="text1"/>
                <w:kern w:val="2"/>
                <w:szCs w:val="24"/>
              </w:rPr>
              <w:t>（7）当发生事故时，为不使事故扩大，防止二次灾害的发生，要求及时抢险抢修，必须对各种险情进行事故前预测，保证抢险队伍的素质，遇险时应及时与当地消防部门取得联系，以获得有力支持。</w:t>
            </w:r>
          </w:p>
          <w:p w14:paraId="15C1BF30">
            <w:pPr>
              <w:pStyle w:val="39"/>
              <w:ind w:firstLine="480"/>
              <w:rPr>
                <w:color w:val="000000" w:themeColor="text1"/>
                <w:szCs w:val="24"/>
              </w:rPr>
            </w:pPr>
            <w:r>
              <w:rPr>
                <w:rFonts w:eastAsia="宋体"/>
                <w:color w:val="000000" w:themeColor="text1"/>
                <w:kern w:val="2"/>
                <w:szCs w:val="24"/>
              </w:rPr>
              <w:t>（8）项目在运营中应确保正确操作和正常运行，在操作运行方面要求工作人员必须进行岗前专业培训，严格执行安全生产操作规程，进行安全性专业维护和保养，对安全设备进行定期校验，确保安全生产。建立健全防范制度，加强监督管理，同时建立夜间值班巡查制度、安全奖惩制度等。</w:t>
            </w:r>
          </w:p>
        </w:tc>
      </w:tr>
      <w:tr w14:paraId="44F09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14:paraId="151A1FB0">
            <w:pPr>
              <w:pStyle w:val="35"/>
              <w:rPr>
                <w:color w:val="000000" w:themeColor="text1"/>
                <w:kern w:val="2"/>
                <w:sz w:val="24"/>
                <w:szCs w:val="24"/>
              </w:rPr>
            </w:pPr>
            <w:r>
              <w:rPr>
                <w:rFonts w:hint="eastAsia"/>
                <w:color w:val="000000" w:themeColor="text1"/>
                <w:sz w:val="24"/>
                <w:szCs w:val="24"/>
              </w:rPr>
              <w:t>其他环境管理要求</w:t>
            </w:r>
          </w:p>
        </w:tc>
        <w:tc>
          <w:tcPr>
            <w:tcW w:w="8191" w:type="dxa"/>
            <w:gridSpan w:val="5"/>
            <w:vAlign w:val="center"/>
          </w:tcPr>
          <w:p w14:paraId="1C29B9AB">
            <w:pPr>
              <w:pStyle w:val="35"/>
              <w:spacing w:line="480" w:lineRule="exact"/>
              <w:ind w:firstLine="482" w:firstLineChars="200"/>
              <w:jc w:val="left"/>
              <w:rPr>
                <w:color w:val="000000" w:themeColor="text1"/>
                <w:sz w:val="24"/>
                <w:szCs w:val="24"/>
              </w:rPr>
            </w:pPr>
            <w:r>
              <w:rPr>
                <w:rFonts w:hint="eastAsia"/>
                <w:b/>
                <w:bCs/>
                <w:color w:val="000000" w:themeColor="text1"/>
                <w:sz w:val="24"/>
                <w:szCs w:val="24"/>
              </w:rPr>
              <w:t>1、环境管理及监测计划</w:t>
            </w:r>
          </w:p>
          <w:p w14:paraId="1A120496">
            <w:pPr>
              <w:pStyle w:val="35"/>
              <w:spacing w:line="480" w:lineRule="exact"/>
              <w:ind w:firstLine="480" w:firstLineChars="200"/>
              <w:jc w:val="left"/>
              <w:rPr>
                <w:color w:val="000000" w:themeColor="text1"/>
                <w:sz w:val="24"/>
                <w:szCs w:val="24"/>
              </w:rPr>
            </w:pPr>
            <w:r>
              <w:rPr>
                <w:rFonts w:hint="eastAsia"/>
                <w:color w:val="000000" w:themeColor="text1"/>
                <w:sz w:val="24"/>
                <w:szCs w:val="24"/>
              </w:rPr>
              <w:t>（1）</w:t>
            </w:r>
            <w:r>
              <w:rPr>
                <w:color w:val="000000" w:themeColor="text1"/>
                <w:sz w:val="24"/>
                <w:szCs w:val="24"/>
              </w:rPr>
              <w:t>环境管理措施</w:t>
            </w:r>
          </w:p>
          <w:p w14:paraId="41DB1617">
            <w:pPr>
              <w:pStyle w:val="35"/>
              <w:spacing w:line="480" w:lineRule="exact"/>
              <w:ind w:firstLine="480" w:firstLineChars="200"/>
              <w:jc w:val="left"/>
              <w:rPr>
                <w:color w:val="000000" w:themeColor="text1"/>
                <w:sz w:val="24"/>
                <w:szCs w:val="24"/>
              </w:rPr>
            </w:pPr>
            <w:r>
              <w:rPr>
                <w:color w:val="000000" w:themeColor="text1"/>
                <w:sz w:val="24"/>
                <w:szCs w:val="24"/>
              </w:rPr>
              <w:t>本项目实行厂长主管环保工作的领导体制，全面负责环保和安全工作。</w:t>
            </w:r>
          </w:p>
          <w:p w14:paraId="21526442">
            <w:pPr>
              <w:pStyle w:val="35"/>
              <w:spacing w:line="480" w:lineRule="exact"/>
              <w:ind w:firstLine="480" w:firstLineChars="200"/>
              <w:jc w:val="left"/>
              <w:rPr>
                <w:color w:val="000000" w:themeColor="text1"/>
                <w:sz w:val="24"/>
                <w:szCs w:val="24"/>
              </w:rPr>
            </w:pPr>
            <w:r>
              <w:rPr>
                <w:color w:val="000000" w:themeColor="text1"/>
                <w:sz w:val="24"/>
                <w:szCs w:val="24"/>
              </w:rPr>
              <w:t>①机构组成</w:t>
            </w:r>
          </w:p>
          <w:p w14:paraId="307997CE">
            <w:pPr>
              <w:pStyle w:val="35"/>
              <w:spacing w:line="480" w:lineRule="exact"/>
              <w:ind w:firstLine="480" w:firstLineChars="200"/>
              <w:jc w:val="left"/>
              <w:rPr>
                <w:color w:val="000000" w:themeColor="text1"/>
                <w:sz w:val="24"/>
                <w:szCs w:val="24"/>
              </w:rPr>
            </w:pPr>
            <w:r>
              <w:rPr>
                <w:color w:val="000000" w:themeColor="text1"/>
                <w:sz w:val="24"/>
                <w:szCs w:val="24"/>
              </w:rPr>
              <w:t>该厂实行厂长负责主管环保工作的领导体制。</w:t>
            </w:r>
          </w:p>
          <w:p w14:paraId="671E4714">
            <w:pPr>
              <w:pStyle w:val="35"/>
              <w:spacing w:line="480" w:lineRule="exact"/>
              <w:ind w:firstLine="480" w:firstLineChars="200"/>
              <w:jc w:val="left"/>
              <w:rPr>
                <w:color w:val="000000" w:themeColor="text1"/>
                <w:sz w:val="24"/>
                <w:szCs w:val="24"/>
              </w:rPr>
            </w:pPr>
            <w:r>
              <w:rPr>
                <w:color w:val="000000" w:themeColor="text1"/>
                <w:sz w:val="24"/>
                <w:szCs w:val="24"/>
              </w:rPr>
              <w:t>②机构职责</w:t>
            </w:r>
          </w:p>
          <w:p w14:paraId="00A621B8">
            <w:pPr>
              <w:pStyle w:val="35"/>
              <w:spacing w:line="480" w:lineRule="exact"/>
              <w:ind w:firstLine="480" w:firstLineChars="200"/>
              <w:jc w:val="left"/>
              <w:rPr>
                <w:color w:val="000000" w:themeColor="text1"/>
                <w:sz w:val="24"/>
                <w:szCs w:val="24"/>
              </w:rPr>
            </w:pPr>
            <w:r>
              <w:rPr>
                <w:rFonts w:hint="eastAsia"/>
                <w:color w:val="000000" w:themeColor="text1"/>
                <w:sz w:val="24"/>
                <w:szCs w:val="24"/>
              </w:rPr>
              <w:t>a.</w:t>
            </w:r>
            <w:r>
              <w:rPr>
                <w:color w:val="000000" w:themeColor="text1"/>
                <w:sz w:val="24"/>
                <w:szCs w:val="24"/>
              </w:rPr>
              <w:t>贯彻执行环境保护法规及环境保护标准；</w:t>
            </w:r>
          </w:p>
          <w:p w14:paraId="00EF33B8">
            <w:pPr>
              <w:pStyle w:val="35"/>
              <w:spacing w:line="480" w:lineRule="exact"/>
              <w:ind w:firstLine="480" w:firstLineChars="200"/>
              <w:jc w:val="left"/>
              <w:rPr>
                <w:color w:val="000000" w:themeColor="text1"/>
                <w:sz w:val="24"/>
                <w:szCs w:val="24"/>
              </w:rPr>
            </w:pPr>
            <w:r>
              <w:rPr>
                <w:rFonts w:hint="eastAsia"/>
                <w:color w:val="000000" w:themeColor="text1"/>
                <w:sz w:val="24"/>
                <w:szCs w:val="24"/>
              </w:rPr>
              <w:t>b.</w:t>
            </w:r>
            <w:r>
              <w:rPr>
                <w:color w:val="000000" w:themeColor="text1"/>
                <w:sz w:val="24"/>
                <w:szCs w:val="24"/>
              </w:rPr>
              <w:t>建立完善的本企业环境保护管理制度，经常监督检查车间执行环保法规情况；</w:t>
            </w:r>
          </w:p>
          <w:p w14:paraId="0EE729F2">
            <w:pPr>
              <w:pStyle w:val="35"/>
              <w:spacing w:line="480" w:lineRule="exact"/>
              <w:ind w:firstLine="480" w:firstLineChars="200"/>
              <w:jc w:val="left"/>
              <w:rPr>
                <w:color w:val="000000" w:themeColor="text1"/>
                <w:sz w:val="24"/>
                <w:szCs w:val="24"/>
              </w:rPr>
            </w:pPr>
            <w:r>
              <w:rPr>
                <w:rFonts w:hint="eastAsia"/>
                <w:color w:val="000000" w:themeColor="text1"/>
                <w:sz w:val="24"/>
                <w:szCs w:val="24"/>
              </w:rPr>
              <w:t>c.</w:t>
            </w:r>
            <w:r>
              <w:rPr>
                <w:color w:val="000000" w:themeColor="text1"/>
                <w:sz w:val="24"/>
                <w:szCs w:val="24"/>
              </w:rPr>
              <w:t>搞好环境保护教育和宣传，提高职工的环境保护意识；</w:t>
            </w:r>
          </w:p>
          <w:p w14:paraId="252BE0AA">
            <w:pPr>
              <w:pStyle w:val="35"/>
              <w:spacing w:line="480" w:lineRule="exact"/>
              <w:ind w:firstLine="480" w:firstLineChars="200"/>
              <w:jc w:val="left"/>
              <w:rPr>
                <w:color w:val="000000" w:themeColor="text1"/>
                <w:sz w:val="24"/>
                <w:szCs w:val="24"/>
              </w:rPr>
            </w:pPr>
            <w:r>
              <w:rPr>
                <w:rFonts w:hint="eastAsia"/>
                <w:color w:val="000000" w:themeColor="text1"/>
                <w:sz w:val="24"/>
                <w:szCs w:val="24"/>
              </w:rPr>
              <w:t>d.</w:t>
            </w:r>
            <w:r>
              <w:rPr>
                <w:color w:val="000000" w:themeColor="text1"/>
                <w:sz w:val="24"/>
                <w:szCs w:val="24"/>
              </w:rPr>
              <w:t>组织对基层环保员的培训，提高工作素质；</w:t>
            </w:r>
          </w:p>
          <w:p w14:paraId="54611127">
            <w:pPr>
              <w:pStyle w:val="35"/>
              <w:spacing w:line="480" w:lineRule="exact"/>
              <w:ind w:firstLine="480" w:firstLineChars="200"/>
              <w:jc w:val="left"/>
              <w:rPr>
                <w:color w:val="000000" w:themeColor="text1"/>
                <w:sz w:val="24"/>
                <w:szCs w:val="24"/>
              </w:rPr>
            </w:pPr>
            <w:r>
              <w:rPr>
                <w:rFonts w:hint="eastAsia"/>
                <w:color w:val="000000" w:themeColor="text1"/>
                <w:sz w:val="24"/>
                <w:szCs w:val="24"/>
              </w:rPr>
              <w:t>e.</w:t>
            </w:r>
            <w:r>
              <w:rPr>
                <w:color w:val="000000" w:themeColor="text1"/>
                <w:sz w:val="24"/>
                <w:szCs w:val="24"/>
              </w:rPr>
              <w:t>定时考核和统计，以保证各项环保设施常年处于良好运行状态，确保全厂污染物排放达到国家排放标准或总量控制指标。</w:t>
            </w:r>
          </w:p>
          <w:p w14:paraId="077A1950">
            <w:pPr>
              <w:pStyle w:val="35"/>
              <w:spacing w:line="480" w:lineRule="exact"/>
              <w:ind w:firstLine="480" w:firstLineChars="200"/>
              <w:jc w:val="left"/>
              <w:rPr>
                <w:color w:val="000000" w:themeColor="text1"/>
                <w:sz w:val="24"/>
                <w:szCs w:val="24"/>
              </w:rPr>
            </w:pPr>
            <w:r>
              <w:rPr>
                <w:rFonts w:hint="eastAsia"/>
                <w:color w:val="000000" w:themeColor="text1"/>
                <w:sz w:val="24"/>
                <w:szCs w:val="24"/>
              </w:rPr>
              <w:t>（2）</w:t>
            </w:r>
            <w:r>
              <w:rPr>
                <w:color w:val="000000" w:themeColor="text1"/>
                <w:sz w:val="24"/>
                <w:szCs w:val="24"/>
              </w:rPr>
              <w:t>监测制度</w:t>
            </w:r>
          </w:p>
          <w:p w14:paraId="422E3289">
            <w:pPr>
              <w:pStyle w:val="35"/>
              <w:spacing w:line="480" w:lineRule="exact"/>
              <w:ind w:firstLine="480" w:firstLineChars="200"/>
              <w:jc w:val="left"/>
              <w:rPr>
                <w:color w:val="000000" w:themeColor="text1"/>
                <w:sz w:val="24"/>
                <w:szCs w:val="24"/>
              </w:rPr>
            </w:pPr>
            <w:r>
              <w:rPr>
                <w:color w:val="000000" w:themeColor="text1"/>
                <w:sz w:val="24"/>
                <w:szCs w:val="24"/>
              </w:rPr>
              <w:t>环境监测是环境保护的基础，是进行污染源治理及环保设施运行管理的依据，因而企业应定期对废气、废水、噪声等环保设施运行情况进行监测。</w:t>
            </w:r>
          </w:p>
          <w:p w14:paraId="439DB7D7">
            <w:pPr>
              <w:pStyle w:val="35"/>
              <w:spacing w:line="480" w:lineRule="exact"/>
              <w:ind w:firstLine="480" w:firstLineChars="200"/>
              <w:jc w:val="left"/>
              <w:rPr>
                <w:color w:val="000000" w:themeColor="text1"/>
                <w:sz w:val="24"/>
                <w:szCs w:val="24"/>
              </w:rPr>
            </w:pPr>
            <w:r>
              <w:rPr>
                <w:color w:val="000000" w:themeColor="text1"/>
                <w:sz w:val="24"/>
                <w:szCs w:val="24"/>
              </w:rPr>
              <w:t>通过对项目运行中环保设施进行监控，掌握废气、噪声等污染源排放是否符合国家或地方排放标准的要求，做到达标排放，同时对废气、</w:t>
            </w:r>
            <w:r>
              <w:rPr>
                <w:rFonts w:hint="eastAsia"/>
                <w:color w:val="000000" w:themeColor="text1"/>
                <w:sz w:val="24"/>
                <w:szCs w:val="24"/>
              </w:rPr>
              <w:t>废水、</w:t>
            </w:r>
            <w:r>
              <w:rPr>
                <w:color w:val="000000" w:themeColor="text1"/>
                <w:sz w:val="24"/>
                <w:szCs w:val="24"/>
              </w:rPr>
              <w:t>固体废物及噪声防治设施进行监督检查，保证正常运行。</w:t>
            </w:r>
          </w:p>
          <w:p w14:paraId="1D1B4148">
            <w:pPr>
              <w:pStyle w:val="35"/>
              <w:spacing w:line="480" w:lineRule="exact"/>
              <w:ind w:firstLine="480" w:firstLineChars="200"/>
              <w:jc w:val="left"/>
              <w:rPr>
                <w:color w:val="000000" w:themeColor="text1"/>
                <w:sz w:val="24"/>
                <w:szCs w:val="24"/>
              </w:rPr>
            </w:pPr>
            <w:r>
              <w:rPr>
                <w:rFonts w:hint="eastAsia"/>
                <w:color w:val="000000" w:themeColor="text1"/>
                <w:sz w:val="24"/>
                <w:szCs w:val="24"/>
              </w:rPr>
              <w:t>（3）</w:t>
            </w:r>
            <w:r>
              <w:rPr>
                <w:color w:val="000000" w:themeColor="text1"/>
                <w:sz w:val="24"/>
                <w:szCs w:val="24"/>
              </w:rPr>
              <w:t>环境监测机构及设备</w:t>
            </w:r>
            <w:r>
              <w:rPr>
                <w:rFonts w:hint="eastAsia"/>
                <w:color w:val="000000" w:themeColor="text1"/>
                <w:sz w:val="24"/>
                <w:szCs w:val="24"/>
              </w:rPr>
              <w:t>配制</w:t>
            </w:r>
          </w:p>
          <w:p w14:paraId="7C0ADB81">
            <w:pPr>
              <w:ind w:firstLine="480"/>
              <w:rPr>
                <w:color w:val="000000" w:themeColor="text1"/>
              </w:rPr>
            </w:pPr>
            <w:r>
              <w:rPr>
                <w:color w:val="000000" w:themeColor="text1"/>
              </w:rPr>
              <w:t>环境监测是环境保护的基础，是进行污染治理和监督管理的依据。根据《排污单位自行监测技术指南 总则》（HJ 819-2017）</w:t>
            </w:r>
            <w:r>
              <w:rPr>
                <w:rFonts w:hint="eastAsia"/>
                <w:color w:val="000000" w:themeColor="text1"/>
              </w:rPr>
              <w:t>、《排污许可证申请与核发技术规范 工业炉窑》（HJ1121-2020）、《排污许可证申请与核发技术规范 工业噪声》（HJ1301-2023）</w:t>
            </w:r>
            <w:r>
              <w:rPr>
                <w:color w:val="000000" w:themeColor="text1"/>
              </w:rPr>
              <w:t>要求，本评价建议企业环境监测工作委托当地有资质的环境监测机构承担。</w:t>
            </w:r>
          </w:p>
          <w:p w14:paraId="6BE1EF8E">
            <w:pPr>
              <w:ind w:firstLine="480"/>
              <w:rPr>
                <w:color w:val="000000" w:themeColor="text1"/>
              </w:rPr>
            </w:pPr>
            <w:r>
              <w:rPr>
                <w:rFonts w:hint="eastAsia"/>
                <w:color w:val="000000" w:themeColor="text1"/>
              </w:rPr>
              <w:t>（4）</w:t>
            </w:r>
            <w:r>
              <w:rPr>
                <w:color w:val="000000" w:themeColor="text1"/>
              </w:rPr>
              <w:t>监测计划</w:t>
            </w:r>
          </w:p>
          <w:p w14:paraId="5E32C4DF">
            <w:pPr>
              <w:ind w:firstLine="480"/>
              <w:rPr>
                <w:color w:val="000000" w:themeColor="text1"/>
              </w:rPr>
            </w:pPr>
            <w:r>
              <w:rPr>
                <w:color w:val="000000" w:themeColor="text1"/>
              </w:rPr>
              <w:t>根据污染物排放特征，依据国家颁布的环境质量标准、污染物排放标准及地方环保部门的要求，制定项目的监测计划和工作方案，监测工作可委托有资质的环境监测部门承担。企业投入运行后，各污染源</w:t>
            </w:r>
            <w:r>
              <w:rPr>
                <w:rFonts w:hint="eastAsia"/>
                <w:color w:val="000000" w:themeColor="text1"/>
              </w:rPr>
              <w:t>按</w:t>
            </w:r>
            <w:r>
              <w:rPr>
                <w:color w:val="000000" w:themeColor="text1"/>
              </w:rPr>
              <w:t>监测计划</w:t>
            </w:r>
            <w:r>
              <w:rPr>
                <w:rFonts w:hint="eastAsia"/>
                <w:color w:val="000000" w:themeColor="text1"/>
              </w:rPr>
              <w:t>进行检测</w:t>
            </w:r>
            <w:r>
              <w:rPr>
                <w:color w:val="000000" w:themeColor="text1"/>
              </w:rPr>
              <w:t>。</w:t>
            </w:r>
          </w:p>
          <w:p w14:paraId="32A58500">
            <w:pPr>
              <w:pStyle w:val="23"/>
              <w:ind w:leftChars="0" w:firstLine="482"/>
              <w:rPr>
                <w:b/>
                <w:bCs/>
                <w:color w:val="000000" w:themeColor="text1"/>
                <w:sz w:val="24"/>
              </w:rPr>
            </w:pPr>
            <w:r>
              <w:rPr>
                <w:rFonts w:hint="eastAsia"/>
                <w:b/>
                <w:bCs/>
                <w:color w:val="000000" w:themeColor="text1"/>
                <w:sz w:val="24"/>
              </w:rPr>
              <w:t>2、企业环境信息公开要求</w:t>
            </w:r>
          </w:p>
          <w:p w14:paraId="65D70174">
            <w:pPr>
              <w:ind w:firstLine="480"/>
              <w:rPr>
                <w:color w:val="000000" w:themeColor="text1"/>
              </w:rPr>
            </w:pPr>
            <w:r>
              <w:rPr>
                <w:rFonts w:hint="eastAsia"/>
                <w:color w:val="000000" w:themeColor="text1"/>
              </w:rPr>
              <w:t>（1）企业环境信息公开</w:t>
            </w:r>
          </w:p>
          <w:p w14:paraId="0B9A5094">
            <w:pPr>
              <w:ind w:firstLine="480"/>
              <w:rPr>
                <w:color w:val="000000" w:themeColor="text1"/>
              </w:rPr>
            </w:pPr>
            <w:r>
              <w:rPr>
                <w:rFonts w:hint="eastAsia"/>
                <w:color w:val="000000" w:themeColor="text1"/>
              </w:rPr>
              <w:t>根据《企业环境信息依法披露管理办法》（部令第24号）的规定，企业事业单位应当按照强制公开和自愿公开相结合的原则，及时、如实地公开其环境信息。如环境信息涉及国家秘密、商业秘密或者个人隐私的，依法可以不公开；法律、法规另有规定的，从其规定。</w:t>
            </w:r>
          </w:p>
          <w:p w14:paraId="25F45D68">
            <w:pPr>
              <w:ind w:firstLine="480"/>
              <w:rPr>
                <w:color w:val="000000" w:themeColor="text1"/>
              </w:rPr>
            </w:pPr>
            <w:r>
              <w:rPr>
                <w:rFonts w:hint="eastAsia"/>
                <w:color w:val="000000" w:themeColor="text1"/>
              </w:rPr>
              <w:t>该企业应当建立健全本单位环境信息公开制度，指定机构负责本单位环境信息公开日常工作。</w:t>
            </w:r>
          </w:p>
          <w:p w14:paraId="6467B8B9">
            <w:pPr>
              <w:ind w:firstLine="480"/>
              <w:rPr>
                <w:color w:val="000000" w:themeColor="text1"/>
              </w:rPr>
            </w:pPr>
            <w:r>
              <w:rPr>
                <w:rFonts w:hint="eastAsia"/>
                <w:color w:val="000000" w:themeColor="text1"/>
              </w:rPr>
              <w:t>（2）建设单位应当公开下列信息内容</w:t>
            </w:r>
          </w:p>
          <w:p w14:paraId="086C3918">
            <w:pPr>
              <w:ind w:firstLine="480"/>
              <w:rPr>
                <w:color w:val="000000" w:themeColor="text1"/>
              </w:rPr>
            </w:pPr>
            <w:r>
              <w:rPr>
                <w:rFonts w:hint="eastAsia"/>
                <w:color w:val="000000" w:themeColor="text1"/>
              </w:rPr>
              <w:t>该企业应当公开信息内容如下：</w:t>
            </w:r>
          </w:p>
          <w:p w14:paraId="63269AE0">
            <w:pPr>
              <w:ind w:firstLine="480"/>
              <w:rPr>
                <w:color w:val="000000" w:themeColor="text1"/>
              </w:rPr>
            </w:pPr>
            <w:r>
              <w:rPr>
                <w:rFonts w:hint="eastAsia"/>
                <w:color w:val="000000" w:themeColor="text1"/>
              </w:rPr>
              <w:t>①基础信息：包括单位名称、组织机构代码、法定代表人、生产地址、联系方式，以及生产经营和管理服务的主要内容、产品及规模；</w:t>
            </w:r>
          </w:p>
          <w:p w14:paraId="2E97D144">
            <w:pPr>
              <w:ind w:firstLine="480"/>
              <w:rPr>
                <w:color w:val="000000" w:themeColor="text1"/>
              </w:rPr>
            </w:pPr>
            <w:r>
              <w:rPr>
                <w:rFonts w:hint="eastAsia"/>
                <w:color w:val="000000" w:themeColor="text1"/>
              </w:rPr>
              <w:t>②排污信息：包括主要污染物及特征污染物的名称、排放方式、排放口数量和分布情况、排放浓度和总量、超标情况，以及执行的污染物排放标准、核定的排放总量；</w:t>
            </w:r>
          </w:p>
          <w:p w14:paraId="2DF0B4E9">
            <w:pPr>
              <w:ind w:firstLine="480"/>
              <w:rPr>
                <w:color w:val="000000" w:themeColor="text1"/>
              </w:rPr>
            </w:pPr>
            <w:r>
              <w:rPr>
                <w:rFonts w:hint="eastAsia"/>
                <w:color w:val="000000" w:themeColor="text1"/>
              </w:rPr>
              <w:t>③防治污染设施的建设和运行情况；</w:t>
            </w:r>
          </w:p>
          <w:p w14:paraId="05EB3124">
            <w:pPr>
              <w:ind w:firstLine="480"/>
              <w:rPr>
                <w:color w:val="000000" w:themeColor="text1"/>
              </w:rPr>
            </w:pPr>
            <w:r>
              <w:rPr>
                <w:rFonts w:hint="eastAsia"/>
                <w:color w:val="000000" w:themeColor="text1"/>
              </w:rPr>
              <w:t>④建设项目环境影响评价及其他环境保护行政许可情况；</w:t>
            </w:r>
          </w:p>
          <w:p w14:paraId="30F2C665">
            <w:pPr>
              <w:ind w:firstLine="480"/>
              <w:rPr>
                <w:color w:val="000000" w:themeColor="text1"/>
              </w:rPr>
            </w:pPr>
            <w:r>
              <w:rPr>
                <w:rFonts w:hint="eastAsia"/>
                <w:color w:val="000000" w:themeColor="text1"/>
              </w:rPr>
              <w:t>⑤其他应当公开的环境信息。</w:t>
            </w:r>
          </w:p>
          <w:p w14:paraId="041511F2">
            <w:pPr>
              <w:ind w:firstLine="480"/>
              <w:rPr>
                <w:color w:val="000000" w:themeColor="text1"/>
              </w:rPr>
            </w:pPr>
            <w:r>
              <w:rPr>
                <w:rFonts w:hint="eastAsia"/>
                <w:color w:val="000000" w:themeColor="text1"/>
              </w:rPr>
              <w:t>（3）信息公开方式</w:t>
            </w:r>
          </w:p>
          <w:p w14:paraId="1CBFF0C1">
            <w:pPr>
              <w:ind w:firstLine="480"/>
              <w:rPr>
                <w:color w:val="000000" w:themeColor="text1"/>
              </w:rPr>
            </w:pPr>
            <w:r>
              <w:rPr>
                <w:rFonts w:hint="eastAsia"/>
                <w:color w:val="000000" w:themeColor="text1"/>
              </w:rPr>
              <w:t>该企业采取信息公开栏方式公开相关信息。</w:t>
            </w:r>
          </w:p>
          <w:p w14:paraId="3565B659">
            <w:pPr>
              <w:ind w:firstLine="482"/>
              <w:rPr>
                <w:b/>
                <w:bCs/>
                <w:color w:val="000000" w:themeColor="text1"/>
              </w:rPr>
            </w:pPr>
            <w:r>
              <w:rPr>
                <w:rFonts w:hint="eastAsia"/>
                <w:b/>
                <w:bCs/>
                <w:color w:val="000000" w:themeColor="text1"/>
              </w:rPr>
              <w:t>3、排污许可规范化管理要求</w:t>
            </w:r>
          </w:p>
          <w:p w14:paraId="0C597DF1">
            <w:pPr>
              <w:ind w:firstLine="480"/>
              <w:rPr>
                <w:color w:val="000000" w:themeColor="text1"/>
              </w:rPr>
            </w:pPr>
            <w:r>
              <w:rPr>
                <w:rFonts w:hint="eastAsia"/>
                <w:color w:val="000000" w:themeColor="text1"/>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14:paraId="1C1656E5">
            <w:pPr>
              <w:ind w:firstLine="480"/>
              <w:rPr>
                <w:color w:val="000000" w:themeColor="text1"/>
              </w:rPr>
            </w:pPr>
            <w:r>
              <w:rPr>
                <w:rFonts w:hint="eastAsia"/>
                <w:color w:val="000000" w:themeColor="text1"/>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14:paraId="2D1FB43C">
            <w:pPr>
              <w:widowControl/>
              <w:ind w:firstLine="480"/>
              <w:jc w:val="left"/>
              <w:rPr>
                <w:color w:val="000000" w:themeColor="text1"/>
              </w:rPr>
            </w:pPr>
            <w:r>
              <w:rPr>
                <w:color w:val="000000" w:themeColor="text1"/>
              </w:rPr>
              <w:t>经对照《固定污染源排污许可分类管理名录（2019 年版）》，本项目为已纳入名录管理的行业，属于</w:t>
            </w:r>
            <w:r>
              <w:rPr>
                <w:rFonts w:hint="eastAsia"/>
                <w:color w:val="000000" w:themeColor="text1"/>
              </w:rPr>
              <w:t>“二十、石油、煤炭及其他燃料加工业25—44.生物质燃料加工254—涉及通用工序简化管理的”及“</w:t>
            </w:r>
            <w:r>
              <w:rPr>
                <w:color w:val="000000" w:themeColor="text1"/>
              </w:rPr>
              <w:t>五十一</w:t>
            </w:r>
            <w:r>
              <w:rPr>
                <w:rFonts w:hint="eastAsia"/>
                <w:color w:val="000000" w:themeColor="text1"/>
              </w:rPr>
              <w:t>、</w:t>
            </w:r>
            <w:r>
              <w:rPr>
                <w:color w:val="000000" w:themeColor="text1"/>
              </w:rPr>
              <w:t>通用工序</w:t>
            </w:r>
            <w:r>
              <w:rPr>
                <w:rFonts w:hint="eastAsia"/>
                <w:color w:val="000000" w:themeColor="text1"/>
              </w:rPr>
              <w:t>—</w:t>
            </w:r>
            <w:r>
              <w:rPr>
                <w:color w:val="000000" w:themeColor="text1"/>
              </w:rPr>
              <w:t>110</w:t>
            </w:r>
            <w:r>
              <w:rPr>
                <w:rFonts w:hint="eastAsia"/>
                <w:color w:val="000000" w:themeColor="text1"/>
              </w:rPr>
              <w:t>.</w:t>
            </w:r>
            <w:r>
              <w:rPr>
                <w:color w:val="000000" w:themeColor="text1"/>
              </w:rPr>
              <w:t xml:space="preserve"> 工业炉窑</w:t>
            </w:r>
            <w:r>
              <w:rPr>
                <w:rFonts w:hint="eastAsia"/>
                <w:color w:val="000000" w:themeColor="text1"/>
              </w:rPr>
              <w:t>—</w:t>
            </w:r>
            <w:r>
              <w:rPr>
                <w:color w:val="000000" w:themeColor="text1"/>
              </w:rPr>
              <w:t>除纳入重点排污单位名录的</w:t>
            </w:r>
            <w:r>
              <w:rPr>
                <w:rFonts w:hint="eastAsia"/>
                <w:color w:val="000000" w:themeColor="text1"/>
              </w:rPr>
              <w:t>，</w:t>
            </w:r>
            <w:r>
              <w:rPr>
                <w:color w:val="000000" w:themeColor="text1"/>
              </w:rPr>
              <w:t>除以天然气或者电为能源的加热炉、 热处理炉、干燥炉（窑</w:t>
            </w:r>
            <w:r>
              <w:rPr>
                <w:rFonts w:hint="eastAsia"/>
                <w:color w:val="000000" w:themeColor="text1"/>
              </w:rPr>
              <w:t>）</w:t>
            </w:r>
            <w:r>
              <w:rPr>
                <w:color w:val="000000" w:themeColor="text1"/>
              </w:rPr>
              <w:t>以外的其他工业炉窑</w:t>
            </w:r>
            <w:r>
              <w:rPr>
                <w:rFonts w:hint="eastAsia"/>
                <w:color w:val="000000" w:themeColor="text1"/>
              </w:rPr>
              <w:t>”</w:t>
            </w:r>
            <w:r>
              <w:rPr>
                <w:color w:val="000000" w:themeColor="text1"/>
              </w:rPr>
              <w:t>，为</w:t>
            </w:r>
            <w:r>
              <w:rPr>
                <w:rFonts w:hint="eastAsia"/>
                <w:color w:val="000000" w:themeColor="text1"/>
              </w:rPr>
              <w:t>简化</w:t>
            </w:r>
            <w:r>
              <w:rPr>
                <w:color w:val="000000" w:themeColor="text1"/>
              </w:rPr>
              <w:t>管理，本项目建成后，应当在启动生产设施或者发生实际排污之前</w:t>
            </w:r>
            <w:r>
              <w:rPr>
                <w:rFonts w:hint="eastAsia"/>
                <w:color w:val="000000" w:themeColor="text1"/>
              </w:rPr>
              <w:t>，按照</w:t>
            </w:r>
            <w:r>
              <w:rPr>
                <w:color w:val="000000" w:themeColor="text1"/>
              </w:rPr>
              <w:t>《固定污染源排污许可分类管理名录（2019 年版）》</w:t>
            </w:r>
            <w:r>
              <w:rPr>
                <w:rFonts w:hint="eastAsia"/>
                <w:color w:val="000000" w:themeColor="text1"/>
              </w:rPr>
              <w:t>、《排污许可证申请与核发技术规范 总则》（HJ942-2018）、《排污许可证申请与核发技术规范 工业炉窑》（HJ1121-2020）、《排污许可证申请与核发技术规范 工业噪声》（HJ1301-2023）、《排污许可证申请与核发技术规范 工业固体废物（试行）》（HJ 1200-2021）要求申请排污许可证，不得无证排污或不按证排污</w:t>
            </w:r>
            <w:r>
              <w:rPr>
                <w:color w:val="000000" w:themeColor="text1"/>
              </w:rPr>
              <w:t>。</w:t>
            </w:r>
          </w:p>
          <w:p w14:paraId="69BDD1E3">
            <w:pPr>
              <w:ind w:firstLine="482"/>
              <w:rPr>
                <w:b/>
                <w:bCs/>
                <w:color w:val="000000" w:themeColor="text1"/>
              </w:rPr>
            </w:pPr>
            <w:r>
              <w:rPr>
                <w:rFonts w:hint="eastAsia"/>
                <w:b/>
                <w:bCs/>
                <w:color w:val="000000" w:themeColor="text1"/>
              </w:rPr>
              <w:t>4、环保竣工验收管理</w:t>
            </w:r>
          </w:p>
          <w:p w14:paraId="687CE52B">
            <w:pPr>
              <w:ind w:firstLine="480"/>
              <w:rPr>
                <w:color w:val="000000" w:themeColor="text1"/>
              </w:rPr>
            </w:pPr>
            <w:r>
              <w:rPr>
                <w:rFonts w:hint="eastAsia"/>
                <w:color w:val="000000" w:themeColor="text1"/>
              </w:rPr>
              <w:t>建设单位是建设项目竣工环境保护验收的责任主体，应当按照《建设项目竣工环境保护验收暂行办法》（国环规环评[2017]4号）、《建设项目竣工环境保护验收技术指南 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3658866F">
            <w:pPr>
              <w:ind w:firstLine="482"/>
              <w:rPr>
                <w:b/>
                <w:bCs/>
                <w:color w:val="000000" w:themeColor="text1"/>
              </w:rPr>
            </w:pPr>
            <w:r>
              <w:rPr>
                <w:rFonts w:hint="eastAsia"/>
                <w:b/>
                <w:bCs/>
                <w:color w:val="000000" w:themeColor="text1"/>
              </w:rPr>
              <w:t>5、</w:t>
            </w:r>
            <w:r>
              <w:rPr>
                <w:b/>
                <w:bCs/>
                <w:color w:val="000000" w:themeColor="text1"/>
              </w:rPr>
              <w:t>排污口规范化</w:t>
            </w:r>
          </w:p>
          <w:p w14:paraId="74EF19D4">
            <w:pPr>
              <w:ind w:firstLine="480"/>
              <w:rPr>
                <w:color w:val="000000" w:themeColor="text1"/>
              </w:rPr>
            </w:pPr>
            <w:r>
              <w:rPr>
                <w:color w:val="000000" w:themeColor="text1"/>
              </w:rPr>
              <w:t>排污口是企业污染物进入受纳环境的通道，做好排污口管理是实施污染物总量控制和达标排放的基础工作之—，必须实行规范化管理。</w:t>
            </w:r>
          </w:p>
          <w:p w14:paraId="2A0A3E06">
            <w:pPr>
              <w:ind w:firstLine="480"/>
              <w:rPr>
                <w:color w:val="000000" w:themeColor="text1"/>
              </w:rPr>
            </w:pPr>
            <w:r>
              <w:rPr>
                <w:rFonts w:hint="eastAsia"/>
                <w:color w:val="000000" w:themeColor="text1"/>
              </w:rPr>
              <w:t>（1）</w:t>
            </w:r>
            <w:r>
              <w:rPr>
                <w:color w:val="000000" w:themeColor="text1"/>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color w:val="000000" w:themeColor="text1"/>
              </w:rPr>
              <w:t>设置2</w:t>
            </w:r>
            <w:r>
              <w:rPr>
                <w:color w:val="000000" w:themeColor="text1"/>
              </w:rPr>
              <w:t>根排气筒，主要排放污染物为</w:t>
            </w:r>
            <w:r>
              <w:rPr>
                <w:rFonts w:hint="eastAsia"/>
                <w:color w:val="000000" w:themeColor="text1"/>
              </w:rPr>
              <w:t>颗粒物、</w:t>
            </w:r>
            <w:r>
              <w:rPr>
                <w:rFonts w:hint="eastAsia"/>
                <w:snapToGrid w:val="0"/>
                <w:color w:val="000000" w:themeColor="text1"/>
                <w:kern w:val="0"/>
              </w:rPr>
              <w:t>SO</w:t>
            </w:r>
            <w:r>
              <w:rPr>
                <w:rFonts w:hint="eastAsia"/>
                <w:snapToGrid w:val="0"/>
                <w:color w:val="000000" w:themeColor="text1"/>
                <w:kern w:val="0"/>
                <w:vertAlign w:val="subscript"/>
              </w:rPr>
              <w:t>2</w:t>
            </w:r>
            <w:r>
              <w:rPr>
                <w:rFonts w:hint="eastAsia"/>
                <w:color w:val="000000" w:themeColor="text1"/>
              </w:rPr>
              <w:t>、</w:t>
            </w:r>
            <w:r>
              <w:rPr>
                <w:rFonts w:hint="eastAsia"/>
                <w:snapToGrid w:val="0"/>
                <w:color w:val="000000" w:themeColor="text1"/>
                <w:kern w:val="0"/>
              </w:rPr>
              <w:t>NO</w:t>
            </w:r>
            <w:r>
              <w:rPr>
                <w:rFonts w:hint="eastAsia"/>
                <w:snapToGrid w:val="0"/>
                <w:color w:val="000000" w:themeColor="text1"/>
                <w:kern w:val="0"/>
                <w:vertAlign w:val="subscript"/>
              </w:rPr>
              <w:t>X</w:t>
            </w:r>
            <w:r>
              <w:rPr>
                <w:rFonts w:hint="eastAsia"/>
                <w:color w:val="000000" w:themeColor="text1"/>
              </w:rPr>
              <w:t>、汞、烟气黑度</w:t>
            </w:r>
            <w:r>
              <w:rPr>
                <w:color w:val="000000" w:themeColor="text1"/>
              </w:rPr>
              <w:t>。</w:t>
            </w:r>
          </w:p>
          <w:p w14:paraId="09E39A65">
            <w:pPr>
              <w:spacing w:line="440" w:lineRule="exact"/>
              <w:ind w:firstLine="480"/>
              <w:rPr>
                <w:color w:val="000000" w:themeColor="text1"/>
              </w:rPr>
            </w:pPr>
            <w:r>
              <w:rPr>
                <w:rFonts w:hint="eastAsia"/>
                <w:color w:val="000000" w:themeColor="text1"/>
              </w:rPr>
              <w:t>（2）</w:t>
            </w:r>
            <w:r>
              <w:rPr>
                <w:color w:val="000000" w:themeColor="text1"/>
              </w:rPr>
              <w:t>废水：</w:t>
            </w:r>
            <w:r>
              <w:rPr>
                <w:rFonts w:hint="eastAsia"/>
                <w:color w:val="000000" w:themeColor="text1"/>
              </w:rPr>
              <w:t>本项目依托于唐山曹妃甸木业股份有限公司生活污水排放口，规范化建设不属于本企业</w:t>
            </w:r>
            <w:r>
              <w:rPr>
                <w:color w:val="000000" w:themeColor="text1"/>
              </w:rPr>
              <w:t>。</w:t>
            </w:r>
          </w:p>
          <w:p w14:paraId="251FB7CB">
            <w:pPr>
              <w:ind w:firstLine="480"/>
              <w:rPr>
                <w:color w:val="000000" w:themeColor="text1"/>
              </w:rPr>
            </w:pPr>
            <w:r>
              <w:rPr>
                <w:rFonts w:hint="eastAsia"/>
                <w:color w:val="000000" w:themeColor="text1"/>
              </w:rPr>
              <w:t>（3）</w:t>
            </w:r>
            <w:r>
              <w:rPr>
                <w:color w:val="000000" w:themeColor="text1"/>
              </w:rPr>
              <w:t>噪声排污口规范化：须按《工业企业厂界环境噪声排放标准》（GB12348-2008）的规定，设置环境噪声监测点，并在该处附近醒目处设置环境保护图形标志牌。</w:t>
            </w:r>
          </w:p>
          <w:p w14:paraId="66541A44">
            <w:pPr>
              <w:ind w:firstLine="480"/>
              <w:rPr>
                <w:color w:val="000000" w:themeColor="text1"/>
              </w:rPr>
            </w:pPr>
            <w:r>
              <w:rPr>
                <w:rFonts w:hint="eastAsia"/>
                <w:color w:val="000000" w:themeColor="text1"/>
              </w:rPr>
              <w:t>（4）</w:t>
            </w:r>
            <w:r>
              <w:rPr>
                <w:color w:val="000000" w:themeColor="text1"/>
              </w:rPr>
              <w:t>固体废物：项目固体废物堆放场所必须有防火、防扬散、防渗漏等防止污染环境的措施，标志牌达到《环境保护图形标志-固体废物贮存（处置）场》（GB15562.2-1995）</w:t>
            </w:r>
            <w:r>
              <w:rPr>
                <w:rFonts w:hint="eastAsia"/>
                <w:color w:val="000000" w:themeColor="text1"/>
              </w:rPr>
              <w:t>及修改单</w:t>
            </w:r>
            <w:r>
              <w:rPr>
                <w:color w:val="000000" w:themeColor="text1"/>
              </w:rPr>
              <w:t>的规定。</w:t>
            </w:r>
          </w:p>
          <w:p w14:paraId="3D222E38">
            <w:pPr>
              <w:ind w:firstLine="480"/>
              <w:rPr>
                <w:color w:val="000000" w:themeColor="text1"/>
              </w:rPr>
            </w:pPr>
            <w:r>
              <w:rPr>
                <w:color w:val="000000" w:themeColor="text1"/>
              </w:rPr>
              <w:t>管理要求：排放口规范化的相关设施（如：计量、监控装置、标志牌等）属</w:t>
            </w:r>
            <w:r>
              <w:rPr>
                <w:rFonts w:hint="eastAsia"/>
                <w:color w:val="000000" w:themeColor="text1"/>
              </w:rPr>
              <w:t>于</w:t>
            </w:r>
            <w:r>
              <w:rPr>
                <w:color w:val="000000" w:themeColor="text1"/>
              </w:rPr>
              <w:t>污染治理设施的组成部分，环境保护部门应按照有关污染治理设施的监督管理规定，加强日常监督管理，排污单位应将规范化排放的相关设施纳入本单位设备管理范围。</w:t>
            </w:r>
          </w:p>
          <w:p w14:paraId="2538712E">
            <w:pPr>
              <w:ind w:firstLine="480"/>
              <w:rPr>
                <w:color w:val="000000" w:themeColor="text1"/>
              </w:rPr>
            </w:pPr>
            <w:r>
              <w:rPr>
                <w:color w:val="000000" w:themeColor="text1"/>
              </w:rPr>
              <w:t>排放口立标要求：设立排污口标志牌，标志牌由国家环境保护总局统一定点监制，达到《环境保护图形标志—排放口（源）》（GB15562.1-1995）、《环境保护图形标志—固体废物贮存（处置）场》（GB 15562.2-1995）</w:t>
            </w:r>
            <w:r>
              <w:rPr>
                <w:rFonts w:hint="eastAsia"/>
                <w:color w:val="000000" w:themeColor="text1"/>
              </w:rPr>
              <w:t>及修改单</w:t>
            </w:r>
            <w:r>
              <w:rPr>
                <w:color w:val="000000" w:themeColor="text1"/>
              </w:rPr>
              <w:t>的规定。</w:t>
            </w:r>
          </w:p>
          <w:p w14:paraId="794B8F7B">
            <w:pPr>
              <w:ind w:firstLine="480"/>
              <w:rPr>
                <w:color w:val="000000" w:themeColor="text1"/>
              </w:rPr>
            </w:pPr>
            <w:r>
              <w:rPr>
                <w:color w:val="000000" w:themeColor="text1"/>
              </w:rPr>
              <w:t>环境保护图形标志见下表。</w:t>
            </w:r>
          </w:p>
          <w:p w14:paraId="7E6F114F">
            <w:pPr>
              <w:ind w:firstLine="0" w:firstLineChars="0"/>
              <w:jc w:val="center"/>
              <w:rPr>
                <w:b/>
                <w:bCs/>
                <w:color w:val="000000" w:themeColor="text1"/>
                <w:sz w:val="21"/>
                <w:szCs w:val="21"/>
              </w:rPr>
            </w:pPr>
          </w:p>
          <w:p w14:paraId="05FCBFDD">
            <w:pPr>
              <w:ind w:firstLine="0" w:firstLineChars="0"/>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59</w:t>
            </w:r>
            <w:r>
              <w:rPr>
                <w:b/>
                <w:bCs/>
                <w:color w:val="000000" w:themeColor="text1"/>
                <w:sz w:val="21"/>
                <w:szCs w:val="21"/>
              </w:rPr>
              <w:t xml:space="preserve">   环境保护图形标志一览表</w:t>
            </w:r>
          </w:p>
          <w:tbl>
            <w:tblPr>
              <w:tblStyle w:val="24"/>
              <w:tblW w:w="79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2221"/>
              <w:gridCol w:w="1998"/>
              <w:gridCol w:w="1413"/>
              <w:gridCol w:w="1845"/>
            </w:tblGrid>
            <w:tr w14:paraId="6C231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8" w:hRule="atLeast"/>
                <w:tblHeader/>
              </w:trPr>
              <w:tc>
                <w:tcPr>
                  <w:tcW w:w="505" w:type="dxa"/>
                  <w:tcBorders>
                    <w:tl2br w:val="nil"/>
                    <w:tr2bl w:val="nil"/>
                  </w:tcBorders>
                  <w:vAlign w:val="center"/>
                </w:tcPr>
                <w:p w14:paraId="613AFF8E">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序号</w:t>
                  </w:r>
                </w:p>
              </w:tc>
              <w:tc>
                <w:tcPr>
                  <w:tcW w:w="2221" w:type="dxa"/>
                  <w:tcBorders>
                    <w:tl2br w:val="nil"/>
                    <w:tr2bl w:val="nil"/>
                  </w:tcBorders>
                  <w:vAlign w:val="center"/>
                </w:tcPr>
                <w:p w14:paraId="6422EE0F">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提示图形符号</w:t>
                  </w:r>
                </w:p>
                <w:p w14:paraId="3B43A997">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背景颜色：绿色</w:t>
                  </w:r>
                </w:p>
                <w:p w14:paraId="534F0812">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图形颜色：白色</w:t>
                  </w:r>
                </w:p>
              </w:tc>
              <w:tc>
                <w:tcPr>
                  <w:tcW w:w="1998" w:type="dxa"/>
                  <w:tcBorders>
                    <w:tl2br w:val="nil"/>
                    <w:tr2bl w:val="nil"/>
                  </w:tcBorders>
                  <w:vAlign w:val="center"/>
                </w:tcPr>
                <w:p w14:paraId="2E02ABA6">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警告图形符号</w:t>
                  </w:r>
                </w:p>
                <w:p w14:paraId="20520F6D">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背景颜色：黄色</w:t>
                  </w:r>
                </w:p>
                <w:p w14:paraId="4777B21D">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图形颜色：黑色</w:t>
                  </w:r>
                </w:p>
              </w:tc>
              <w:tc>
                <w:tcPr>
                  <w:tcW w:w="1413" w:type="dxa"/>
                  <w:tcBorders>
                    <w:tl2br w:val="nil"/>
                    <w:tr2bl w:val="nil"/>
                  </w:tcBorders>
                  <w:vAlign w:val="center"/>
                </w:tcPr>
                <w:p w14:paraId="43A2E751">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名称</w:t>
                  </w:r>
                </w:p>
              </w:tc>
              <w:tc>
                <w:tcPr>
                  <w:tcW w:w="1845" w:type="dxa"/>
                  <w:tcBorders>
                    <w:tl2br w:val="nil"/>
                    <w:tr2bl w:val="nil"/>
                  </w:tcBorders>
                  <w:vAlign w:val="center"/>
                </w:tcPr>
                <w:p w14:paraId="0E0C0C30">
                  <w:pPr>
                    <w:adjustRightInd w:val="0"/>
                    <w:snapToGrid w:val="0"/>
                    <w:spacing w:line="240" w:lineRule="auto"/>
                    <w:ind w:firstLine="0" w:firstLineChars="0"/>
                    <w:jc w:val="center"/>
                    <w:rPr>
                      <w:rFonts w:ascii="宋体" w:hAnsi="宋体" w:cs="宋体"/>
                      <w:b/>
                      <w:bCs/>
                      <w:color w:val="000000" w:themeColor="text1"/>
                      <w:sz w:val="21"/>
                      <w:szCs w:val="21"/>
                    </w:rPr>
                  </w:pPr>
                  <w:r>
                    <w:rPr>
                      <w:rFonts w:hint="eastAsia" w:ascii="宋体" w:hAnsi="宋体" w:cs="宋体"/>
                      <w:b/>
                      <w:bCs/>
                      <w:color w:val="000000" w:themeColor="text1"/>
                      <w:sz w:val="21"/>
                      <w:szCs w:val="21"/>
                    </w:rPr>
                    <w:t>功能</w:t>
                  </w:r>
                </w:p>
              </w:tc>
            </w:tr>
            <w:tr w14:paraId="7939A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505" w:type="dxa"/>
                  <w:tcBorders>
                    <w:tl2br w:val="nil"/>
                    <w:tr2bl w:val="nil"/>
                  </w:tcBorders>
                  <w:vAlign w:val="center"/>
                </w:tcPr>
                <w:p w14:paraId="713D04E2">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1</w:t>
                  </w:r>
                </w:p>
              </w:tc>
              <w:tc>
                <w:tcPr>
                  <w:tcW w:w="2221" w:type="dxa"/>
                  <w:tcBorders>
                    <w:tl2br w:val="nil"/>
                    <w:tr2bl w:val="nil"/>
                  </w:tcBorders>
                  <w:vAlign w:val="center"/>
                </w:tcPr>
                <w:p w14:paraId="45DCFD36">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5408" behindDoc="0" locked="0" layoutInCell="1" allowOverlap="1">
                        <wp:simplePos x="0" y="0"/>
                        <wp:positionH relativeFrom="column">
                          <wp:posOffset>183515</wp:posOffset>
                        </wp:positionH>
                        <wp:positionV relativeFrom="paragraph">
                          <wp:posOffset>37465</wp:posOffset>
                        </wp:positionV>
                        <wp:extent cx="885825" cy="755650"/>
                        <wp:effectExtent l="0" t="0" r="9525" b="6350"/>
                        <wp:wrapNone/>
                        <wp:docPr id="6" name="Picture 10" descr="QQ截图201410141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QQ截图20141014144550"/>
                                <pic:cNvPicPr>
                                  <a:picLocks noChangeAspect="1"/>
                                </pic:cNvPicPr>
                              </pic:nvPicPr>
                              <pic:blipFill>
                                <a:blip r:embed="rId37" cstate="print"/>
                                <a:stretch>
                                  <a:fillRect/>
                                </a:stretch>
                              </pic:blipFill>
                              <pic:spPr>
                                <a:xfrm>
                                  <a:off x="0" y="0"/>
                                  <a:ext cx="885825" cy="755650"/>
                                </a:xfrm>
                                <a:prstGeom prst="rect">
                                  <a:avLst/>
                                </a:prstGeom>
                                <a:noFill/>
                                <a:ln>
                                  <a:noFill/>
                                </a:ln>
                              </pic:spPr>
                            </pic:pic>
                          </a:graphicData>
                        </a:graphic>
                      </wp:anchor>
                    </w:drawing>
                  </w:r>
                </w:p>
                <w:p w14:paraId="5AEB4C26">
                  <w:pPr>
                    <w:adjustRightInd w:val="0"/>
                    <w:snapToGrid w:val="0"/>
                    <w:spacing w:line="240" w:lineRule="auto"/>
                    <w:ind w:firstLine="0" w:firstLineChars="0"/>
                    <w:jc w:val="center"/>
                    <w:rPr>
                      <w:rFonts w:ascii="宋体" w:hAnsi="宋体" w:cs="宋体"/>
                      <w:color w:val="000000" w:themeColor="text1"/>
                      <w:sz w:val="21"/>
                      <w:szCs w:val="21"/>
                    </w:rPr>
                  </w:pPr>
                </w:p>
                <w:p w14:paraId="71FFF0E0">
                  <w:pPr>
                    <w:adjustRightInd w:val="0"/>
                    <w:snapToGrid w:val="0"/>
                    <w:spacing w:line="240" w:lineRule="auto"/>
                    <w:ind w:firstLine="0" w:firstLineChars="0"/>
                    <w:jc w:val="center"/>
                    <w:rPr>
                      <w:rFonts w:ascii="宋体" w:hAnsi="宋体" w:cs="宋体"/>
                      <w:color w:val="000000" w:themeColor="text1"/>
                      <w:sz w:val="21"/>
                      <w:szCs w:val="21"/>
                    </w:rPr>
                  </w:pPr>
                </w:p>
                <w:p w14:paraId="26A4A993">
                  <w:pPr>
                    <w:adjustRightInd w:val="0"/>
                    <w:snapToGrid w:val="0"/>
                    <w:spacing w:line="240" w:lineRule="auto"/>
                    <w:ind w:firstLine="0" w:firstLineChars="0"/>
                    <w:jc w:val="center"/>
                    <w:rPr>
                      <w:rFonts w:ascii="宋体" w:hAnsi="宋体" w:cs="宋体"/>
                      <w:color w:val="000000" w:themeColor="text1"/>
                      <w:sz w:val="21"/>
                      <w:szCs w:val="21"/>
                    </w:rPr>
                  </w:pPr>
                </w:p>
                <w:p w14:paraId="440B3097">
                  <w:pPr>
                    <w:adjustRightInd w:val="0"/>
                    <w:snapToGrid w:val="0"/>
                    <w:spacing w:line="240" w:lineRule="auto"/>
                    <w:ind w:firstLine="0" w:firstLineChars="0"/>
                    <w:jc w:val="center"/>
                    <w:rPr>
                      <w:rFonts w:ascii="宋体" w:hAnsi="宋体" w:cs="宋体"/>
                      <w:color w:val="000000" w:themeColor="text1"/>
                      <w:sz w:val="21"/>
                      <w:szCs w:val="21"/>
                    </w:rPr>
                  </w:pPr>
                </w:p>
              </w:tc>
              <w:tc>
                <w:tcPr>
                  <w:tcW w:w="1998" w:type="dxa"/>
                  <w:tcBorders>
                    <w:tl2br w:val="nil"/>
                    <w:tr2bl w:val="nil"/>
                  </w:tcBorders>
                  <w:vAlign w:val="center"/>
                </w:tcPr>
                <w:p w14:paraId="10E21AA6">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1312" behindDoc="0" locked="0" layoutInCell="1" allowOverlap="1">
                        <wp:simplePos x="0" y="0"/>
                        <wp:positionH relativeFrom="column">
                          <wp:posOffset>157480</wp:posOffset>
                        </wp:positionH>
                        <wp:positionV relativeFrom="paragraph">
                          <wp:posOffset>7620</wp:posOffset>
                        </wp:positionV>
                        <wp:extent cx="899795" cy="840740"/>
                        <wp:effectExtent l="0" t="0" r="14605" b="16510"/>
                        <wp:wrapNone/>
                        <wp:docPr id="11" name="Picture 5" descr="QQ截图201410141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QQ截图20141014144613"/>
                                <pic:cNvPicPr>
                                  <a:picLocks noChangeAspect="1"/>
                                </pic:cNvPicPr>
                              </pic:nvPicPr>
                              <pic:blipFill>
                                <a:blip r:embed="rId38" cstate="print"/>
                                <a:stretch>
                                  <a:fillRect/>
                                </a:stretch>
                              </pic:blipFill>
                              <pic:spPr>
                                <a:xfrm>
                                  <a:off x="0" y="0"/>
                                  <a:ext cx="899795" cy="840740"/>
                                </a:xfrm>
                                <a:prstGeom prst="rect">
                                  <a:avLst/>
                                </a:prstGeom>
                                <a:noFill/>
                                <a:ln>
                                  <a:noFill/>
                                </a:ln>
                              </pic:spPr>
                            </pic:pic>
                          </a:graphicData>
                        </a:graphic>
                      </wp:anchor>
                    </w:drawing>
                  </w:r>
                </w:p>
              </w:tc>
              <w:tc>
                <w:tcPr>
                  <w:tcW w:w="1413" w:type="dxa"/>
                  <w:tcBorders>
                    <w:tl2br w:val="nil"/>
                    <w:tr2bl w:val="nil"/>
                  </w:tcBorders>
                  <w:vAlign w:val="center"/>
                </w:tcPr>
                <w:p w14:paraId="3C3EA696">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废气排放口</w:t>
                  </w:r>
                </w:p>
              </w:tc>
              <w:tc>
                <w:tcPr>
                  <w:tcW w:w="1845" w:type="dxa"/>
                  <w:tcBorders>
                    <w:tl2br w:val="nil"/>
                    <w:tr2bl w:val="nil"/>
                  </w:tcBorders>
                  <w:vAlign w:val="center"/>
                </w:tcPr>
                <w:p w14:paraId="2EE7A042">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表示废气向大气排放</w:t>
                  </w:r>
                </w:p>
              </w:tc>
            </w:tr>
            <w:tr w14:paraId="7EF1A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93" w:hRule="atLeast"/>
              </w:trPr>
              <w:tc>
                <w:tcPr>
                  <w:tcW w:w="505" w:type="dxa"/>
                  <w:tcBorders>
                    <w:tl2br w:val="nil"/>
                    <w:tr2bl w:val="nil"/>
                  </w:tcBorders>
                  <w:vAlign w:val="center"/>
                </w:tcPr>
                <w:p w14:paraId="27659D20">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2221" w:type="dxa"/>
                  <w:tcBorders>
                    <w:tl2br w:val="nil"/>
                    <w:tr2bl w:val="nil"/>
                  </w:tcBorders>
                  <w:vAlign w:val="center"/>
                </w:tcPr>
                <w:p w14:paraId="1ED9D006">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4384" behindDoc="0" locked="0" layoutInCell="1" allowOverlap="1">
                        <wp:simplePos x="0" y="0"/>
                        <wp:positionH relativeFrom="column">
                          <wp:posOffset>155575</wp:posOffset>
                        </wp:positionH>
                        <wp:positionV relativeFrom="paragraph">
                          <wp:posOffset>17145</wp:posOffset>
                        </wp:positionV>
                        <wp:extent cx="890270" cy="762635"/>
                        <wp:effectExtent l="0" t="0" r="5080" b="18415"/>
                        <wp:wrapNone/>
                        <wp:docPr id="14" name="Picture 9" descr="QQ截图20141014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QQ截图20141014144508"/>
                                <pic:cNvPicPr>
                                  <a:picLocks noChangeAspect="1"/>
                                </pic:cNvPicPr>
                              </pic:nvPicPr>
                              <pic:blipFill>
                                <a:blip r:embed="rId39" cstate="print"/>
                                <a:stretch>
                                  <a:fillRect/>
                                </a:stretch>
                              </pic:blipFill>
                              <pic:spPr>
                                <a:xfrm>
                                  <a:off x="0" y="0"/>
                                  <a:ext cx="890270" cy="762635"/>
                                </a:xfrm>
                                <a:prstGeom prst="rect">
                                  <a:avLst/>
                                </a:prstGeom>
                                <a:noFill/>
                                <a:ln>
                                  <a:noFill/>
                                </a:ln>
                              </pic:spPr>
                            </pic:pic>
                          </a:graphicData>
                        </a:graphic>
                      </wp:anchor>
                    </w:drawing>
                  </w:r>
                </w:p>
              </w:tc>
              <w:tc>
                <w:tcPr>
                  <w:tcW w:w="1998" w:type="dxa"/>
                  <w:tcBorders>
                    <w:tl2br w:val="nil"/>
                    <w:tr2bl w:val="nil"/>
                  </w:tcBorders>
                  <w:vAlign w:val="center"/>
                </w:tcPr>
                <w:p w14:paraId="61CD613B">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2336" behindDoc="0" locked="0" layoutInCell="1" allowOverlap="1">
                        <wp:simplePos x="0" y="0"/>
                        <wp:positionH relativeFrom="column">
                          <wp:posOffset>125095</wp:posOffset>
                        </wp:positionH>
                        <wp:positionV relativeFrom="paragraph">
                          <wp:posOffset>13970</wp:posOffset>
                        </wp:positionV>
                        <wp:extent cx="972185" cy="785495"/>
                        <wp:effectExtent l="0" t="0" r="18415" b="14605"/>
                        <wp:wrapNone/>
                        <wp:docPr id="7" name="Picture 6" descr="QQ截图201410141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QQ截图20141014144623"/>
                                <pic:cNvPicPr>
                                  <a:picLocks noChangeAspect="1"/>
                                </pic:cNvPicPr>
                              </pic:nvPicPr>
                              <pic:blipFill>
                                <a:blip r:embed="rId40" cstate="print"/>
                                <a:stretch>
                                  <a:fillRect/>
                                </a:stretch>
                              </pic:blipFill>
                              <pic:spPr>
                                <a:xfrm>
                                  <a:off x="0" y="0"/>
                                  <a:ext cx="972185" cy="785495"/>
                                </a:xfrm>
                                <a:prstGeom prst="rect">
                                  <a:avLst/>
                                </a:prstGeom>
                                <a:noFill/>
                                <a:ln>
                                  <a:noFill/>
                                </a:ln>
                              </pic:spPr>
                            </pic:pic>
                          </a:graphicData>
                        </a:graphic>
                      </wp:anchor>
                    </w:drawing>
                  </w:r>
                </w:p>
              </w:tc>
              <w:tc>
                <w:tcPr>
                  <w:tcW w:w="1413" w:type="dxa"/>
                  <w:tcBorders>
                    <w:tl2br w:val="nil"/>
                    <w:tr2bl w:val="nil"/>
                  </w:tcBorders>
                  <w:vAlign w:val="center"/>
                </w:tcPr>
                <w:p w14:paraId="150C2F64">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噪声源</w:t>
                  </w:r>
                </w:p>
              </w:tc>
              <w:tc>
                <w:tcPr>
                  <w:tcW w:w="1845" w:type="dxa"/>
                  <w:tcBorders>
                    <w:tl2br w:val="nil"/>
                    <w:tr2bl w:val="nil"/>
                  </w:tcBorders>
                  <w:vAlign w:val="center"/>
                </w:tcPr>
                <w:p w14:paraId="40D732F1">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表示噪声向外环境排放</w:t>
                  </w:r>
                </w:p>
              </w:tc>
            </w:tr>
            <w:tr w14:paraId="4A049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05" w:hRule="atLeast"/>
              </w:trPr>
              <w:tc>
                <w:tcPr>
                  <w:tcW w:w="505" w:type="dxa"/>
                  <w:tcBorders>
                    <w:tl2br w:val="nil"/>
                    <w:tr2bl w:val="nil"/>
                  </w:tcBorders>
                  <w:vAlign w:val="center"/>
                </w:tcPr>
                <w:p w14:paraId="24C9A5DD">
                  <w:pPr>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3</w:t>
                  </w:r>
                </w:p>
              </w:tc>
              <w:tc>
                <w:tcPr>
                  <w:tcW w:w="2221" w:type="dxa"/>
                  <w:tcBorders>
                    <w:tl2br w:val="nil"/>
                    <w:tr2bl w:val="nil"/>
                  </w:tcBorders>
                  <w:vAlign w:val="center"/>
                </w:tcPr>
                <w:p w14:paraId="583D79FA">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5408" behindDoc="0" locked="0" layoutInCell="1" allowOverlap="1">
                        <wp:simplePos x="0" y="0"/>
                        <wp:positionH relativeFrom="column">
                          <wp:posOffset>175260</wp:posOffset>
                        </wp:positionH>
                        <wp:positionV relativeFrom="paragraph">
                          <wp:posOffset>59690</wp:posOffset>
                        </wp:positionV>
                        <wp:extent cx="857885" cy="887730"/>
                        <wp:effectExtent l="0" t="0" r="18415" b="7620"/>
                        <wp:wrapNone/>
                        <wp:docPr id="12" name="Picture 11" descr="QQ截图2014101414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QQ截图20141014144517"/>
                                <pic:cNvPicPr>
                                  <a:picLocks noChangeAspect="1"/>
                                </pic:cNvPicPr>
                              </pic:nvPicPr>
                              <pic:blipFill>
                                <a:blip r:embed="rId41" cstate="print"/>
                                <a:stretch>
                                  <a:fillRect/>
                                </a:stretch>
                              </pic:blipFill>
                              <pic:spPr>
                                <a:xfrm>
                                  <a:off x="0" y="0"/>
                                  <a:ext cx="857885" cy="887730"/>
                                </a:xfrm>
                                <a:prstGeom prst="rect">
                                  <a:avLst/>
                                </a:prstGeom>
                                <a:noFill/>
                                <a:ln>
                                  <a:noFill/>
                                </a:ln>
                              </pic:spPr>
                            </pic:pic>
                          </a:graphicData>
                        </a:graphic>
                      </wp:anchor>
                    </w:drawing>
                  </w:r>
                </w:p>
              </w:tc>
              <w:tc>
                <w:tcPr>
                  <w:tcW w:w="1998" w:type="dxa"/>
                  <w:tcBorders>
                    <w:tl2br w:val="nil"/>
                    <w:tr2bl w:val="nil"/>
                  </w:tcBorders>
                  <w:vAlign w:val="center"/>
                </w:tcPr>
                <w:p w14:paraId="00593704">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drawing>
                      <wp:anchor distT="0" distB="0" distL="114300" distR="114300" simplePos="0" relativeHeight="251663360" behindDoc="0" locked="0" layoutInCell="1" allowOverlap="1">
                        <wp:simplePos x="0" y="0"/>
                        <wp:positionH relativeFrom="column">
                          <wp:posOffset>170180</wp:posOffset>
                        </wp:positionH>
                        <wp:positionV relativeFrom="paragraph">
                          <wp:posOffset>26035</wp:posOffset>
                        </wp:positionV>
                        <wp:extent cx="935990" cy="838200"/>
                        <wp:effectExtent l="0" t="0" r="16510" b="0"/>
                        <wp:wrapNone/>
                        <wp:docPr id="4" name="Picture 7" descr="QQ截图2014101414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QQ截图20141014144632"/>
                                <pic:cNvPicPr>
                                  <a:picLocks noChangeAspect="1"/>
                                </pic:cNvPicPr>
                              </pic:nvPicPr>
                              <pic:blipFill>
                                <a:blip r:embed="rId42" cstate="print"/>
                                <a:stretch>
                                  <a:fillRect/>
                                </a:stretch>
                              </pic:blipFill>
                              <pic:spPr>
                                <a:xfrm>
                                  <a:off x="0" y="0"/>
                                  <a:ext cx="935990" cy="838200"/>
                                </a:xfrm>
                                <a:prstGeom prst="rect">
                                  <a:avLst/>
                                </a:prstGeom>
                                <a:noFill/>
                                <a:ln>
                                  <a:noFill/>
                                </a:ln>
                              </pic:spPr>
                            </pic:pic>
                          </a:graphicData>
                        </a:graphic>
                      </wp:anchor>
                    </w:drawing>
                  </w:r>
                </w:p>
              </w:tc>
              <w:tc>
                <w:tcPr>
                  <w:tcW w:w="1413" w:type="dxa"/>
                  <w:tcBorders>
                    <w:tl2br w:val="nil"/>
                    <w:tr2bl w:val="nil"/>
                  </w:tcBorders>
                  <w:vAlign w:val="center"/>
                </w:tcPr>
                <w:p w14:paraId="7C0941CE">
                  <w:pPr>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一般固废储存</w:t>
                  </w:r>
                </w:p>
              </w:tc>
              <w:tc>
                <w:tcPr>
                  <w:tcW w:w="1845" w:type="dxa"/>
                  <w:vMerge w:val="restart"/>
                  <w:tcBorders>
                    <w:tl2br w:val="nil"/>
                    <w:tr2bl w:val="nil"/>
                  </w:tcBorders>
                  <w:vAlign w:val="center"/>
                </w:tcPr>
                <w:p w14:paraId="632B4916">
                  <w:pPr>
                    <w:adjustRightInd w:val="0"/>
                    <w:snapToGrid w:val="0"/>
                    <w:spacing w:line="240" w:lineRule="auto"/>
                    <w:ind w:firstLine="0" w:firstLineChars="0"/>
                    <w:jc w:val="center"/>
                    <w:outlineLvl w:val="1"/>
                    <w:rPr>
                      <w:rFonts w:ascii="宋体" w:hAnsi="宋体" w:cs="宋体"/>
                      <w:color w:val="000000" w:themeColor="text1"/>
                      <w:sz w:val="21"/>
                      <w:szCs w:val="21"/>
                    </w:rPr>
                  </w:pPr>
                  <w:r>
                    <w:rPr>
                      <w:color w:val="000000" w:themeColor="text1"/>
                      <w:sz w:val="21"/>
                      <w:szCs w:val="21"/>
                    </w:rPr>
                    <w:t>表示固体废物贮存、处置场</w:t>
                  </w:r>
                </w:p>
              </w:tc>
            </w:tr>
            <w:tr w14:paraId="4C330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5" w:hRule="atLeast"/>
              </w:trPr>
              <w:tc>
                <w:tcPr>
                  <w:tcW w:w="505" w:type="dxa"/>
                  <w:tcBorders>
                    <w:tl2br w:val="nil"/>
                    <w:tr2bl w:val="nil"/>
                  </w:tcBorders>
                  <w:vAlign w:val="center"/>
                </w:tcPr>
                <w:p w14:paraId="2A2B1CC6">
                  <w:pPr>
                    <w:adjustRightInd w:val="0"/>
                    <w:snapToGrid w:val="0"/>
                    <w:spacing w:line="240" w:lineRule="auto"/>
                    <w:ind w:firstLine="0" w:firstLineChars="0"/>
                    <w:jc w:val="center"/>
                    <w:rPr>
                      <w:rFonts w:ascii="宋体" w:hAnsi="宋体" w:cs="宋体"/>
                      <w:color w:val="000000" w:themeColor="text1"/>
                      <w:sz w:val="21"/>
                      <w:szCs w:val="21"/>
                    </w:rPr>
                  </w:pPr>
                  <w:r>
                    <w:rPr>
                      <w:rFonts w:hint="eastAsia"/>
                      <w:color w:val="000000" w:themeColor="text1"/>
                      <w:sz w:val="21"/>
                      <w:szCs w:val="21"/>
                    </w:rPr>
                    <w:t>4</w:t>
                  </w:r>
                </w:p>
              </w:tc>
              <w:tc>
                <w:tcPr>
                  <w:tcW w:w="2221" w:type="dxa"/>
                  <w:tcBorders>
                    <w:tl2br w:val="nil"/>
                    <w:tr2bl w:val="nil"/>
                  </w:tcBorders>
                  <w:vAlign w:val="center"/>
                </w:tcPr>
                <w:p w14:paraId="3F382CDF">
                  <w:pPr>
                    <w:widowControl/>
                    <w:adjustRightInd w:val="0"/>
                    <w:snapToGrid w:val="0"/>
                    <w:spacing w:line="240" w:lineRule="auto"/>
                    <w:ind w:firstLine="0" w:firstLineChars="0"/>
                    <w:jc w:val="center"/>
                    <w:rPr>
                      <w:rFonts w:ascii="宋体" w:hAnsi="宋体" w:cs="宋体"/>
                      <w:color w:val="000000" w:themeColor="text1"/>
                      <w:sz w:val="21"/>
                      <w:szCs w:val="21"/>
                    </w:rPr>
                  </w:pPr>
                  <w:r>
                    <w:rPr>
                      <w:rFonts w:hint="eastAsia" w:ascii="宋体" w:hAnsi="宋体" w:cs="宋体"/>
                      <w:color w:val="000000" w:themeColor="text1"/>
                      <w:sz w:val="21"/>
                      <w:szCs w:val="21"/>
                    </w:rPr>
                    <w:t>/</w:t>
                  </w:r>
                </w:p>
              </w:tc>
              <w:tc>
                <w:tcPr>
                  <w:tcW w:w="1998" w:type="dxa"/>
                  <w:tcBorders>
                    <w:tl2br w:val="nil"/>
                    <w:tr2bl w:val="nil"/>
                  </w:tcBorders>
                  <w:vAlign w:val="center"/>
                </w:tcPr>
                <w:p w14:paraId="1DF7E097">
                  <w:pPr>
                    <w:adjustRightInd w:val="0"/>
                    <w:snapToGrid w:val="0"/>
                    <w:spacing w:line="240" w:lineRule="auto"/>
                    <w:ind w:firstLine="0" w:firstLineChars="0"/>
                    <w:rPr>
                      <w:rFonts w:ascii="宋体" w:hAnsi="宋体" w:cs="宋体"/>
                      <w:color w:val="000000" w:themeColor="text1"/>
                      <w:sz w:val="21"/>
                      <w:szCs w:val="21"/>
                    </w:rPr>
                  </w:pPr>
                  <w:r>
                    <w:rPr>
                      <w:color w:val="000000" w:themeColor="text1"/>
                      <w:sz w:val="21"/>
                      <w:szCs w:val="21"/>
                    </w:rPr>
                    <w:drawing>
                      <wp:anchor distT="0" distB="0" distL="114300" distR="114300" simplePos="0" relativeHeight="251666432" behindDoc="0" locked="0" layoutInCell="1" allowOverlap="1">
                        <wp:simplePos x="0" y="0"/>
                        <wp:positionH relativeFrom="column">
                          <wp:posOffset>227965</wp:posOffset>
                        </wp:positionH>
                        <wp:positionV relativeFrom="paragraph">
                          <wp:posOffset>9525</wp:posOffset>
                        </wp:positionV>
                        <wp:extent cx="847725" cy="748030"/>
                        <wp:effectExtent l="0" t="0" r="9525" b="13970"/>
                        <wp:wrapNone/>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43" cstate="print"/>
                                <a:stretch>
                                  <a:fillRect/>
                                </a:stretch>
                              </pic:blipFill>
                              <pic:spPr>
                                <a:xfrm>
                                  <a:off x="0" y="0"/>
                                  <a:ext cx="847725" cy="748030"/>
                                </a:xfrm>
                                <a:prstGeom prst="rect">
                                  <a:avLst/>
                                </a:prstGeom>
                                <a:noFill/>
                                <a:ln>
                                  <a:noFill/>
                                </a:ln>
                              </pic:spPr>
                            </pic:pic>
                          </a:graphicData>
                        </a:graphic>
                      </wp:anchor>
                    </w:drawing>
                  </w:r>
                </w:p>
              </w:tc>
              <w:tc>
                <w:tcPr>
                  <w:tcW w:w="1413" w:type="dxa"/>
                  <w:tcBorders>
                    <w:tl2br w:val="nil"/>
                    <w:tr2bl w:val="nil"/>
                  </w:tcBorders>
                  <w:vAlign w:val="center"/>
                </w:tcPr>
                <w:p w14:paraId="2143D262">
                  <w:pPr>
                    <w:adjustRightInd w:val="0"/>
                    <w:snapToGrid w:val="0"/>
                    <w:spacing w:line="240" w:lineRule="auto"/>
                    <w:ind w:firstLine="0" w:firstLineChars="0"/>
                    <w:jc w:val="center"/>
                    <w:outlineLvl w:val="1"/>
                    <w:rPr>
                      <w:rFonts w:ascii="宋体" w:hAnsi="宋体" w:cs="宋体"/>
                      <w:color w:val="000000" w:themeColor="text1"/>
                      <w:sz w:val="21"/>
                      <w:szCs w:val="21"/>
                    </w:rPr>
                  </w:pPr>
                  <w:r>
                    <w:rPr>
                      <w:rFonts w:hint="eastAsia" w:ascii="宋体" w:hAnsi="宋体" w:cs="宋体"/>
                      <w:color w:val="000000" w:themeColor="text1"/>
                      <w:sz w:val="21"/>
                      <w:szCs w:val="21"/>
                    </w:rPr>
                    <w:t>危险废物储存</w:t>
                  </w:r>
                </w:p>
              </w:tc>
              <w:tc>
                <w:tcPr>
                  <w:tcW w:w="1845" w:type="dxa"/>
                  <w:vMerge w:val="continue"/>
                  <w:tcBorders>
                    <w:tl2br w:val="nil"/>
                    <w:tr2bl w:val="nil"/>
                  </w:tcBorders>
                  <w:vAlign w:val="center"/>
                </w:tcPr>
                <w:p w14:paraId="193D82E9">
                  <w:pPr>
                    <w:adjustRightInd w:val="0"/>
                    <w:snapToGrid w:val="0"/>
                    <w:spacing w:line="240" w:lineRule="auto"/>
                    <w:ind w:firstLine="0" w:firstLineChars="0"/>
                    <w:jc w:val="center"/>
                    <w:outlineLvl w:val="1"/>
                    <w:rPr>
                      <w:rFonts w:ascii="宋体" w:hAnsi="宋体" w:cs="宋体"/>
                      <w:color w:val="000000" w:themeColor="text1"/>
                      <w:sz w:val="21"/>
                      <w:szCs w:val="21"/>
                    </w:rPr>
                  </w:pPr>
                </w:p>
              </w:tc>
            </w:tr>
          </w:tbl>
          <w:p w14:paraId="50F31466">
            <w:pPr>
              <w:spacing w:line="440" w:lineRule="exact"/>
              <w:ind w:firstLine="0" w:firstLineChars="0"/>
              <w:rPr>
                <w:color w:val="000000" w:themeColor="text1"/>
              </w:rPr>
            </w:pPr>
          </w:p>
          <w:p w14:paraId="4DB215B0">
            <w:pPr>
              <w:spacing w:line="440" w:lineRule="exact"/>
              <w:ind w:firstLine="0" w:firstLineChars="0"/>
              <w:rPr>
                <w:color w:val="000000" w:themeColor="text1"/>
              </w:rPr>
            </w:pPr>
          </w:p>
          <w:p w14:paraId="411D8EE2">
            <w:pPr>
              <w:spacing w:line="440" w:lineRule="exact"/>
              <w:ind w:firstLine="0" w:firstLineChars="0"/>
              <w:rPr>
                <w:color w:val="000000" w:themeColor="text1"/>
              </w:rPr>
            </w:pPr>
          </w:p>
          <w:p w14:paraId="0F66BD68">
            <w:pPr>
              <w:spacing w:line="440" w:lineRule="exact"/>
              <w:ind w:firstLine="0" w:firstLineChars="0"/>
              <w:rPr>
                <w:color w:val="000000" w:themeColor="text1"/>
              </w:rPr>
            </w:pPr>
          </w:p>
          <w:p w14:paraId="5465184D">
            <w:pPr>
              <w:spacing w:line="440" w:lineRule="exact"/>
              <w:ind w:firstLine="0" w:firstLineChars="0"/>
              <w:rPr>
                <w:color w:val="000000" w:themeColor="text1"/>
              </w:rPr>
            </w:pPr>
          </w:p>
          <w:p w14:paraId="39AB0A59">
            <w:pPr>
              <w:spacing w:line="440" w:lineRule="exact"/>
              <w:ind w:firstLine="0" w:firstLineChars="0"/>
              <w:rPr>
                <w:color w:val="000000" w:themeColor="text1"/>
              </w:rPr>
            </w:pPr>
          </w:p>
          <w:p w14:paraId="16CEE900">
            <w:pPr>
              <w:spacing w:line="440" w:lineRule="exact"/>
              <w:ind w:firstLine="0" w:firstLineChars="0"/>
              <w:rPr>
                <w:color w:val="000000" w:themeColor="text1"/>
              </w:rPr>
            </w:pPr>
          </w:p>
          <w:p w14:paraId="26FEAEBC">
            <w:pPr>
              <w:spacing w:line="440" w:lineRule="exact"/>
              <w:ind w:firstLine="0" w:firstLineChars="0"/>
              <w:rPr>
                <w:color w:val="000000" w:themeColor="text1"/>
              </w:rPr>
            </w:pPr>
          </w:p>
          <w:p w14:paraId="1681FB75">
            <w:pPr>
              <w:spacing w:line="440" w:lineRule="exact"/>
              <w:ind w:firstLine="0" w:firstLineChars="0"/>
              <w:rPr>
                <w:color w:val="000000" w:themeColor="text1"/>
              </w:rPr>
            </w:pPr>
          </w:p>
          <w:p w14:paraId="18167C8C">
            <w:pPr>
              <w:spacing w:line="440" w:lineRule="exact"/>
              <w:ind w:firstLine="0" w:firstLineChars="0"/>
              <w:rPr>
                <w:color w:val="000000" w:themeColor="text1"/>
              </w:rPr>
            </w:pPr>
          </w:p>
          <w:p w14:paraId="4F1CF3B8">
            <w:pPr>
              <w:spacing w:line="440" w:lineRule="exact"/>
              <w:ind w:firstLine="0" w:firstLineChars="0"/>
              <w:rPr>
                <w:color w:val="000000" w:themeColor="text1"/>
              </w:rPr>
            </w:pPr>
          </w:p>
          <w:p w14:paraId="67512F94">
            <w:pPr>
              <w:spacing w:line="440" w:lineRule="exact"/>
              <w:ind w:firstLine="0" w:firstLineChars="0"/>
              <w:rPr>
                <w:color w:val="000000" w:themeColor="text1"/>
              </w:rPr>
            </w:pPr>
          </w:p>
          <w:p w14:paraId="12C8E9A4">
            <w:pPr>
              <w:spacing w:line="440" w:lineRule="exact"/>
              <w:ind w:firstLine="0" w:firstLineChars="0"/>
              <w:rPr>
                <w:color w:val="000000" w:themeColor="text1"/>
              </w:rPr>
            </w:pPr>
          </w:p>
          <w:p w14:paraId="7377AAF1">
            <w:pPr>
              <w:spacing w:line="440" w:lineRule="exact"/>
              <w:ind w:firstLine="0" w:firstLineChars="0"/>
              <w:rPr>
                <w:color w:val="000000" w:themeColor="text1"/>
              </w:rPr>
            </w:pPr>
          </w:p>
        </w:tc>
      </w:tr>
    </w:tbl>
    <w:p w14:paraId="2DFE7226">
      <w:pPr>
        <w:ind w:firstLine="480"/>
        <w:rPr>
          <w:color w:val="000000" w:themeColor="text1"/>
        </w:rPr>
      </w:pPr>
      <w:r>
        <w:rPr>
          <w:color w:val="000000" w:themeColor="text1"/>
        </w:rPr>
        <w:br w:type="page"/>
      </w:r>
    </w:p>
    <w:p w14:paraId="1512CF52">
      <w:pPr>
        <w:pStyle w:val="2"/>
        <w:rPr>
          <w:color w:val="000000" w:themeColor="text1"/>
        </w:rPr>
      </w:pPr>
      <w:bookmarkStart w:id="8" w:name="_Toc11672"/>
      <w:r>
        <w:rPr>
          <w:rFonts w:hint="eastAsia"/>
          <w:color w:val="000000" w:themeColor="text1"/>
        </w:rPr>
        <w:t>六、结论</w:t>
      </w:r>
      <w:bookmarkEnd w:id="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52D65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400" w:type="dxa"/>
          </w:tcPr>
          <w:p w14:paraId="6B54C02E">
            <w:pPr>
              <w:ind w:firstLine="480"/>
              <w:rPr>
                <w:color w:val="000000" w:themeColor="text1"/>
              </w:rPr>
            </w:pPr>
            <w:r>
              <w:rPr>
                <w:rFonts w:hint="eastAsia"/>
                <w:color w:val="000000" w:themeColor="text1"/>
              </w:rPr>
              <w:t>唐山祥昇能源科技有限公司投资13000万元在唐山市曹妃甸装备制造产业园区唐山曹妃甸木业股份有限公司厂区内建设的木托盘料部件加工、生物质能源加工项目，符合国家及地方产业政策，符合相关土地利用规划，项目选址合理，同时满足“三线一单”环境保护要求，施工期及运营期通过采用适当的污染防治措施，各污染物均可实现达标排放，环境影响可接受，环境风险可控，综上所述，只要切实落实环保方案，从环保角度而言，该项目建设可行。</w:t>
            </w:r>
          </w:p>
          <w:p w14:paraId="447B6571">
            <w:pPr>
              <w:spacing w:line="360" w:lineRule="auto"/>
              <w:ind w:firstLine="480"/>
              <w:rPr>
                <w:color w:val="000000" w:themeColor="text1"/>
              </w:rPr>
            </w:pPr>
          </w:p>
          <w:p w14:paraId="4EE5A443">
            <w:pPr>
              <w:pStyle w:val="6"/>
              <w:ind w:firstLine="480"/>
              <w:rPr>
                <w:color w:val="000000" w:themeColor="text1"/>
              </w:rPr>
            </w:pPr>
          </w:p>
          <w:p w14:paraId="298ECFD1">
            <w:pPr>
              <w:pStyle w:val="4"/>
              <w:ind w:left="1440"/>
              <w:rPr>
                <w:color w:val="000000" w:themeColor="text1"/>
              </w:rPr>
            </w:pPr>
          </w:p>
          <w:p w14:paraId="449E563B">
            <w:pPr>
              <w:ind w:firstLine="480"/>
              <w:rPr>
                <w:color w:val="000000" w:themeColor="text1"/>
              </w:rPr>
            </w:pPr>
          </w:p>
          <w:p w14:paraId="0A31693A">
            <w:pPr>
              <w:pStyle w:val="6"/>
              <w:ind w:firstLine="480"/>
              <w:rPr>
                <w:color w:val="000000" w:themeColor="text1"/>
              </w:rPr>
            </w:pPr>
          </w:p>
          <w:p w14:paraId="379F1E71">
            <w:pPr>
              <w:pStyle w:val="4"/>
              <w:ind w:left="1440"/>
              <w:rPr>
                <w:color w:val="000000" w:themeColor="text1"/>
              </w:rPr>
            </w:pPr>
          </w:p>
          <w:p w14:paraId="49937806">
            <w:pPr>
              <w:ind w:firstLine="480"/>
              <w:rPr>
                <w:color w:val="000000" w:themeColor="text1"/>
              </w:rPr>
            </w:pPr>
          </w:p>
          <w:p w14:paraId="1924F14D">
            <w:pPr>
              <w:pStyle w:val="6"/>
              <w:ind w:firstLine="480"/>
              <w:rPr>
                <w:color w:val="000000" w:themeColor="text1"/>
              </w:rPr>
            </w:pPr>
          </w:p>
          <w:p w14:paraId="0F4E1E43">
            <w:pPr>
              <w:pStyle w:val="4"/>
              <w:ind w:left="1440"/>
              <w:rPr>
                <w:color w:val="000000" w:themeColor="text1"/>
              </w:rPr>
            </w:pPr>
          </w:p>
          <w:p w14:paraId="58BEF537">
            <w:pPr>
              <w:ind w:firstLine="480"/>
              <w:rPr>
                <w:color w:val="000000" w:themeColor="text1"/>
              </w:rPr>
            </w:pPr>
          </w:p>
          <w:p w14:paraId="07ECAAC2">
            <w:pPr>
              <w:pStyle w:val="6"/>
              <w:ind w:firstLine="480"/>
              <w:rPr>
                <w:color w:val="000000" w:themeColor="text1"/>
              </w:rPr>
            </w:pPr>
          </w:p>
          <w:p w14:paraId="386E598B">
            <w:pPr>
              <w:pStyle w:val="4"/>
              <w:ind w:left="1440"/>
              <w:rPr>
                <w:color w:val="000000" w:themeColor="text1"/>
              </w:rPr>
            </w:pPr>
          </w:p>
          <w:p w14:paraId="472C35B2">
            <w:pPr>
              <w:ind w:firstLine="480"/>
              <w:rPr>
                <w:color w:val="000000" w:themeColor="text1"/>
              </w:rPr>
            </w:pPr>
          </w:p>
          <w:p w14:paraId="2DE86244">
            <w:pPr>
              <w:pStyle w:val="6"/>
              <w:ind w:firstLine="480"/>
              <w:rPr>
                <w:color w:val="000000" w:themeColor="text1"/>
              </w:rPr>
            </w:pPr>
          </w:p>
          <w:p w14:paraId="626C01E4">
            <w:pPr>
              <w:pStyle w:val="4"/>
              <w:ind w:left="1440"/>
              <w:rPr>
                <w:color w:val="000000" w:themeColor="text1"/>
              </w:rPr>
            </w:pPr>
          </w:p>
          <w:p w14:paraId="4EF4B261">
            <w:pPr>
              <w:ind w:firstLine="480"/>
              <w:rPr>
                <w:color w:val="000000" w:themeColor="text1"/>
              </w:rPr>
            </w:pPr>
          </w:p>
          <w:p w14:paraId="743975A6">
            <w:pPr>
              <w:pStyle w:val="6"/>
              <w:ind w:firstLine="480"/>
              <w:rPr>
                <w:color w:val="000000" w:themeColor="text1"/>
              </w:rPr>
            </w:pPr>
          </w:p>
          <w:p w14:paraId="1049C854">
            <w:pPr>
              <w:pStyle w:val="4"/>
              <w:ind w:left="1440"/>
              <w:rPr>
                <w:color w:val="000000" w:themeColor="text1"/>
              </w:rPr>
            </w:pPr>
          </w:p>
          <w:p w14:paraId="447FFAF0">
            <w:pPr>
              <w:ind w:firstLine="480"/>
              <w:rPr>
                <w:color w:val="000000" w:themeColor="text1"/>
              </w:rPr>
            </w:pPr>
          </w:p>
          <w:p w14:paraId="7A8203E2">
            <w:pPr>
              <w:pStyle w:val="6"/>
              <w:ind w:firstLine="480"/>
              <w:rPr>
                <w:color w:val="000000" w:themeColor="text1"/>
              </w:rPr>
            </w:pPr>
          </w:p>
          <w:p w14:paraId="7B3355E3">
            <w:pPr>
              <w:pStyle w:val="6"/>
              <w:ind w:firstLine="0" w:firstLineChars="0"/>
              <w:rPr>
                <w:color w:val="000000" w:themeColor="text1"/>
              </w:rPr>
            </w:pPr>
          </w:p>
        </w:tc>
      </w:tr>
    </w:tbl>
    <w:p w14:paraId="72C3439E">
      <w:pPr>
        <w:pStyle w:val="23"/>
        <w:ind w:left="480"/>
        <w:rPr>
          <w:color w:val="000000" w:themeColor="text1"/>
        </w:rPr>
        <w:sectPr>
          <w:pgSz w:w="11906" w:h="16838"/>
          <w:pgMar w:top="1440" w:right="1247" w:bottom="1440" w:left="1417" w:header="851" w:footer="992" w:gutter="0"/>
          <w:cols w:space="425" w:num="1"/>
          <w:docGrid w:type="lines" w:linePitch="312" w:charSpace="0"/>
        </w:sectPr>
      </w:pPr>
    </w:p>
    <w:p w14:paraId="0EE695D8">
      <w:pPr>
        <w:pStyle w:val="2"/>
        <w:spacing w:beforeAutospacing="0" w:afterAutospacing="0"/>
        <w:jc w:val="left"/>
        <w:rPr>
          <w:color w:val="000000" w:themeColor="text1"/>
        </w:rPr>
      </w:pPr>
      <w:bookmarkStart w:id="9" w:name="_Toc16884"/>
      <w:r>
        <w:rPr>
          <w:rFonts w:hint="eastAsia"/>
          <w:color w:val="000000" w:themeColor="text1"/>
        </w:rPr>
        <w:t>附表</w:t>
      </w:r>
      <w:bookmarkEnd w:id="9"/>
    </w:p>
    <w:p w14:paraId="19F229E0">
      <w:pPr>
        <w:pStyle w:val="21"/>
        <w:adjustRightInd w:val="0"/>
        <w:snapToGrid w:val="0"/>
        <w:spacing w:before="0" w:beforeAutospacing="0" w:after="0" w:afterAutospacing="0" w:line="360" w:lineRule="auto"/>
        <w:ind w:firstLine="0" w:firstLineChars="0"/>
        <w:jc w:val="center"/>
        <w:outlineLvl w:val="0"/>
        <w:rPr>
          <w:rFonts w:ascii="方正小标宋_GBK" w:hAnsi="黑体" w:eastAsia="方正小标宋_GBK"/>
          <w:snapToGrid w:val="0"/>
          <w:color w:val="000000" w:themeColor="text1"/>
          <w:sz w:val="38"/>
          <w:szCs w:val="38"/>
        </w:rPr>
      </w:pPr>
      <w:bookmarkStart w:id="10" w:name="_Toc4697"/>
      <w:r>
        <w:rPr>
          <w:rFonts w:hint="eastAsia" w:ascii="方正小标宋_GBK" w:hAnsi="黑体" w:eastAsia="方正小标宋_GBK"/>
          <w:snapToGrid w:val="0"/>
          <w:color w:val="000000" w:themeColor="text1"/>
          <w:sz w:val="38"/>
          <w:szCs w:val="38"/>
        </w:rPr>
        <w:t>建设项目污染物排放量汇总表</w:t>
      </w:r>
      <w:bookmarkEnd w:id="10"/>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925"/>
        <w:gridCol w:w="1680"/>
        <w:gridCol w:w="1231"/>
        <w:gridCol w:w="1683"/>
        <w:gridCol w:w="1500"/>
        <w:gridCol w:w="1534"/>
        <w:gridCol w:w="1711"/>
        <w:gridCol w:w="1184"/>
      </w:tblGrid>
      <w:tr w14:paraId="3CB4F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40" w:type="dxa"/>
            <w:tcBorders>
              <w:tl2br w:val="single" w:color="auto" w:sz="4" w:space="0"/>
            </w:tcBorders>
            <w:tcMar>
              <w:left w:w="28" w:type="dxa"/>
              <w:right w:w="28" w:type="dxa"/>
            </w:tcMar>
            <w:vAlign w:val="center"/>
          </w:tcPr>
          <w:p w14:paraId="051CFBBB">
            <w:pPr>
              <w:pStyle w:val="35"/>
              <w:adjustRightInd w:val="0"/>
              <w:snapToGrid w:val="0"/>
              <w:ind w:left="396" w:leftChars="0" w:right="0" w:rightChars="0" w:hanging="396" w:hangingChars="200"/>
              <w:rPr>
                <w:rFonts w:ascii="黑体" w:hAnsi="黑体" w:eastAsia="黑体" w:cs="宋体"/>
                <w:snapToGrid w:val="0"/>
                <w:color w:val="000000" w:themeColor="text1"/>
                <w:spacing w:val="-6"/>
                <w:kern w:val="21"/>
              </w:rPr>
            </w:pPr>
            <w:r>
              <w:rPr>
                <w:rFonts w:hint="eastAsia" w:ascii="黑体" w:hAnsi="黑体" w:eastAsia="黑体" w:cs="宋体"/>
                <w:snapToGrid w:val="0"/>
                <w:color w:val="000000" w:themeColor="text1"/>
                <w:spacing w:val="-6"/>
                <w:kern w:val="21"/>
              </w:rPr>
              <w:t xml:space="preserve">       </w:t>
            </w:r>
            <w:r>
              <w:rPr>
                <w:rFonts w:ascii="黑体" w:hAnsi="黑体" w:eastAsia="黑体" w:cs="宋体"/>
                <w:snapToGrid w:val="0"/>
                <w:color w:val="000000" w:themeColor="text1"/>
                <w:spacing w:val="-6"/>
                <w:kern w:val="21"/>
              </w:rPr>
              <w:t>项目</w:t>
            </w:r>
          </w:p>
          <w:p w14:paraId="359FE682">
            <w:pPr>
              <w:pStyle w:val="35"/>
              <w:adjustRightInd w:val="0"/>
              <w:snapToGrid w:val="0"/>
              <w:ind w:left="396" w:leftChars="0" w:right="0" w:rightChars="0" w:hanging="396" w:hangingChars="200"/>
              <w:jc w:val="both"/>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分类</w:t>
            </w:r>
          </w:p>
        </w:tc>
        <w:tc>
          <w:tcPr>
            <w:tcW w:w="1925" w:type="dxa"/>
            <w:tcMar>
              <w:left w:w="28" w:type="dxa"/>
              <w:right w:w="28" w:type="dxa"/>
            </w:tcMar>
            <w:vAlign w:val="center"/>
          </w:tcPr>
          <w:p w14:paraId="466AD4FE">
            <w:pPr>
              <w:pStyle w:val="35"/>
              <w:adjustRightInd w:val="0"/>
              <w:snapToGrid w:val="0"/>
              <w:ind w:left="396" w:leftChars="0" w:right="0" w:rightChars="0" w:hanging="396" w:hangingChars="20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污染物名称</w:t>
            </w:r>
          </w:p>
        </w:tc>
        <w:tc>
          <w:tcPr>
            <w:tcW w:w="1680" w:type="dxa"/>
            <w:tcMar>
              <w:left w:w="28" w:type="dxa"/>
              <w:right w:w="28" w:type="dxa"/>
            </w:tcMar>
            <w:vAlign w:val="center"/>
          </w:tcPr>
          <w:p w14:paraId="447E08B3">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现有工程排放量（固体废物产生量）</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t/a</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①</w:t>
            </w:r>
          </w:p>
        </w:tc>
        <w:tc>
          <w:tcPr>
            <w:tcW w:w="1231" w:type="dxa"/>
            <w:tcMar>
              <w:left w:w="28" w:type="dxa"/>
              <w:right w:w="28" w:type="dxa"/>
            </w:tcMar>
            <w:vAlign w:val="center"/>
          </w:tcPr>
          <w:p w14:paraId="39C2031E">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现有工程许可排放量</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t/a</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②</w:t>
            </w:r>
          </w:p>
        </w:tc>
        <w:tc>
          <w:tcPr>
            <w:tcW w:w="1683" w:type="dxa"/>
            <w:tcMar>
              <w:left w:w="28" w:type="dxa"/>
              <w:right w:w="28" w:type="dxa"/>
            </w:tcMar>
            <w:vAlign w:val="center"/>
          </w:tcPr>
          <w:p w14:paraId="0FE67E82">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在建工程排放量（固体废物产生量）</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t/a</w:t>
            </w:r>
            <w:r>
              <w:rPr>
                <w:rFonts w:hint="eastAsia" w:ascii="黑体" w:hAnsi="黑体" w:eastAsia="黑体" w:cs="宋体"/>
                <w:snapToGrid w:val="0"/>
                <w:color w:val="000000" w:themeColor="text1"/>
                <w:spacing w:val="-6"/>
                <w:kern w:val="21"/>
              </w:rPr>
              <w:t>）</w:t>
            </w:r>
            <w:r>
              <w:rPr>
                <w:rFonts w:ascii="黑体" w:hAnsi="黑体" w:eastAsia="黑体" w:cs="宋体"/>
                <w:snapToGrid w:val="0"/>
                <w:color w:val="000000" w:themeColor="text1"/>
                <w:spacing w:val="-6"/>
                <w:kern w:val="21"/>
              </w:rPr>
              <w:t>③</w:t>
            </w:r>
          </w:p>
        </w:tc>
        <w:tc>
          <w:tcPr>
            <w:tcW w:w="1500" w:type="dxa"/>
            <w:tcMar>
              <w:left w:w="28" w:type="dxa"/>
              <w:right w:w="28" w:type="dxa"/>
            </w:tcMar>
            <w:vAlign w:val="center"/>
          </w:tcPr>
          <w:p w14:paraId="6CDCAFE4">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本项目排放量（固体废物产生量）</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④</w:t>
            </w:r>
          </w:p>
        </w:tc>
        <w:tc>
          <w:tcPr>
            <w:tcW w:w="1534" w:type="dxa"/>
            <w:tcMar>
              <w:left w:w="28" w:type="dxa"/>
              <w:right w:w="28" w:type="dxa"/>
            </w:tcMar>
            <w:vAlign w:val="center"/>
          </w:tcPr>
          <w:p w14:paraId="2D1DE6B9">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以新带老削减量</w:t>
            </w:r>
          </w:p>
          <w:p w14:paraId="2F09BFFD">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（新建项目不填）</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⑤</w:t>
            </w:r>
          </w:p>
        </w:tc>
        <w:tc>
          <w:tcPr>
            <w:tcW w:w="1711" w:type="dxa"/>
            <w:tcMar>
              <w:left w:w="28" w:type="dxa"/>
              <w:right w:w="28" w:type="dxa"/>
            </w:tcMar>
            <w:vAlign w:val="center"/>
          </w:tcPr>
          <w:p w14:paraId="3846A6A3">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本项目建成后全厂排放量（固体废物产生量）</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⑥</w:t>
            </w:r>
          </w:p>
        </w:tc>
        <w:tc>
          <w:tcPr>
            <w:tcW w:w="1184" w:type="dxa"/>
            <w:tcMar>
              <w:left w:w="28" w:type="dxa"/>
              <w:right w:w="28" w:type="dxa"/>
            </w:tcMar>
            <w:vAlign w:val="center"/>
          </w:tcPr>
          <w:p w14:paraId="327B80F4">
            <w:pPr>
              <w:pStyle w:val="35"/>
              <w:adjustRightInd w:val="0"/>
              <w:snapToGrid w:val="0"/>
              <w:ind w:left="0" w:leftChars="0" w:right="0" w:rightChars="0"/>
              <w:rPr>
                <w:rFonts w:ascii="黑体" w:hAnsi="黑体" w:eastAsia="黑体" w:cs="宋体"/>
                <w:snapToGrid w:val="0"/>
                <w:color w:val="000000" w:themeColor="text1"/>
                <w:spacing w:val="-6"/>
                <w:kern w:val="21"/>
              </w:rPr>
            </w:pPr>
            <w:r>
              <w:rPr>
                <w:rFonts w:ascii="黑体" w:hAnsi="黑体" w:eastAsia="黑体" w:cs="宋体"/>
                <w:snapToGrid w:val="0"/>
                <w:color w:val="000000" w:themeColor="text1"/>
                <w:spacing w:val="-6"/>
                <w:kern w:val="21"/>
              </w:rPr>
              <w:t>变化量</w:t>
            </w:r>
            <w:r>
              <w:rPr>
                <w:rFonts w:hint="eastAsia" w:ascii="黑体" w:hAnsi="黑体" w:eastAsia="黑体" w:cs="宋体"/>
                <w:snapToGrid w:val="0"/>
                <w:color w:val="000000" w:themeColor="text1"/>
                <w:spacing w:val="-6"/>
                <w:kern w:val="21"/>
              </w:rPr>
              <w:t>（t/a）</w:t>
            </w:r>
            <w:r>
              <w:rPr>
                <w:rFonts w:ascii="黑体" w:hAnsi="黑体" w:eastAsia="黑体" w:cs="宋体"/>
                <w:snapToGrid w:val="0"/>
                <w:color w:val="000000" w:themeColor="text1"/>
                <w:spacing w:val="-6"/>
                <w:kern w:val="21"/>
              </w:rPr>
              <w:t>⑦</w:t>
            </w:r>
          </w:p>
        </w:tc>
      </w:tr>
      <w:tr w14:paraId="3712E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restart"/>
            <w:vAlign w:val="center"/>
          </w:tcPr>
          <w:p w14:paraId="0CCEDCA4">
            <w:pPr>
              <w:pStyle w:val="35"/>
              <w:rPr>
                <w:snapToGrid w:val="0"/>
                <w:color w:val="000000" w:themeColor="text1"/>
                <w:kern w:val="21"/>
              </w:rPr>
            </w:pPr>
            <w:r>
              <w:rPr>
                <w:snapToGrid w:val="0"/>
                <w:color w:val="000000" w:themeColor="text1"/>
                <w:kern w:val="21"/>
              </w:rPr>
              <w:t>废气</w:t>
            </w:r>
          </w:p>
        </w:tc>
        <w:tc>
          <w:tcPr>
            <w:tcW w:w="1925" w:type="dxa"/>
            <w:vAlign w:val="center"/>
          </w:tcPr>
          <w:p w14:paraId="304204BA">
            <w:pPr>
              <w:pStyle w:val="35"/>
              <w:rPr>
                <w:snapToGrid w:val="0"/>
                <w:color w:val="000000" w:themeColor="text1"/>
                <w:kern w:val="21"/>
              </w:rPr>
            </w:pPr>
            <w:r>
              <w:rPr>
                <w:rFonts w:hint="eastAsia" w:eastAsiaTheme="minorEastAsia"/>
                <w:snapToGrid w:val="0"/>
                <w:color w:val="000000" w:themeColor="text1"/>
                <w:kern w:val="21"/>
              </w:rPr>
              <w:t>颗粒物</w:t>
            </w:r>
          </w:p>
        </w:tc>
        <w:tc>
          <w:tcPr>
            <w:tcW w:w="1680" w:type="dxa"/>
            <w:vAlign w:val="center"/>
          </w:tcPr>
          <w:p w14:paraId="1F45EDDE">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0EFA6B66">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064BFF19">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288EBFC5">
            <w:pPr>
              <w:adjustRightInd w:val="0"/>
              <w:snapToGrid w:val="0"/>
              <w:spacing w:line="240" w:lineRule="auto"/>
              <w:ind w:firstLine="0" w:firstLineChars="0"/>
              <w:jc w:val="center"/>
              <w:rPr>
                <w:snapToGrid w:val="0"/>
                <w:color w:val="000000" w:themeColor="text1"/>
                <w:kern w:val="21"/>
                <w:sz w:val="21"/>
                <w:szCs w:val="21"/>
              </w:rPr>
            </w:pPr>
            <w:r>
              <w:rPr>
                <w:rFonts w:hint="eastAsia"/>
                <w:color w:val="000000" w:themeColor="text1"/>
                <w:sz w:val="21"/>
                <w:szCs w:val="21"/>
              </w:rPr>
              <w:t>0.730</w:t>
            </w:r>
          </w:p>
        </w:tc>
        <w:tc>
          <w:tcPr>
            <w:tcW w:w="1534" w:type="dxa"/>
            <w:vAlign w:val="center"/>
          </w:tcPr>
          <w:p w14:paraId="35796AF5">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60B0A024">
            <w:pPr>
              <w:adjustRightInd w:val="0"/>
              <w:snapToGrid w:val="0"/>
              <w:spacing w:line="240" w:lineRule="auto"/>
              <w:ind w:firstLine="0" w:firstLineChars="0"/>
              <w:jc w:val="center"/>
              <w:rPr>
                <w:snapToGrid w:val="0"/>
                <w:color w:val="000000" w:themeColor="text1"/>
                <w:kern w:val="21"/>
                <w:sz w:val="21"/>
                <w:szCs w:val="21"/>
              </w:rPr>
            </w:pPr>
            <w:r>
              <w:rPr>
                <w:rFonts w:hint="eastAsia"/>
                <w:color w:val="000000" w:themeColor="text1"/>
                <w:sz w:val="21"/>
                <w:szCs w:val="21"/>
              </w:rPr>
              <w:t>0.730</w:t>
            </w:r>
          </w:p>
        </w:tc>
        <w:tc>
          <w:tcPr>
            <w:tcW w:w="1184" w:type="dxa"/>
            <w:vAlign w:val="center"/>
          </w:tcPr>
          <w:p w14:paraId="515C1E67">
            <w:pPr>
              <w:adjustRightInd w:val="0"/>
              <w:snapToGrid w:val="0"/>
              <w:spacing w:line="240" w:lineRule="auto"/>
              <w:ind w:firstLine="0" w:firstLineChars="0"/>
              <w:jc w:val="center"/>
              <w:rPr>
                <w:snapToGrid w:val="0"/>
                <w:color w:val="000000" w:themeColor="text1"/>
                <w:kern w:val="21"/>
                <w:sz w:val="21"/>
                <w:szCs w:val="21"/>
              </w:rPr>
            </w:pPr>
            <w:r>
              <w:rPr>
                <w:rFonts w:hint="eastAsia"/>
                <w:color w:val="000000" w:themeColor="text1"/>
                <w:sz w:val="21"/>
                <w:szCs w:val="21"/>
              </w:rPr>
              <w:t>+0.730</w:t>
            </w:r>
          </w:p>
        </w:tc>
      </w:tr>
      <w:tr w14:paraId="14437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10747B6E">
            <w:pPr>
              <w:pStyle w:val="35"/>
              <w:rPr>
                <w:snapToGrid w:val="0"/>
                <w:color w:val="000000" w:themeColor="text1"/>
                <w:kern w:val="21"/>
              </w:rPr>
            </w:pPr>
          </w:p>
        </w:tc>
        <w:tc>
          <w:tcPr>
            <w:tcW w:w="1925" w:type="dxa"/>
            <w:shd w:val="clear" w:color="auto" w:fill="auto"/>
            <w:vAlign w:val="center"/>
          </w:tcPr>
          <w:p w14:paraId="1F8E4D62">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SO</w:t>
            </w:r>
            <w:r>
              <w:rPr>
                <w:rFonts w:hint="eastAsia"/>
                <w:snapToGrid w:val="0"/>
                <w:color w:val="000000" w:themeColor="text1"/>
                <w:kern w:val="0"/>
                <w:sz w:val="21"/>
                <w:szCs w:val="21"/>
                <w:vertAlign w:val="subscript"/>
              </w:rPr>
              <w:t>2</w:t>
            </w:r>
          </w:p>
        </w:tc>
        <w:tc>
          <w:tcPr>
            <w:tcW w:w="1680" w:type="dxa"/>
            <w:vAlign w:val="center"/>
          </w:tcPr>
          <w:p w14:paraId="37E41221">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F9A73C1">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7221F5EF">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03918623">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0.279</w:t>
            </w:r>
          </w:p>
        </w:tc>
        <w:tc>
          <w:tcPr>
            <w:tcW w:w="1534" w:type="dxa"/>
            <w:shd w:val="clear" w:color="auto" w:fill="auto"/>
            <w:vAlign w:val="center"/>
          </w:tcPr>
          <w:p w14:paraId="172041E7">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4C3B5E7B">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0.279</w:t>
            </w:r>
          </w:p>
        </w:tc>
        <w:tc>
          <w:tcPr>
            <w:tcW w:w="1184" w:type="dxa"/>
            <w:vAlign w:val="center"/>
          </w:tcPr>
          <w:p w14:paraId="1F28D73D">
            <w:pPr>
              <w:spacing w:line="0" w:lineRule="atLeast"/>
              <w:ind w:firstLine="0" w:firstLineChars="0"/>
              <w:jc w:val="center"/>
              <w:rPr>
                <w:snapToGrid w:val="0"/>
                <w:color w:val="000000" w:themeColor="text1"/>
                <w:kern w:val="21"/>
                <w:sz w:val="21"/>
                <w:szCs w:val="21"/>
              </w:rPr>
            </w:pPr>
            <w:r>
              <w:rPr>
                <w:rFonts w:hint="eastAsia"/>
                <w:color w:val="000000" w:themeColor="text1"/>
                <w:sz w:val="21"/>
                <w:szCs w:val="21"/>
              </w:rPr>
              <w:t>+0.279</w:t>
            </w:r>
          </w:p>
        </w:tc>
      </w:tr>
      <w:tr w14:paraId="3CA5E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2C149EC7">
            <w:pPr>
              <w:pStyle w:val="35"/>
              <w:rPr>
                <w:snapToGrid w:val="0"/>
                <w:color w:val="000000" w:themeColor="text1"/>
                <w:kern w:val="21"/>
              </w:rPr>
            </w:pPr>
          </w:p>
        </w:tc>
        <w:tc>
          <w:tcPr>
            <w:tcW w:w="1925" w:type="dxa"/>
            <w:shd w:val="clear" w:color="auto" w:fill="auto"/>
            <w:vAlign w:val="center"/>
          </w:tcPr>
          <w:p w14:paraId="1F540375">
            <w:pPr>
              <w:spacing w:line="240" w:lineRule="auto"/>
              <w:ind w:firstLine="0" w:firstLineChars="0"/>
              <w:jc w:val="center"/>
              <w:rPr>
                <w:color w:val="000000" w:themeColor="text1"/>
                <w:sz w:val="21"/>
                <w:szCs w:val="21"/>
              </w:rPr>
            </w:pPr>
            <w:r>
              <w:rPr>
                <w:rFonts w:hint="eastAsia"/>
                <w:snapToGrid w:val="0"/>
                <w:color w:val="000000" w:themeColor="text1"/>
                <w:kern w:val="0"/>
                <w:sz w:val="21"/>
                <w:szCs w:val="21"/>
              </w:rPr>
              <w:t>NO</w:t>
            </w:r>
            <w:r>
              <w:rPr>
                <w:rFonts w:hint="eastAsia"/>
                <w:snapToGrid w:val="0"/>
                <w:color w:val="000000" w:themeColor="text1"/>
                <w:kern w:val="0"/>
                <w:sz w:val="21"/>
                <w:szCs w:val="21"/>
                <w:vertAlign w:val="subscript"/>
              </w:rPr>
              <w:t>X</w:t>
            </w:r>
          </w:p>
        </w:tc>
        <w:tc>
          <w:tcPr>
            <w:tcW w:w="1680" w:type="dxa"/>
            <w:vAlign w:val="center"/>
          </w:tcPr>
          <w:p w14:paraId="60417CA5">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63CC897C">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0B506B68">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521DB36C">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0.335</w:t>
            </w:r>
          </w:p>
        </w:tc>
        <w:tc>
          <w:tcPr>
            <w:tcW w:w="1534" w:type="dxa"/>
            <w:shd w:val="clear" w:color="auto" w:fill="auto"/>
            <w:vAlign w:val="center"/>
          </w:tcPr>
          <w:p w14:paraId="4004D2FC">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405F6AA6">
            <w:pPr>
              <w:spacing w:line="0" w:lineRule="atLeast"/>
              <w:ind w:firstLine="0" w:firstLineChars="0"/>
              <w:jc w:val="center"/>
              <w:rPr>
                <w:snapToGrid w:val="0"/>
                <w:color w:val="000000" w:themeColor="text1"/>
                <w:kern w:val="0"/>
                <w:sz w:val="21"/>
                <w:szCs w:val="21"/>
              </w:rPr>
            </w:pPr>
            <w:r>
              <w:rPr>
                <w:rFonts w:hint="eastAsia"/>
                <w:color w:val="000000" w:themeColor="text1"/>
                <w:sz w:val="21"/>
                <w:szCs w:val="21"/>
              </w:rPr>
              <w:t>0.335</w:t>
            </w:r>
          </w:p>
        </w:tc>
        <w:tc>
          <w:tcPr>
            <w:tcW w:w="1184" w:type="dxa"/>
            <w:vAlign w:val="center"/>
          </w:tcPr>
          <w:p w14:paraId="2D6AD99A">
            <w:pPr>
              <w:spacing w:line="0" w:lineRule="atLeast"/>
              <w:ind w:firstLine="0" w:firstLineChars="0"/>
              <w:jc w:val="center"/>
              <w:rPr>
                <w:snapToGrid w:val="0"/>
                <w:color w:val="000000" w:themeColor="text1"/>
                <w:kern w:val="21"/>
                <w:sz w:val="21"/>
                <w:szCs w:val="21"/>
              </w:rPr>
            </w:pPr>
            <w:r>
              <w:rPr>
                <w:rFonts w:hint="eastAsia"/>
                <w:color w:val="000000" w:themeColor="text1"/>
                <w:sz w:val="21"/>
                <w:szCs w:val="21"/>
              </w:rPr>
              <w:t>+0.335</w:t>
            </w:r>
          </w:p>
        </w:tc>
      </w:tr>
      <w:tr w14:paraId="1F2C8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43E6D12B">
            <w:pPr>
              <w:pStyle w:val="35"/>
              <w:rPr>
                <w:snapToGrid w:val="0"/>
                <w:color w:val="000000" w:themeColor="text1"/>
                <w:kern w:val="21"/>
              </w:rPr>
            </w:pPr>
          </w:p>
        </w:tc>
        <w:tc>
          <w:tcPr>
            <w:tcW w:w="1925" w:type="dxa"/>
            <w:shd w:val="clear" w:color="auto" w:fill="auto"/>
            <w:vAlign w:val="center"/>
          </w:tcPr>
          <w:p w14:paraId="7EBD4B79">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汞</w:t>
            </w:r>
          </w:p>
        </w:tc>
        <w:tc>
          <w:tcPr>
            <w:tcW w:w="1680" w:type="dxa"/>
            <w:vAlign w:val="center"/>
          </w:tcPr>
          <w:p w14:paraId="105F9192">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05F8F759">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38FF9449">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2A559F31">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534" w:type="dxa"/>
            <w:shd w:val="clear" w:color="auto" w:fill="auto"/>
            <w:vAlign w:val="center"/>
          </w:tcPr>
          <w:p w14:paraId="450FBCC8">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56F88C87">
            <w:pPr>
              <w:spacing w:line="0" w:lineRule="atLeast"/>
              <w:ind w:firstLine="0" w:firstLineChars="0"/>
              <w:jc w:val="center"/>
              <w:rPr>
                <w:color w:val="000000" w:themeColor="text1"/>
                <w:sz w:val="21"/>
                <w:szCs w:val="21"/>
              </w:rPr>
            </w:pP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c>
          <w:tcPr>
            <w:tcW w:w="1184" w:type="dxa"/>
            <w:vAlign w:val="center"/>
          </w:tcPr>
          <w:p w14:paraId="1371B733">
            <w:pPr>
              <w:spacing w:line="0" w:lineRule="atLeast"/>
              <w:ind w:firstLine="0" w:firstLineChars="0"/>
              <w:jc w:val="center"/>
              <w:rPr>
                <w:color w:val="000000" w:themeColor="text1"/>
                <w:sz w:val="21"/>
                <w:szCs w:val="21"/>
              </w:rPr>
            </w:pPr>
            <w:r>
              <w:rPr>
                <w:rFonts w:hint="eastAsia"/>
                <w:color w:val="000000" w:themeColor="text1"/>
                <w:sz w:val="21"/>
                <w:szCs w:val="21"/>
              </w:rPr>
              <w:t>+</w:t>
            </w:r>
            <w:r>
              <w:rPr>
                <w:rFonts w:hint="eastAsia"/>
                <w:color w:val="000000" w:themeColor="text1"/>
                <w:kern w:val="0"/>
                <w:sz w:val="21"/>
                <w:szCs w:val="21"/>
              </w:rPr>
              <w:t>1.633</w:t>
            </w:r>
            <w:r>
              <w:rPr>
                <w:color w:val="000000" w:themeColor="text1"/>
                <w:sz w:val="21"/>
                <w:szCs w:val="21"/>
              </w:rPr>
              <w:t>×10</w:t>
            </w:r>
            <w:r>
              <w:rPr>
                <w:color w:val="000000" w:themeColor="text1"/>
                <w:sz w:val="21"/>
                <w:szCs w:val="21"/>
                <w:vertAlign w:val="superscript"/>
              </w:rPr>
              <w:t>-</w:t>
            </w:r>
            <w:r>
              <w:rPr>
                <w:rFonts w:hint="eastAsia"/>
                <w:color w:val="000000" w:themeColor="text1"/>
                <w:sz w:val="21"/>
                <w:szCs w:val="21"/>
                <w:vertAlign w:val="superscript"/>
              </w:rPr>
              <w:t>6</w:t>
            </w:r>
          </w:p>
        </w:tc>
      </w:tr>
      <w:tr w14:paraId="64E01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40" w:type="dxa"/>
            <w:vMerge w:val="continue"/>
            <w:vAlign w:val="center"/>
          </w:tcPr>
          <w:p w14:paraId="6A3B8339">
            <w:pPr>
              <w:pStyle w:val="35"/>
              <w:rPr>
                <w:snapToGrid w:val="0"/>
                <w:color w:val="000000" w:themeColor="text1"/>
                <w:kern w:val="21"/>
              </w:rPr>
            </w:pPr>
          </w:p>
        </w:tc>
        <w:tc>
          <w:tcPr>
            <w:tcW w:w="1925" w:type="dxa"/>
            <w:shd w:val="clear" w:color="auto" w:fill="auto"/>
            <w:vAlign w:val="center"/>
          </w:tcPr>
          <w:p w14:paraId="1551063A">
            <w:pPr>
              <w:spacing w:line="240" w:lineRule="auto"/>
              <w:ind w:firstLine="0" w:firstLineChars="0"/>
              <w:jc w:val="center"/>
              <w:rPr>
                <w:snapToGrid w:val="0"/>
                <w:color w:val="000000" w:themeColor="text1"/>
                <w:kern w:val="0"/>
                <w:sz w:val="21"/>
                <w:szCs w:val="21"/>
              </w:rPr>
            </w:pPr>
            <w:r>
              <w:rPr>
                <w:rFonts w:hint="eastAsia"/>
                <w:snapToGrid w:val="0"/>
                <w:color w:val="000000" w:themeColor="text1"/>
                <w:kern w:val="0"/>
                <w:sz w:val="21"/>
                <w:szCs w:val="21"/>
              </w:rPr>
              <w:t>烟气黑度</w:t>
            </w:r>
          </w:p>
        </w:tc>
        <w:tc>
          <w:tcPr>
            <w:tcW w:w="1680" w:type="dxa"/>
            <w:vAlign w:val="center"/>
          </w:tcPr>
          <w:p w14:paraId="6DE6B835">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6797F602">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21F56AD">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531547C6">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1534" w:type="dxa"/>
            <w:shd w:val="clear" w:color="auto" w:fill="auto"/>
            <w:vAlign w:val="center"/>
          </w:tcPr>
          <w:p w14:paraId="152E2A4E">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53D1D4ED">
            <w:pPr>
              <w:spacing w:line="0" w:lineRule="atLeast"/>
              <w:ind w:firstLine="0" w:firstLineChars="0"/>
              <w:jc w:val="center"/>
              <w:rPr>
                <w:color w:val="000000" w:themeColor="text1"/>
                <w:sz w:val="21"/>
                <w:szCs w:val="21"/>
              </w:rPr>
            </w:pPr>
            <w:r>
              <w:rPr>
                <w:rFonts w:hint="eastAsia"/>
                <w:color w:val="000000" w:themeColor="text1"/>
                <w:sz w:val="21"/>
                <w:szCs w:val="21"/>
              </w:rPr>
              <w:t>/</w:t>
            </w:r>
          </w:p>
        </w:tc>
        <w:tc>
          <w:tcPr>
            <w:tcW w:w="1184" w:type="dxa"/>
            <w:vAlign w:val="center"/>
          </w:tcPr>
          <w:p w14:paraId="586C7C7D">
            <w:pPr>
              <w:spacing w:line="0" w:lineRule="atLeast"/>
              <w:ind w:firstLine="0" w:firstLineChars="0"/>
              <w:jc w:val="center"/>
              <w:rPr>
                <w:color w:val="000000" w:themeColor="text1"/>
                <w:sz w:val="21"/>
                <w:szCs w:val="21"/>
              </w:rPr>
            </w:pPr>
            <w:r>
              <w:rPr>
                <w:rFonts w:hint="eastAsia"/>
                <w:color w:val="000000" w:themeColor="text1"/>
                <w:sz w:val="21"/>
                <w:szCs w:val="21"/>
              </w:rPr>
              <w:t>/</w:t>
            </w:r>
          </w:p>
        </w:tc>
      </w:tr>
      <w:tr w14:paraId="656F2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restart"/>
            <w:vAlign w:val="center"/>
          </w:tcPr>
          <w:p w14:paraId="1DD588EB">
            <w:pPr>
              <w:pStyle w:val="35"/>
              <w:rPr>
                <w:snapToGrid w:val="0"/>
                <w:color w:val="000000" w:themeColor="text1"/>
                <w:kern w:val="21"/>
              </w:rPr>
            </w:pPr>
            <w:r>
              <w:rPr>
                <w:snapToGrid w:val="0"/>
                <w:color w:val="000000" w:themeColor="text1"/>
                <w:kern w:val="21"/>
              </w:rPr>
              <w:t>废水</w:t>
            </w:r>
          </w:p>
        </w:tc>
        <w:tc>
          <w:tcPr>
            <w:tcW w:w="1925" w:type="dxa"/>
            <w:shd w:val="clear" w:color="auto" w:fill="auto"/>
            <w:vAlign w:val="center"/>
          </w:tcPr>
          <w:p w14:paraId="465E53BA">
            <w:pPr>
              <w:pStyle w:val="35"/>
              <w:rPr>
                <w:color w:val="000000" w:themeColor="text1"/>
                <w:kern w:val="2"/>
              </w:rPr>
            </w:pPr>
            <w:r>
              <w:rPr>
                <w:rFonts w:eastAsiaTheme="minorEastAsia"/>
                <w:snapToGrid w:val="0"/>
                <w:color w:val="000000" w:themeColor="text1"/>
                <w:kern w:val="21"/>
              </w:rPr>
              <w:t>COD</w:t>
            </w:r>
          </w:p>
        </w:tc>
        <w:tc>
          <w:tcPr>
            <w:tcW w:w="1680" w:type="dxa"/>
            <w:vAlign w:val="center"/>
          </w:tcPr>
          <w:p w14:paraId="05F026CC">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5954DFFC">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1EE1F79E">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5D0CC78">
            <w:pPr>
              <w:spacing w:line="0" w:lineRule="atLeast"/>
              <w:ind w:firstLine="0" w:firstLineChars="0"/>
              <w:jc w:val="center"/>
              <w:rPr>
                <w:color w:val="000000" w:themeColor="text1"/>
                <w:sz w:val="21"/>
                <w:szCs w:val="21"/>
              </w:rPr>
            </w:pPr>
            <w:r>
              <w:rPr>
                <w:rFonts w:hint="eastAsia"/>
                <w:color w:val="000000" w:themeColor="text1"/>
                <w:sz w:val="21"/>
                <w:szCs w:val="21"/>
              </w:rPr>
              <w:t>0.017</w:t>
            </w:r>
          </w:p>
        </w:tc>
        <w:tc>
          <w:tcPr>
            <w:tcW w:w="1534" w:type="dxa"/>
            <w:vAlign w:val="center"/>
          </w:tcPr>
          <w:p w14:paraId="2CE7FCA0">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7DFC536A">
            <w:pPr>
              <w:spacing w:line="0" w:lineRule="atLeast"/>
              <w:ind w:firstLine="0" w:firstLineChars="0"/>
              <w:jc w:val="center"/>
              <w:rPr>
                <w:color w:val="000000" w:themeColor="text1"/>
                <w:sz w:val="21"/>
                <w:szCs w:val="21"/>
              </w:rPr>
            </w:pPr>
            <w:r>
              <w:rPr>
                <w:rFonts w:hint="eastAsia"/>
                <w:color w:val="000000" w:themeColor="text1"/>
                <w:sz w:val="21"/>
                <w:szCs w:val="21"/>
              </w:rPr>
              <w:t>0.017</w:t>
            </w:r>
          </w:p>
        </w:tc>
        <w:tc>
          <w:tcPr>
            <w:tcW w:w="1184" w:type="dxa"/>
            <w:shd w:val="clear" w:color="auto" w:fill="auto"/>
            <w:vAlign w:val="center"/>
          </w:tcPr>
          <w:p w14:paraId="02D3BA7F">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0.017</w:t>
            </w:r>
          </w:p>
        </w:tc>
      </w:tr>
      <w:tr w14:paraId="63AA2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34BB83C9">
            <w:pPr>
              <w:pStyle w:val="35"/>
              <w:rPr>
                <w:snapToGrid w:val="0"/>
                <w:color w:val="000000" w:themeColor="text1"/>
                <w:kern w:val="21"/>
              </w:rPr>
            </w:pPr>
          </w:p>
        </w:tc>
        <w:tc>
          <w:tcPr>
            <w:tcW w:w="1925" w:type="dxa"/>
            <w:shd w:val="clear" w:color="auto" w:fill="auto"/>
            <w:vAlign w:val="center"/>
          </w:tcPr>
          <w:p w14:paraId="5311E643">
            <w:pPr>
              <w:pStyle w:val="35"/>
              <w:rPr>
                <w:color w:val="000000" w:themeColor="text1"/>
                <w:kern w:val="2"/>
              </w:rPr>
            </w:pPr>
            <w:r>
              <w:rPr>
                <w:color w:val="000000" w:themeColor="text1"/>
              </w:rPr>
              <w:t>BOD</w:t>
            </w:r>
            <w:r>
              <w:rPr>
                <w:color w:val="000000" w:themeColor="text1"/>
                <w:vertAlign w:val="subscript"/>
              </w:rPr>
              <w:t>5</w:t>
            </w:r>
          </w:p>
        </w:tc>
        <w:tc>
          <w:tcPr>
            <w:tcW w:w="1680" w:type="dxa"/>
            <w:vAlign w:val="center"/>
          </w:tcPr>
          <w:p w14:paraId="76C4984B">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7A252A2F">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45AB028C">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0AE4A64B">
            <w:pPr>
              <w:spacing w:line="0" w:lineRule="atLeast"/>
              <w:ind w:firstLine="0" w:firstLineChars="0"/>
              <w:jc w:val="center"/>
              <w:rPr>
                <w:color w:val="000000" w:themeColor="text1"/>
                <w:sz w:val="21"/>
                <w:szCs w:val="21"/>
              </w:rPr>
            </w:pPr>
            <w:r>
              <w:rPr>
                <w:rFonts w:hint="eastAsia"/>
                <w:color w:val="000000" w:themeColor="text1"/>
                <w:sz w:val="21"/>
                <w:szCs w:val="21"/>
              </w:rPr>
              <w:t>0.0086</w:t>
            </w:r>
          </w:p>
        </w:tc>
        <w:tc>
          <w:tcPr>
            <w:tcW w:w="1534" w:type="dxa"/>
            <w:vAlign w:val="center"/>
          </w:tcPr>
          <w:p w14:paraId="40D08802">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6379E789">
            <w:pPr>
              <w:spacing w:line="0" w:lineRule="atLeast"/>
              <w:ind w:firstLine="0" w:firstLineChars="0"/>
              <w:jc w:val="center"/>
              <w:rPr>
                <w:color w:val="000000" w:themeColor="text1"/>
                <w:sz w:val="21"/>
                <w:szCs w:val="21"/>
              </w:rPr>
            </w:pPr>
            <w:r>
              <w:rPr>
                <w:rFonts w:hint="eastAsia"/>
                <w:color w:val="000000" w:themeColor="text1"/>
                <w:sz w:val="21"/>
                <w:szCs w:val="21"/>
              </w:rPr>
              <w:t>0.0086</w:t>
            </w:r>
          </w:p>
        </w:tc>
        <w:tc>
          <w:tcPr>
            <w:tcW w:w="1184" w:type="dxa"/>
            <w:shd w:val="clear" w:color="auto" w:fill="auto"/>
            <w:vAlign w:val="center"/>
          </w:tcPr>
          <w:p w14:paraId="068FE9A7">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0.0086</w:t>
            </w:r>
          </w:p>
        </w:tc>
      </w:tr>
      <w:tr w14:paraId="0DA1B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4E1C22A4">
            <w:pPr>
              <w:pStyle w:val="35"/>
              <w:rPr>
                <w:snapToGrid w:val="0"/>
                <w:color w:val="000000" w:themeColor="text1"/>
                <w:kern w:val="21"/>
              </w:rPr>
            </w:pPr>
          </w:p>
        </w:tc>
        <w:tc>
          <w:tcPr>
            <w:tcW w:w="1925" w:type="dxa"/>
            <w:shd w:val="clear" w:color="auto" w:fill="auto"/>
            <w:vAlign w:val="center"/>
          </w:tcPr>
          <w:p w14:paraId="7B39C13C">
            <w:pPr>
              <w:pStyle w:val="35"/>
              <w:rPr>
                <w:color w:val="000000" w:themeColor="text1"/>
                <w:kern w:val="2"/>
              </w:rPr>
            </w:pPr>
            <w:r>
              <w:rPr>
                <w:rFonts w:hint="eastAsia" w:eastAsiaTheme="minorEastAsia"/>
                <w:snapToGrid w:val="0"/>
                <w:color w:val="000000" w:themeColor="text1"/>
                <w:kern w:val="21"/>
              </w:rPr>
              <w:t>SS</w:t>
            </w:r>
          </w:p>
        </w:tc>
        <w:tc>
          <w:tcPr>
            <w:tcW w:w="1680" w:type="dxa"/>
            <w:vAlign w:val="center"/>
          </w:tcPr>
          <w:p w14:paraId="0C96AF20">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53C19988">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39B9691F">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7C63D24">
            <w:pPr>
              <w:spacing w:line="0" w:lineRule="atLeast"/>
              <w:ind w:firstLine="0" w:firstLineChars="0"/>
              <w:jc w:val="center"/>
              <w:rPr>
                <w:color w:val="000000" w:themeColor="text1"/>
                <w:sz w:val="21"/>
                <w:szCs w:val="21"/>
              </w:rPr>
            </w:pPr>
            <w:r>
              <w:rPr>
                <w:rFonts w:hint="eastAsia"/>
                <w:color w:val="000000" w:themeColor="text1"/>
                <w:sz w:val="21"/>
                <w:szCs w:val="21"/>
              </w:rPr>
              <w:t>0.0058</w:t>
            </w:r>
          </w:p>
        </w:tc>
        <w:tc>
          <w:tcPr>
            <w:tcW w:w="1534" w:type="dxa"/>
            <w:vAlign w:val="center"/>
          </w:tcPr>
          <w:p w14:paraId="7761ED06">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7D405625">
            <w:pPr>
              <w:spacing w:line="0" w:lineRule="atLeast"/>
              <w:ind w:firstLine="0" w:firstLineChars="0"/>
              <w:jc w:val="center"/>
              <w:rPr>
                <w:color w:val="000000" w:themeColor="text1"/>
                <w:sz w:val="21"/>
                <w:szCs w:val="21"/>
              </w:rPr>
            </w:pPr>
            <w:r>
              <w:rPr>
                <w:rFonts w:hint="eastAsia"/>
                <w:color w:val="000000" w:themeColor="text1"/>
                <w:sz w:val="21"/>
                <w:szCs w:val="21"/>
              </w:rPr>
              <w:t>0.0058</w:t>
            </w:r>
          </w:p>
        </w:tc>
        <w:tc>
          <w:tcPr>
            <w:tcW w:w="1184" w:type="dxa"/>
            <w:shd w:val="clear" w:color="auto" w:fill="auto"/>
            <w:vAlign w:val="center"/>
          </w:tcPr>
          <w:p w14:paraId="272B9B36">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0.0058</w:t>
            </w:r>
          </w:p>
        </w:tc>
      </w:tr>
      <w:tr w14:paraId="46041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76180239">
            <w:pPr>
              <w:pStyle w:val="35"/>
              <w:rPr>
                <w:snapToGrid w:val="0"/>
                <w:color w:val="000000" w:themeColor="text1"/>
                <w:kern w:val="21"/>
              </w:rPr>
            </w:pPr>
          </w:p>
        </w:tc>
        <w:tc>
          <w:tcPr>
            <w:tcW w:w="1925" w:type="dxa"/>
            <w:shd w:val="clear" w:color="auto" w:fill="auto"/>
            <w:vAlign w:val="center"/>
          </w:tcPr>
          <w:p w14:paraId="5C1181B7">
            <w:pPr>
              <w:pStyle w:val="35"/>
              <w:rPr>
                <w:color w:val="000000" w:themeColor="text1"/>
                <w:kern w:val="2"/>
              </w:rPr>
            </w:pPr>
            <w:r>
              <w:rPr>
                <w:rFonts w:eastAsiaTheme="minorEastAsia"/>
                <w:snapToGrid w:val="0"/>
                <w:color w:val="000000" w:themeColor="text1"/>
                <w:kern w:val="21"/>
              </w:rPr>
              <w:t>氨氮</w:t>
            </w:r>
          </w:p>
        </w:tc>
        <w:tc>
          <w:tcPr>
            <w:tcW w:w="1680" w:type="dxa"/>
            <w:vAlign w:val="center"/>
          </w:tcPr>
          <w:p w14:paraId="30835DA3">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26B84320">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4A77374B">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48D6B7FC">
            <w:pPr>
              <w:spacing w:line="0" w:lineRule="atLeast"/>
              <w:ind w:firstLine="0" w:firstLineChars="0"/>
              <w:jc w:val="center"/>
              <w:rPr>
                <w:color w:val="000000" w:themeColor="text1"/>
                <w:sz w:val="21"/>
                <w:szCs w:val="21"/>
              </w:rPr>
            </w:pPr>
            <w:r>
              <w:rPr>
                <w:rFonts w:hint="eastAsia"/>
                <w:color w:val="000000" w:themeColor="text1"/>
                <w:sz w:val="21"/>
                <w:szCs w:val="21"/>
              </w:rPr>
              <w:t>0.0012</w:t>
            </w:r>
          </w:p>
        </w:tc>
        <w:tc>
          <w:tcPr>
            <w:tcW w:w="1534" w:type="dxa"/>
            <w:vAlign w:val="center"/>
          </w:tcPr>
          <w:p w14:paraId="40700938">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7C99FA0E">
            <w:pPr>
              <w:spacing w:line="0" w:lineRule="atLeast"/>
              <w:ind w:firstLine="0" w:firstLineChars="0"/>
              <w:jc w:val="center"/>
              <w:rPr>
                <w:color w:val="000000" w:themeColor="text1"/>
                <w:sz w:val="21"/>
                <w:szCs w:val="21"/>
              </w:rPr>
            </w:pPr>
            <w:r>
              <w:rPr>
                <w:rFonts w:hint="eastAsia"/>
                <w:color w:val="000000" w:themeColor="text1"/>
                <w:sz w:val="21"/>
                <w:szCs w:val="21"/>
              </w:rPr>
              <w:t>0.0012</w:t>
            </w:r>
          </w:p>
        </w:tc>
        <w:tc>
          <w:tcPr>
            <w:tcW w:w="1184" w:type="dxa"/>
            <w:shd w:val="clear" w:color="auto" w:fill="auto"/>
            <w:vAlign w:val="center"/>
          </w:tcPr>
          <w:p w14:paraId="1541F843">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0.0012</w:t>
            </w:r>
          </w:p>
        </w:tc>
      </w:tr>
      <w:tr w14:paraId="7D628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40" w:type="dxa"/>
            <w:vMerge w:val="continue"/>
            <w:vAlign w:val="center"/>
          </w:tcPr>
          <w:p w14:paraId="3637B903">
            <w:pPr>
              <w:pStyle w:val="35"/>
              <w:rPr>
                <w:snapToGrid w:val="0"/>
                <w:color w:val="000000" w:themeColor="text1"/>
                <w:kern w:val="21"/>
              </w:rPr>
            </w:pPr>
          </w:p>
        </w:tc>
        <w:tc>
          <w:tcPr>
            <w:tcW w:w="1925" w:type="dxa"/>
            <w:shd w:val="clear" w:color="auto" w:fill="auto"/>
            <w:vAlign w:val="center"/>
          </w:tcPr>
          <w:p w14:paraId="6EF40FCD">
            <w:pPr>
              <w:pStyle w:val="35"/>
              <w:rPr>
                <w:color w:val="000000" w:themeColor="text1"/>
                <w:kern w:val="2"/>
              </w:rPr>
            </w:pPr>
            <w:r>
              <w:rPr>
                <w:rFonts w:hint="eastAsia" w:eastAsiaTheme="minorEastAsia"/>
                <w:snapToGrid w:val="0"/>
                <w:color w:val="000000" w:themeColor="text1"/>
                <w:kern w:val="21"/>
              </w:rPr>
              <w:t>总氮</w:t>
            </w:r>
          </w:p>
        </w:tc>
        <w:tc>
          <w:tcPr>
            <w:tcW w:w="1680" w:type="dxa"/>
            <w:vAlign w:val="center"/>
          </w:tcPr>
          <w:p w14:paraId="1E56C422">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47917DC6">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13C83CA3">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C33F26E">
            <w:pPr>
              <w:spacing w:line="0" w:lineRule="atLeast"/>
              <w:ind w:firstLine="0" w:firstLineChars="0"/>
              <w:jc w:val="center"/>
              <w:rPr>
                <w:color w:val="000000" w:themeColor="text1"/>
                <w:sz w:val="21"/>
                <w:szCs w:val="21"/>
              </w:rPr>
            </w:pPr>
            <w:r>
              <w:rPr>
                <w:rFonts w:hint="eastAsia"/>
                <w:color w:val="000000" w:themeColor="text1"/>
                <w:sz w:val="21"/>
                <w:szCs w:val="21"/>
              </w:rPr>
              <w:t>0.0017</w:t>
            </w:r>
          </w:p>
        </w:tc>
        <w:tc>
          <w:tcPr>
            <w:tcW w:w="1534" w:type="dxa"/>
            <w:vAlign w:val="center"/>
          </w:tcPr>
          <w:p w14:paraId="3BE88D71">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3A04B9DC">
            <w:pPr>
              <w:spacing w:line="0" w:lineRule="atLeast"/>
              <w:ind w:firstLine="0" w:firstLineChars="0"/>
              <w:jc w:val="center"/>
              <w:rPr>
                <w:color w:val="000000" w:themeColor="text1"/>
                <w:sz w:val="21"/>
                <w:szCs w:val="21"/>
              </w:rPr>
            </w:pPr>
            <w:r>
              <w:rPr>
                <w:rFonts w:hint="eastAsia"/>
                <w:color w:val="000000" w:themeColor="text1"/>
                <w:sz w:val="21"/>
                <w:szCs w:val="21"/>
              </w:rPr>
              <w:t>0.0017</w:t>
            </w:r>
          </w:p>
        </w:tc>
        <w:tc>
          <w:tcPr>
            <w:tcW w:w="1184" w:type="dxa"/>
            <w:shd w:val="clear" w:color="auto" w:fill="auto"/>
            <w:vAlign w:val="center"/>
          </w:tcPr>
          <w:p w14:paraId="75C9AE17">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0.0017</w:t>
            </w:r>
          </w:p>
        </w:tc>
      </w:tr>
      <w:tr w14:paraId="4E145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40" w:type="dxa"/>
            <w:vMerge w:val="continue"/>
            <w:vAlign w:val="center"/>
          </w:tcPr>
          <w:p w14:paraId="553A4773">
            <w:pPr>
              <w:pStyle w:val="35"/>
              <w:rPr>
                <w:snapToGrid w:val="0"/>
                <w:color w:val="000000" w:themeColor="text1"/>
                <w:kern w:val="21"/>
              </w:rPr>
            </w:pPr>
          </w:p>
        </w:tc>
        <w:tc>
          <w:tcPr>
            <w:tcW w:w="1925" w:type="dxa"/>
            <w:shd w:val="clear" w:color="auto" w:fill="auto"/>
            <w:vAlign w:val="center"/>
          </w:tcPr>
          <w:p w14:paraId="055D89DF">
            <w:pPr>
              <w:pStyle w:val="35"/>
              <w:rPr>
                <w:rFonts w:eastAsiaTheme="minorEastAsia"/>
                <w:snapToGrid w:val="0"/>
                <w:color w:val="000000" w:themeColor="text1"/>
                <w:kern w:val="21"/>
              </w:rPr>
            </w:pPr>
            <w:r>
              <w:rPr>
                <w:rFonts w:hint="eastAsia" w:eastAsiaTheme="minorEastAsia"/>
                <w:snapToGrid w:val="0"/>
                <w:color w:val="000000" w:themeColor="text1"/>
                <w:kern w:val="21"/>
              </w:rPr>
              <w:t>总磷</w:t>
            </w:r>
          </w:p>
        </w:tc>
        <w:tc>
          <w:tcPr>
            <w:tcW w:w="1680" w:type="dxa"/>
            <w:vAlign w:val="center"/>
          </w:tcPr>
          <w:p w14:paraId="0235397A">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61562CFD">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D9453EE">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1433BB1E">
            <w:pPr>
              <w:spacing w:line="0" w:lineRule="atLeast"/>
              <w:ind w:firstLine="0" w:firstLineChars="0"/>
              <w:jc w:val="center"/>
              <w:rPr>
                <w:color w:val="000000" w:themeColor="text1"/>
                <w:sz w:val="21"/>
                <w:szCs w:val="21"/>
              </w:rPr>
            </w:pPr>
            <w:r>
              <w:rPr>
                <w:rFonts w:hint="eastAsia"/>
                <w:color w:val="000000" w:themeColor="text1"/>
                <w:sz w:val="21"/>
                <w:szCs w:val="21"/>
              </w:rPr>
              <w:t>0.00017</w:t>
            </w:r>
          </w:p>
        </w:tc>
        <w:tc>
          <w:tcPr>
            <w:tcW w:w="1534" w:type="dxa"/>
            <w:vAlign w:val="center"/>
          </w:tcPr>
          <w:p w14:paraId="71081472">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706FBDE3">
            <w:pPr>
              <w:spacing w:line="0" w:lineRule="atLeast"/>
              <w:ind w:firstLine="0" w:firstLineChars="0"/>
              <w:jc w:val="center"/>
              <w:rPr>
                <w:color w:val="000000" w:themeColor="text1"/>
                <w:sz w:val="21"/>
                <w:szCs w:val="21"/>
              </w:rPr>
            </w:pPr>
            <w:r>
              <w:rPr>
                <w:rFonts w:hint="eastAsia"/>
                <w:color w:val="000000" w:themeColor="text1"/>
                <w:sz w:val="21"/>
                <w:szCs w:val="21"/>
              </w:rPr>
              <w:t>0.00017</w:t>
            </w:r>
          </w:p>
        </w:tc>
        <w:tc>
          <w:tcPr>
            <w:tcW w:w="1184" w:type="dxa"/>
            <w:shd w:val="clear" w:color="auto" w:fill="auto"/>
            <w:vAlign w:val="center"/>
          </w:tcPr>
          <w:p w14:paraId="0D13F93E">
            <w:pPr>
              <w:spacing w:line="0" w:lineRule="atLeast"/>
              <w:ind w:firstLine="0" w:firstLineChars="0"/>
              <w:jc w:val="center"/>
              <w:rPr>
                <w:color w:val="000000" w:themeColor="text1"/>
                <w:sz w:val="21"/>
                <w:szCs w:val="21"/>
              </w:rPr>
            </w:pPr>
            <w:r>
              <w:rPr>
                <w:rFonts w:hint="eastAsia"/>
                <w:snapToGrid w:val="0"/>
                <w:color w:val="000000" w:themeColor="text1"/>
                <w:kern w:val="0"/>
                <w:sz w:val="21"/>
                <w:szCs w:val="21"/>
              </w:rPr>
              <w:t>+</w:t>
            </w:r>
            <w:r>
              <w:rPr>
                <w:rFonts w:hint="eastAsia"/>
                <w:color w:val="000000" w:themeColor="text1"/>
                <w:sz w:val="21"/>
                <w:szCs w:val="21"/>
              </w:rPr>
              <w:t>0.00017</w:t>
            </w:r>
          </w:p>
        </w:tc>
      </w:tr>
      <w:tr w14:paraId="53BDE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restart"/>
            <w:vAlign w:val="center"/>
          </w:tcPr>
          <w:p w14:paraId="0A2C0B0C">
            <w:pPr>
              <w:pStyle w:val="35"/>
              <w:rPr>
                <w:snapToGrid w:val="0"/>
                <w:color w:val="000000" w:themeColor="text1"/>
                <w:kern w:val="21"/>
              </w:rPr>
            </w:pPr>
            <w:r>
              <w:rPr>
                <w:snapToGrid w:val="0"/>
                <w:color w:val="000000" w:themeColor="text1"/>
                <w:kern w:val="21"/>
              </w:rPr>
              <w:t>一般工业</w:t>
            </w:r>
          </w:p>
          <w:p w14:paraId="16038584">
            <w:pPr>
              <w:pStyle w:val="35"/>
              <w:rPr>
                <w:snapToGrid w:val="0"/>
                <w:color w:val="000000" w:themeColor="text1"/>
                <w:kern w:val="21"/>
              </w:rPr>
            </w:pPr>
            <w:r>
              <w:rPr>
                <w:snapToGrid w:val="0"/>
                <w:color w:val="000000" w:themeColor="text1"/>
                <w:kern w:val="21"/>
              </w:rPr>
              <w:t>固体废物</w:t>
            </w:r>
          </w:p>
        </w:tc>
        <w:tc>
          <w:tcPr>
            <w:tcW w:w="1925" w:type="dxa"/>
            <w:shd w:val="clear" w:color="auto" w:fill="auto"/>
            <w:vAlign w:val="center"/>
          </w:tcPr>
          <w:p w14:paraId="7EFE4DE6">
            <w:pPr>
              <w:pStyle w:val="66"/>
              <w:spacing w:line="240" w:lineRule="auto"/>
              <w:ind w:left="0" w:right="0" w:firstLine="0" w:firstLineChars="0"/>
              <w:rPr>
                <w:color w:val="000000" w:themeColor="text1"/>
                <w:sz w:val="21"/>
              </w:rPr>
            </w:pPr>
            <w:r>
              <w:rPr>
                <w:rFonts w:hint="eastAsia"/>
                <w:color w:val="000000" w:themeColor="text1"/>
                <w:sz w:val="21"/>
              </w:rPr>
              <w:t>大块木废边角料</w:t>
            </w:r>
          </w:p>
        </w:tc>
        <w:tc>
          <w:tcPr>
            <w:tcW w:w="1680" w:type="dxa"/>
            <w:shd w:val="clear" w:color="auto" w:fill="auto"/>
            <w:vAlign w:val="center"/>
          </w:tcPr>
          <w:p w14:paraId="0A5A91DF">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6DDB25FF">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2AB5CDE2">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1E084225">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c>
          <w:tcPr>
            <w:tcW w:w="1534" w:type="dxa"/>
            <w:shd w:val="clear" w:color="auto" w:fill="auto"/>
            <w:vAlign w:val="center"/>
          </w:tcPr>
          <w:p w14:paraId="2AF4525B">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2DC4A374">
            <w:pPr>
              <w:wordWrap w:val="0"/>
              <w:spacing w:line="240" w:lineRule="auto"/>
              <w:ind w:firstLine="0" w:firstLineChars="0"/>
              <w:jc w:val="center"/>
              <w:rPr>
                <w:color w:val="000000" w:themeColor="text1"/>
                <w:sz w:val="21"/>
                <w:szCs w:val="21"/>
              </w:rPr>
            </w:pPr>
            <w:r>
              <w:rPr>
                <w:color w:val="000000" w:themeColor="text1"/>
                <w:sz w:val="21"/>
                <w:szCs w:val="21"/>
              </w:rPr>
              <w:t>1.00</w:t>
            </w:r>
            <w:r>
              <w:rPr>
                <w:rFonts w:hint="eastAsia"/>
                <w:color w:val="000000" w:themeColor="text1"/>
                <w:sz w:val="21"/>
                <w:szCs w:val="21"/>
              </w:rPr>
              <w:t>5</w:t>
            </w:r>
          </w:p>
        </w:tc>
        <w:tc>
          <w:tcPr>
            <w:tcW w:w="1184" w:type="dxa"/>
            <w:shd w:val="clear" w:color="auto" w:fill="auto"/>
            <w:vAlign w:val="center"/>
          </w:tcPr>
          <w:p w14:paraId="0E2A01BF">
            <w:pPr>
              <w:wordWrap w:val="0"/>
              <w:spacing w:line="240" w:lineRule="auto"/>
              <w:ind w:firstLine="0" w:firstLineChars="0"/>
              <w:jc w:val="center"/>
              <w:rPr>
                <w:color w:val="000000" w:themeColor="text1"/>
                <w:sz w:val="21"/>
                <w:szCs w:val="21"/>
              </w:rPr>
            </w:pPr>
            <w:r>
              <w:rPr>
                <w:rFonts w:hint="eastAsia"/>
                <w:color w:val="000000" w:themeColor="text1"/>
                <w:sz w:val="21"/>
                <w:szCs w:val="21"/>
              </w:rPr>
              <w:t>+</w:t>
            </w:r>
            <w:r>
              <w:rPr>
                <w:color w:val="000000" w:themeColor="text1"/>
                <w:sz w:val="21"/>
                <w:szCs w:val="21"/>
              </w:rPr>
              <w:t>1.00</w:t>
            </w:r>
            <w:r>
              <w:rPr>
                <w:rFonts w:hint="eastAsia"/>
                <w:color w:val="000000" w:themeColor="text1"/>
                <w:sz w:val="21"/>
                <w:szCs w:val="21"/>
              </w:rPr>
              <w:t>5</w:t>
            </w:r>
          </w:p>
        </w:tc>
      </w:tr>
      <w:tr w14:paraId="1545E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4FB8F6CD">
            <w:pPr>
              <w:pStyle w:val="35"/>
              <w:rPr>
                <w:snapToGrid w:val="0"/>
                <w:color w:val="000000" w:themeColor="text1"/>
                <w:kern w:val="21"/>
              </w:rPr>
            </w:pPr>
          </w:p>
        </w:tc>
        <w:tc>
          <w:tcPr>
            <w:tcW w:w="1925" w:type="dxa"/>
            <w:shd w:val="clear" w:color="auto" w:fill="auto"/>
            <w:vAlign w:val="center"/>
          </w:tcPr>
          <w:p w14:paraId="52FB051B">
            <w:pPr>
              <w:pStyle w:val="66"/>
              <w:spacing w:line="240" w:lineRule="auto"/>
              <w:ind w:left="0" w:right="0" w:firstLine="0" w:firstLineChars="0"/>
              <w:rPr>
                <w:color w:val="000000" w:themeColor="text1"/>
                <w:sz w:val="21"/>
              </w:rPr>
            </w:pPr>
            <w:r>
              <w:rPr>
                <w:rFonts w:hint="eastAsia"/>
                <w:color w:val="000000" w:themeColor="text1"/>
                <w:sz w:val="21"/>
              </w:rPr>
              <w:t>热风炉灰渣</w:t>
            </w:r>
          </w:p>
        </w:tc>
        <w:tc>
          <w:tcPr>
            <w:tcW w:w="1680" w:type="dxa"/>
            <w:shd w:val="clear" w:color="auto" w:fill="auto"/>
            <w:vAlign w:val="center"/>
          </w:tcPr>
          <w:p w14:paraId="30ABC858">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62D04F54">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1A2FA6E5">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28246871">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c>
          <w:tcPr>
            <w:tcW w:w="1534" w:type="dxa"/>
            <w:shd w:val="clear" w:color="auto" w:fill="auto"/>
            <w:vAlign w:val="center"/>
          </w:tcPr>
          <w:p w14:paraId="75F6D2B4">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54BADE77">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c>
          <w:tcPr>
            <w:tcW w:w="1184" w:type="dxa"/>
            <w:shd w:val="clear" w:color="auto" w:fill="auto"/>
            <w:vAlign w:val="center"/>
          </w:tcPr>
          <w:p w14:paraId="28B52004">
            <w:pPr>
              <w:wordWrap w:val="0"/>
              <w:spacing w:line="240" w:lineRule="auto"/>
              <w:ind w:firstLine="0" w:firstLineChars="0"/>
              <w:jc w:val="center"/>
              <w:rPr>
                <w:color w:val="000000" w:themeColor="text1"/>
                <w:sz w:val="21"/>
                <w:szCs w:val="21"/>
              </w:rPr>
            </w:pPr>
            <w:r>
              <w:rPr>
                <w:rFonts w:hint="eastAsia"/>
                <w:color w:val="000000" w:themeColor="text1"/>
                <w:sz w:val="21"/>
                <w:szCs w:val="21"/>
              </w:rPr>
              <w:t>+4.920</w:t>
            </w:r>
          </w:p>
        </w:tc>
      </w:tr>
      <w:tr w14:paraId="10CF3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7C92416D">
            <w:pPr>
              <w:pStyle w:val="35"/>
              <w:rPr>
                <w:snapToGrid w:val="0"/>
                <w:color w:val="000000" w:themeColor="text1"/>
                <w:kern w:val="21"/>
              </w:rPr>
            </w:pPr>
          </w:p>
        </w:tc>
        <w:tc>
          <w:tcPr>
            <w:tcW w:w="1925" w:type="dxa"/>
            <w:shd w:val="clear" w:color="auto" w:fill="auto"/>
            <w:vAlign w:val="center"/>
          </w:tcPr>
          <w:p w14:paraId="25E78D8F">
            <w:pPr>
              <w:pStyle w:val="66"/>
              <w:spacing w:line="240" w:lineRule="auto"/>
              <w:ind w:left="0" w:right="0" w:firstLine="0" w:firstLineChars="0"/>
              <w:rPr>
                <w:color w:val="000000" w:themeColor="text1"/>
                <w:sz w:val="21"/>
              </w:rPr>
            </w:pPr>
            <w:r>
              <w:rPr>
                <w:rFonts w:hint="eastAsia"/>
                <w:color w:val="000000" w:themeColor="text1"/>
                <w:sz w:val="21"/>
              </w:rPr>
              <w:t>石子等硬质杂质</w:t>
            </w:r>
          </w:p>
        </w:tc>
        <w:tc>
          <w:tcPr>
            <w:tcW w:w="1680" w:type="dxa"/>
            <w:shd w:val="clear" w:color="auto" w:fill="auto"/>
            <w:vAlign w:val="center"/>
          </w:tcPr>
          <w:p w14:paraId="0258C89E">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1DA37BFB">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7E0E72F8">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0077883">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c>
          <w:tcPr>
            <w:tcW w:w="1534" w:type="dxa"/>
            <w:shd w:val="clear" w:color="auto" w:fill="auto"/>
            <w:vAlign w:val="center"/>
          </w:tcPr>
          <w:p w14:paraId="1BF3755F">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51C8849D">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c>
          <w:tcPr>
            <w:tcW w:w="1184" w:type="dxa"/>
            <w:shd w:val="clear" w:color="auto" w:fill="auto"/>
            <w:vAlign w:val="center"/>
          </w:tcPr>
          <w:p w14:paraId="62FE999D">
            <w:pPr>
              <w:wordWrap w:val="0"/>
              <w:spacing w:line="240" w:lineRule="auto"/>
              <w:ind w:firstLine="0" w:firstLineChars="0"/>
              <w:jc w:val="center"/>
              <w:rPr>
                <w:color w:val="000000" w:themeColor="text1"/>
                <w:sz w:val="21"/>
                <w:szCs w:val="21"/>
              </w:rPr>
            </w:pPr>
            <w:r>
              <w:rPr>
                <w:rFonts w:hint="eastAsia"/>
                <w:color w:val="000000" w:themeColor="text1"/>
                <w:sz w:val="21"/>
                <w:szCs w:val="21"/>
              </w:rPr>
              <w:t>+2.788</w:t>
            </w:r>
          </w:p>
        </w:tc>
      </w:tr>
      <w:tr w14:paraId="22BCF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0B6D1264">
            <w:pPr>
              <w:pStyle w:val="35"/>
              <w:rPr>
                <w:snapToGrid w:val="0"/>
                <w:color w:val="000000" w:themeColor="text1"/>
                <w:kern w:val="21"/>
              </w:rPr>
            </w:pPr>
          </w:p>
        </w:tc>
        <w:tc>
          <w:tcPr>
            <w:tcW w:w="1925" w:type="dxa"/>
            <w:shd w:val="clear" w:color="auto" w:fill="auto"/>
            <w:vAlign w:val="center"/>
          </w:tcPr>
          <w:p w14:paraId="658F86B1">
            <w:pPr>
              <w:pStyle w:val="66"/>
              <w:spacing w:line="240" w:lineRule="auto"/>
              <w:ind w:left="0" w:right="0" w:firstLine="0" w:firstLineChars="0"/>
              <w:rPr>
                <w:color w:val="000000" w:themeColor="text1"/>
                <w:sz w:val="21"/>
              </w:rPr>
            </w:pPr>
            <w:r>
              <w:rPr>
                <w:rFonts w:hint="eastAsia"/>
                <w:color w:val="000000" w:themeColor="text1"/>
                <w:sz w:val="21"/>
              </w:rPr>
              <w:t>不合格品</w:t>
            </w:r>
          </w:p>
        </w:tc>
        <w:tc>
          <w:tcPr>
            <w:tcW w:w="1680" w:type="dxa"/>
            <w:shd w:val="clear" w:color="auto" w:fill="auto"/>
            <w:vAlign w:val="center"/>
          </w:tcPr>
          <w:p w14:paraId="391A119A">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47449BB8">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77C7204D">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3271E5D8">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534" w:type="dxa"/>
            <w:shd w:val="clear" w:color="auto" w:fill="auto"/>
            <w:vAlign w:val="center"/>
          </w:tcPr>
          <w:p w14:paraId="416F621B">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61A2C8EB">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c>
          <w:tcPr>
            <w:tcW w:w="1184" w:type="dxa"/>
            <w:shd w:val="clear" w:color="auto" w:fill="auto"/>
            <w:vAlign w:val="center"/>
          </w:tcPr>
          <w:p w14:paraId="1A4903DA">
            <w:pPr>
              <w:wordWrap w:val="0"/>
              <w:spacing w:line="240" w:lineRule="auto"/>
              <w:ind w:firstLine="0" w:firstLineChars="0"/>
              <w:jc w:val="center"/>
              <w:rPr>
                <w:color w:val="000000" w:themeColor="text1"/>
                <w:sz w:val="21"/>
                <w:szCs w:val="21"/>
              </w:rPr>
            </w:pPr>
            <w:r>
              <w:rPr>
                <w:rFonts w:hint="eastAsia"/>
                <w:color w:val="000000" w:themeColor="text1"/>
                <w:sz w:val="21"/>
                <w:szCs w:val="21"/>
              </w:rPr>
              <w:t>+10</w:t>
            </w:r>
          </w:p>
        </w:tc>
      </w:tr>
      <w:tr w14:paraId="1FEF0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continue"/>
            <w:vAlign w:val="center"/>
          </w:tcPr>
          <w:p w14:paraId="4D0649D6">
            <w:pPr>
              <w:pStyle w:val="35"/>
              <w:rPr>
                <w:snapToGrid w:val="0"/>
                <w:color w:val="000000" w:themeColor="text1"/>
                <w:kern w:val="21"/>
              </w:rPr>
            </w:pPr>
          </w:p>
        </w:tc>
        <w:tc>
          <w:tcPr>
            <w:tcW w:w="1925" w:type="dxa"/>
            <w:shd w:val="clear" w:color="auto" w:fill="auto"/>
            <w:vAlign w:val="center"/>
          </w:tcPr>
          <w:p w14:paraId="4AF3ECA9">
            <w:pPr>
              <w:spacing w:line="240" w:lineRule="auto"/>
              <w:ind w:firstLine="0" w:firstLineChars="0"/>
              <w:jc w:val="center"/>
              <w:rPr>
                <w:color w:val="000000" w:themeColor="text1"/>
                <w:sz w:val="21"/>
                <w:szCs w:val="21"/>
              </w:rPr>
            </w:pPr>
            <w:r>
              <w:rPr>
                <w:rFonts w:hint="eastAsia"/>
                <w:color w:val="000000" w:themeColor="text1"/>
                <w:sz w:val="21"/>
                <w:szCs w:val="21"/>
              </w:rPr>
              <w:t>废包装袋</w:t>
            </w:r>
          </w:p>
        </w:tc>
        <w:tc>
          <w:tcPr>
            <w:tcW w:w="1680" w:type="dxa"/>
            <w:shd w:val="clear" w:color="auto" w:fill="auto"/>
            <w:vAlign w:val="center"/>
          </w:tcPr>
          <w:p w14:paraId="776945EA">
            <w:pPr>
              <w:pStyle w:val="35"/>
              <w:ind w:left="0" w:leftChars="0" w:right="0" w:rightChars="0"/>
              <w:rPr>
                <w:color w:val="000000" w:themeColor="text1"/>
                <w:kern w:val="2"/>
              </w:rPr>
            </w:pPr>
            <w:r>
              <w:rPr>
                <w:snapToGrid w:val="0"/>
                <w:color w:val="000000" w:themeColor="text1"/>
                <w:kern w:val="21"/>
              </w:rPr>
              <w:t>－</w:t>
            </w:r>
          </w:p>
        </w:tc>
        <w:tc>
          <w:tcPr>
            <w:tcW w:w="1231" w:type="dxa"/>
            <w:shd w:val="clear" w:color="auto" w:fill="auto"/>
            <w:vAlign w:val="center"/>
          </w:tcPr>
          <w:p w14:paraId="373B04F7">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787F48F6">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2B3FD14D">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c>
          <w:tcPr>
            <w:tcW w:w="1534" w:type="dxa"/>
            <w:shd w:val="clear" w:color="auto" w:fill="auto"/>
            <w:vAlign w:val="center"/>
          </w:tcPr>
          <w:p w14:paraId="7F0028F3">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0EB16B6A">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c>
          <w:tcPr>
            <w:tcW w:w="1184" w:type="dxa"/>
            <w:shd w:val="clear" w:color="auto" w:fill="auto"/>
            <w:vAlign w:val="center"/>
          </w:tcPr>
          <w:p w14:paraId="2C38D722">
            <w:pPr>
              <w:wordWrap w:val="0"/>
              <w:spacing w:line="240" w:lineRule="auto"/>
              <w:ind w:firstLine="0" w:firstLineChars="0"/>
              <w:jc w:val="center"/>
              <w:rPr>
                <w:color w:val="000000" w:themeColor="text1"/>
                <w:sz w:val="21"/>
                <w:szCs w:val="21"/>
              </w:rPr>
            </w:pPr>
            <w:r>
              <w:rPr>
                <w:rFonts w:hint="eastAsia"/>
                <w:color w:val="000000" w:themeColor="text1"/>
                <w:sz w:val="21"/>
                <w:szCs w:val="21"/>
              </w:rPr>
              <w:t>+0.080</w:t>
            </w:r>
          </w:p>
        </w:tc>
      </w:tr>
      <w:tr w14:paraId="2012E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0" w:type="dxa"/>
            <w:vMerge w:val="continue"/>
            <w:vAlign w:val="center"/>
          </w:tcPr>
          <w:p w14:paraId="0398D222">
            <w:pPr>
              <w:pStyle w:val="35"/>
              <w:rPr>
                <w:snapToGrid w:val="0"/>
                <w:color w:val="000000" w:themeColor="text1"/>
                <w:kern w:val="21"/>
              </w:rPr>
            </w:pPr>
          </w:p>
        </w:tc>
        <w:tc>
          <w:tcPr>
            <w:tcW w:w="1925" w:type="dxa"/>
            <w:shd w:val="clear" w:color="auto" w:fill="auto"/>
            <w:vAlign w:val="center"/>
          </w:tcPr>
          <w:p w14:paraId="1425471B">
            <w:pPr>
              <w:spacing w:line="240" w:lineRule="auto"/>
              <w:ind w:firstLine="0" w:firstLineChars="0"/>
              <w:jc w:val="center"/>
              <w:rPr>
                <w:color w:val="000000" w:themeColor="text1"/>
                <w:sz w:val="21"/>
                <w:szCs w:val="21"/>
              </w:rPr>
            </w:pPr>
            <w:r>
              <w:rPr>
                <w:rFonts w:hint="eastAsia"/>
                <w:color w:val="000000" w:themeColor="text1"/>
                <w:sz w:val="21"/>
                <w:szCs w:val="21"/>
              </w:rPr>
              <w:t>除尘灰</w:t>
            </w:r>
          </w:p>
        </w:tc>
        <w:tc>
          <w:tcPr>
            <w:tcW w:w="1680" w:type="dxa"/>
            <w:vAlign w:val="center"/>
          </w:tcPr>
          <w:p w14:paraId="7BA11C9F">
            <w:pPr>
              <w:pStyle w:val="35"/>
              <w:ind w:left="0" w:leftChars="0" w:right="0" w:rightChars="0"/>
              <w:rPr>
                <w:color w:val="000000" w:themeColor="text1"/>
                <w:kern w:val="2"/>
              </w:rPr>
            </w:pPr>
            <w:r>
              <w:rPr>
                <w:snapToGrid w:val="0"/>
                <w:color w:val="000000" w:themeColor="text1"/>
                <w:kern w:val="21"/>
              </w:rPr>
              <w:t>－</w:t>
            </w:r>
          </w:p>
        </w:tc>
        <w:tc>
          <w:tcPr>
            <w:tcW w:w="1231" w:type="dxa"/>
            <w:vAlign w:val="center"/>
          </w:tcPr>
          <w:p w14:paraId="6A50B76C">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44969748">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2845258C">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c>
          <w:tcPr>
            <w:tcW w:w="1534" w:type="dxa"/>
            <w:shd w:val="clear" w:color="auto" w:fill="auto"/>
            <w:vAlign w:val="center"/>
          </w:tcPr>
          <w:p w14:paraId="343A384C">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295A481A">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c>
          <w:tcPr>
            <w:tcW w:w="1184" w:type="dxa"/>
            <w:shd w:val="clear" w:color="auto" w:fill="auto"/>
            <w:vAlign w:val="center"/>
          </w:tcPr>
          <w:p w14:paraId="0318A7C3">
            <w:pPr>
              <w:wordWrap w:val="0"/>
              <w:spacing w:line="240" w:lineRule="auto"/>
              <w:ind w:firstLine="0" w:firstLineChars="0"/>
              <w:jc w:val="center"/>
              <w:rPr>
                <w:color w:val="000000" w:themeColor="text1"/>
                <w:sz w:val="21"/>
                <w:szCs w:val="21"/>
              </w:rPr>
            </w:pPr>
            <w:r>
              <w:rPr>
                <w:rFonts w:hint="eastAsia"/>
                <w:color w:val="000000" w:themeColor="text1"/>
                <w:sz w:val="21"/>
                <w:szCs w:val="21"/>
              </w:rPr>
              <w:t>+72.349</w:t>
            </w:r>
          </w:p>
        </w:tc>
      </w:tr>
      <w:tr w14:paraId="53E28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40" w:type="dxa"/>
            <w:vMerge w:val="continue"/>
            <w:vAlign w:val="center"/>
          </w:tcPr>
          <w:p w14:paraId="12D8D83A">
            <w:pPr>
              <w:pStyle w:val="35"/>
              <w:rPr>
                <w:snapToGrid w:val="0"/>
                <w:color w:val="000000" w:themeColor="text1"/>
                <w:kern w:val="21"/>
              </w:rPr>
            </w:pPr>
          </w:p>
        </w:tc>
        <w:tc>
          <w:tcPr>
            <w:tcW w:w="1925" w:type="dxa"/>
            <w:shd w:val="clear" w:color="auto" w:fill="auto"/>
            <w:vAlign w:val="center"/>
          </w:tcPr>
          <w:p w14:paraId="4F41EFF3">
            <w:pPr>
              <w:spacing w:line="240" w:lineRule="auto"/>
              <w:ind w:firstLine="0" w:firstLineChars="0"/>
              <w:jc w:val="center"/>
              <w:rPr>
                <w:color w:val="000000" w:themeColor="text1"/>
                <w:sz w:val="21"/>
                <w:szCs w:val="21"/>
              </w:rPr>
            </w:pPr>
            <w:r>
              <w:rPr>
                <w:rFonts w:hint="eastAsia"/>
                <w:color w:val="000000" w:themeColor="text1"/>
                <w:sz w:val="21"/>
                <w:szCs w:val="21"/>
              </w:rPr>
              <w:t>废布袋</w:t>
            </w:r>
          </w:p>
        </w:tc>
        <w:tc>
          <w:tcPr>
            <w:tcW w:w="1680" w:type="dxa"/>
            <w:vAlign w:val="center"/>
          </w:tcPr>
          <w:p w14:paraId="4AEC2AAD">
            <w:pPr>
              <w:pStyle w:val="35"/>
              <w:ind w:left="0" w:leftChars="0" w:right="0" w:rightChars="0"/>
              <w:rPr>
                <w:color w:val="000000" w:themeColor="text1"/>
                <w:kern w:val="2"/>
              </w:rPr>
            </w:pPr>
            <w:r>
              <w:rPr>
                <w:snapToGrid w:val="0"/>
                <w:color w:val="000000" w:themeColor="text1"/>
                <w:kern w:val="21"/>
              </w:rPr>
              <w:t>－</w:t>
            </w:r>
          </w:p>
        </w:tc>
        <w:tc>
          <w:tcPr>
            <w:tcW w:w="1231" w:type="dxa"/>
            <w:vAlign w:val="center"/>
          </w:tcPr>
          <w:p w14:paraId="423BE900">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5761F57C">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7BD2A9B1">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534" w:type="dxa"/>
            <w:shd w:val="clear" w:color="auto" w:fill="auto"/>
            <w:vAlign w:val="center"/>
          </w:tcPr>
          <w:p w14:paraId="1B049650">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6AA22D8C">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c>
          <w:tcPr>
            <w:tcW w:w="1184" w:type="dxa"/>
            <w:shd w:val="clear" w:color="auto" w:fill="auto"/>
            <w:vAlign w:val="center"/>
          </w:tcPr>
          <w:p w14:paraId="47876437">
            <w:pPr>
              <w:wordWrap w:val="0"/>
              <w:spacing w:line="240" w:lineRule="auto"/>
              <w:ind w:firstLine="0" w:firstLineChars="0"/>
              <w:jc w:val="center"/>
              <w:rPr>
                <w:color w:val="000000" w:themeColor="text1"/>
                <w:sz w:val="21"/>
                <w:szCs w:val="21"/>
              </w:rPr>
            </w:pPr>
            <w:r>
              <w:rPr>
                <w:rFonts w:hint="eastAsia"/>
                <w:color w:val="000000" w:themeColor="text1"/>
                <w:sz w:val="21"/>
                <w:szCs w:val="21"/>
              </w:rPr>
              <w:t>+2</w:t>
            </w:r>
          </w:p>
        </w:tc>
      </w:tr>
      <w:tr w14:paraId="6E443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40" w:type="dxa"/>
            <w:vMerge w:val="continue"/>
            <w:vAlign w:val="center"/>
          </w:tcPr>
          <w:p w14:paraId="7157F9E6">
            <w:pPr>
              <w:pStyle w:val="35"/>
              <w:rPr>
                <w:snapToGrid w:val="0"/>
                <w:color w:val="000000" w:themeColor="text1"/>
                <w:kern w:val="21"/>
              </w:rPr>
            </w:pPr>
          </w:p>
        </w:tc>
        <w:tc>
          <w:tcPr>
            <w:tcW w:w="1925" w:type="dxa"/>
            <w:shd w:val="clear" w:color="auto" w:fill="auto"/>
            <w:vAlign w:val="center"/>
          </w:tcPr>
          <w:p w14:paraId="30153287">
            <w:pPr>
              <w:spacing w:line="240" w:lineRule="auto"/>
              <w:ind w:firstLine="0" w:firstLineChars="0"/>
              <w:jc w:val="center"/>
              <w:rPr>
                <w:color w:val="000000" w:themeColor="text1"/>
                <w:sz w:val="21"/>
                <w:szCs w:val="21"/>
              </w:rPr>
            </w:pPr>
            <w:r>
              <w:rPr>
                <w:rFonts w:hint="eastAsia"/>
                <w:color w:val="000000" w:themeColor="text1"/>
                <w:sz w:val="21"/>
                <w:szCs w:val="21"/>
              </w:rPr>
              <w:t>厂房截留颗粒物（沉降粉尘）</w:t>
            </w:r>
          </w:p>
        </w:tc>
        <w:tc>
          <w:tcPr>
            <w:tcW w:w="1680" w:type="dxa"/>
            <w:vAlign w:val="center"/>
          </w:tcPr>
          <w:p w14:paraId="432A792E">
            <w:pPr>
              <w:pStyle w:val="35"/>
              <w:ind w:left="0" w:leftChars="0" w:right="0" w:rightChars="0"/>
              <w:rPr>
                <w:color w:val="000000" w:themeColor="text1"/>
                <w:kern w:val="2"/>
              </w:rPr>
            </w:pPr>
            <w:r>
              <w:rPr>
                <w:snapToGrid w:val="0"/>
                <w:color w:val="000000" w:themeColor="text1"/>
                <w:kern w:val="21"/>
              </w:rPr>
              <w:t>－</w:t>
            </w:r>
          </w:p>
        </w:tc>
        <w:tc>
          <w:tcPr>
            <w:tcW w:w="1231" w:type="dxa"/>
            <w:vAlign w:val="center"/>
          </w:tcPr>
          <w:p w14:paraId="239724E5">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15E1D36F">
            <w:pPr>
              <w:pStyle w:val="35"/>
              <w:ind w:left="0" w:leftChars="0" w:right="0" w:rightChars="0"/>
              <w:rPr>
                <w:snapToGrid w:val="0"/>
                <w:color w:val="000000" w:themeColor="text1"/>
                <w:kern w:val="21"/>
              </w:rPr>
            </w:pPr>
            <w:r>
              <w:rPr>
                <w:snapToGrid w:val="0"/>
                <w:color w:val="000000" w:themeColor="text1"/>
                <w:kern w:val="21"/>
              </w:rPr>
              <w:t>－</w:t>
            </w:r>
          </w:p>
        </w:tc>
        <w:tc>
          <w:tcPr>
            <w:tcW w:w="1500" w:type="dxa"/>
            <w:shd w:val="clear" w:color="auto" w:fill="auto"/>
            <w:vAlign w:val="center"/>
          </w:tcPr>
          <w:p w14:paraId="206CB168">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c>
          <w:tcPr>
            <w:tcW w:w="1534" w:type="dxa"/>
            <w:shd w:val="clear" w:color="auto" w:fill="auto"/>
            <w:vAlign w:val="center"/>
          </w:tcPr>
          <w:p w14:paraId="1B219F94">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7618E8BF">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c>
          <w:tcPr>
            <w:tcW w:w="1184" w:type="dxa"/>
            <w:shd w:val="clear" w:color="auto" w:fill="auto"/>
            <w:vAlign w:val="center"/>
          </w:tcPr>
          <w:p w14:paraId="2FC99ABA">
            <w:pPr>
              <w:wordWrap w:val="0"/>
              <w:spacing w:line="240" w:lineRule="auto"/>
              <w:ind w:firstLine="0" w:firstLineChars="0"/>
              <w:jc w:val="center"/>
              <w:rPr>
                <w:color w:val="000000" w:themeColor="text1"/>
                <w:sz w:val="21"/>
                <w:szCs w:val="21"/>
              </w:rPr>
            </w:pPr>
            <w:r>
              <w:rPr>
                <w:rFonts w:hint="eastAsia"/>
                <w:color w:val="000000" w:themeColor="text1"/>
                <w:sz w:val="21"/>
                <w:szCs w:val="21"/>
              </w:rPr>
              <w:t>+0.763</w:t>
            </w:r>
          </w:p>
        </w:tc>
      </w:tr>
      <w:tr w14:paraId="4B31D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40" w:type="dxa"/>
            <w:vAlign w:val="center"/>
          </w:tcPr>
          <w:p w14:paraId="0992FDA9">
            <w:pPr>
              <w:pStyle w:val="35"/>
              <w:rPr>
                <w:snapToGrid w:val="0"/>
                <w:color w:val="000000" w:themeColor="text1"/>
                <w:kern w:val="21"/>
              </w:rPr>
            </w:pPr>
            <w:r>
              <w:rPr>
                <w:snapToGrid w:val="0"/>
                <w:color w:val="000000" w:themeColor="text1"/>
                <w:kern w:val="21"/>
              </w:rPr>
              <w:t>职工生活</w:t>
            </w:r>
          </w:p>
        </w:tc>
        <w:tc>
          <w:tcPr>
            <w:tcW w:w="1925" w:type="dxa"/>
            <w:vAlign w:val="center"/>
          </w:tcPr>
          <w:p w14:paraId="7BBD4383">
            <w:pPr>
              <w:spacing w:line="240" w:lineRule="auto"/>
              <w:ind w:firstLine="0" w:firstLineChars="0"/>
              <w:jc w:val="center"/>
              <w:rPr>
                <w:color w:val="000000" w:themeColor="text1"/>
                <w:sz w:val="21"/>
                <w:szCs w:val="21"/>
              </w:rPr>
            </w:pPr>
            <w:r>
              <w:rPr>
                <w:color w:val="000000" w:themeColor="text1"/>
                <w:sz w:val="21"/>
                <w:szCs w:val="21"/>
              </w:rPr>
              <w:t>生活垃圾</w:t>
            </w:r>
          </w:p>
        </w:tc>
        <w:tc>
          <w:tcPr>
            <w:tcW w:w="1680" w:type="dxa"/>
            <w:shd w:val="clear" w:color="auto" w:fill="auto"/>
            <w:vAlign w:val="center"/>
          </w:tcPr>
          <w:p w14:paraId="3F86795F">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5601490E">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22E82288">
            <w:pPr>
              <w:pStyle w:val="35"/>
              <w:ind w:left="0" w:leftChars="0" w:right="0" w:rightChars="0"/>
              <w:rPr>
                <w:snapToGrid w:val="0"/>
                <w:color w:val="000000" w:themeColor="text1"/>
                <w:kern w:val="21"/>
              </w:rPr>
            </w:pPr>
            <w:r>
              <w:rPr>
                <w:snapToGrid w:val="0"/>
                <w:color w:val="000000" w:themeColor="text1"/>
                <w:kern w:val="21"/>
              </w:rPr>
              <w:t>－</w:t>
            </w:r>
          </w:p>
        </w:tc>
        <w:tc>
          <w:tcPr>
            <w:tcW w:w="1500" w:type="dxa"/>
            <w:vAlign w:val="center"/>
          </w:tcPr>
          <w:p w14:paraId="621C5881">
            <w:pPr>
              <w:pStyle w:val="35"/>
              <w:ind w:left="0" w:leftChars="0" w:right="0" w:rightChars="0"/>
              <w:rPr>
                <w:snapToGrid w:val="0"/>
                <w:color w:val="000000" w:themeColor="text1"/>
                <w:kern w:val="21"/>
              </w:rPr>
            </w:pPr>
            <w:r>
              <w:rPr>
                <w:rFonts w:hint="eastAsia"/>
                <w:snapToGrid w:val="0"/>
                <w:color w:val="000000" w:themeColor="text1"/>
                <w:kern w:val="21"/>
              </w:rPr>
              <w:t>0.9</w:t>
            </w:r>
          </w:p>
        </w:tc>
        <w:tc>
          <w:tcPr>
            <w:tcW w:w="1534" w:type="dxa"/>
            <w:shd w:val="clear" w:color="auto" w:fill="auto"/>
            <w:vAlign w:val="center"/>
          </w:tcPr>
          <w:p w14:paraId="7F6C88F7">
            <w:pPr>
              <w:pStyle w:val="35"/>
              <w:ind w:left="0" w:leftChars="0" w:right="0" w:rightChars="0"/>
              <w:rPr>
                <w:snapToGrid w:val="0"/>
                <w:color w:val="000000" w:themeColor="text1"/>
                <w:kern w:val="21"/>
              </w:rPr>
            </w:pPr>
            <w:r>
              <w:rPr>
                <w:snapToGrid w:val="0"/>
                <w:color w:val="000000" w:themeColor="text1"/>
                <w:kern w:val="21"/>
              </w:rPr>
              <w:t>－</w:t>
            </w:r>
          </w:p>
        </w:tc>
        <w:tc>
          <w:tcPr>
            <w:tcW w:w="1711" w:type="dxa"/>
            <w:vAlign w:val="center"/>
          </w:tcPr>
          <w:p w14:paraId="6FA1D85A">
            <w:pPr>
              <w:pStyle w:val="35"/>
              <w:ind w:left="0" w:leftChars="0" w:right="0" w:rightChars="0"/>
              <w:rPr>
                <w:color w:val="000000" w:themeColor="text1"/>
                <w:kern w:val="0"/>
              </w:rPr>
            </w:pPr>
            <w:r>
              <w:rPr>
                <w:rFonts w:hint="eastAsia"/>
                <w:color w:val="000000" w:themeColor="text1"/>
                <w:kern w:val="0"/>
              </w:rPr>
              <w:t>0.9</w:t>
            </w:r>
          </w:p>
        </w:tc>
        <w:tc>
          <w:tcPr>
            <w:tcW w:w="1184" w:type="dxa"/>
            <w:vAlign w:val="center"/>
          </w:tcPr>
          <w:p w14:paraId="5DC7D7F8">
            <w:pPr>
              <w:pStyle w:val="35"/>
              <w:ind w:left="0" w:leftChars="0" w:right="0" w:rightChars="0"/>
              <w:rPr>
                <w:snapToGrid w:val="0"/>
                <w:color w:val="000000" w:themeColor="text1"/>
                <w:kern w:val="21"/>
              </w:rPr>
            </w:pPr>
            <w:r>
              <w:rPr>
                <w:rFonts w:hint="eastAsia"/>
                <w:snapToGrid w:val="0"/>
                <w:color w:val="000000" w:themeColor="text1"/>
                <w:kern w:val="21"/>
              </w:rPr>
              <w:t>+0.9</w:t>
            </w:r>
          </w:p>
        </w:tc>
      </w:tr>
      <w:tr w14:paraId="7DB17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restart"/>
            <w:vAlign w:val="center"/>
          </w:tcPr>
          <w:p w14:paraId="0781A04C">
            <w:pPr>
              <w:pStyle w:val="35"/>
              <w:rPr>
                <w:snapToGrid w:val="0"/>
                <w:color w:val="000000" w:themeColor="text1"/>
                <w:kern w:val="21"/>
              </w:rPr>
            </w:pPr>
            <w:r>
              <w:rPr>
                <w:snapToGrid w:val="0"/>
                <w:color w:val="000000" w:themeColor="text1"/>
                <w:kern w:val="21"/>
              </w:rPr>
              <w:t>危险废物</w:t>
            </w:r>
          </w:p>
        </w:tc>
        <w:tc>
          <w:tcPr>
            <w:tcW w:w="1925" w:type="dxa"/>
            <w:shd w:val="clear" w:color="auto" w:fill="auto"/>
            <w:vAlign w:val="center"/>
          </w:tcPr>
          <w:p w14:paraId="3ECAF889">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废液压油</w:t>
            </w:r>
          </w:p>
        </w:tc>
        <w:tc>
          <w:tcPr>
            <w:tcW w:w="1680" w:type="dxa"/>
            <w:shd w:val="clear" w:color="auto" w:fill="auto"/>
            <w:vAlign w:val="center"/>
          </w:tcPr>
          <w:p w14:paraId="202D8D0E">
            <w:pPr>
              <w:pStyle w:val="35"/>
              <w:ind w:left="0" w:leftChars="0" w:right="0" w:rightChars="0"/>
              <w:rPr>
                <w:snapToGrid w:val="0"/>
                <w:color w:val="000000" w:themeColor="text1"/>
                <w:kern w:val="21"/>
              </w:rPr>
            </w:pPr>
            <w:r>
              <w:rPr>
                <w:snapToGrid w:val="0"/>
                <w:color w:val="000000" w:themeColor="text1"/>
                <w:kern w:val="21"/>
              </w:rPr>
              <w:t>－</w:t>
            </w:r>
          </w:p>
        </w:tc>
        <w:tc>
          <w:tcPr>
            <w:tcW w:w="1231" w:type="dxa"/>
            <w:vAlign w:val="center"/>
          </w:tcPr>
          <w:p w14:paraId="6F86D948">
            <w:pPr>
              <w:pStyle w:val="35"/>
              <w:ind w:left="0" w:leftChars="0" w:right="0" w:rightChars="0"/>
              <w:rPr>
                <w:snapToGrid w:val="0"/>
                <w:color w:val="000000" w:themeColor="text1"/>
                <w:kern w:val="21"/>
              </w:rPr>
            </w:pPr>
            <w:r>
              <w:rPr>
                <w:snapToGrid w:val="0"/>
                <w:color w:val="000000" w:themeColor="text1"/>
                <w:kern w:val="21"/>
              </w:rPr>
              <w:t>－</w:t>
            </w:r>
          </w:p>
        </w:tc>
        <w:tc>
          <w:tcPr>
            <w:tcW w:w="1683" w:type="dxa"/>
            <w:vAlign w:val="center"/>
          </w:tcPr>
          <w:p w14:paraId="353AEA19">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5AF45C8D">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1534" w:type="dxa"/>
            <w:shd w:val="clear" w:color="auto" w:fill="auto"/>
            <w:vAlign w:val="center"/>
          </w:tcPr>
          <w:p w14:paraId="46533F92">
            <w:pPr>
              <w:pStyle w:val="35"/>
              <w:ind w:left="0" w:leftChars="0" w:right="0" w:rightChars="0"/>
              <w:rPr>
                <w:snapToGrid w:val="0"/>
                <w:color w:val="000000" w:themeColor="text1"/>
                <w:kern w:val="21"/>
              </w:rPr>
            </w:pPr>
            <w:r>
              <w:rPr>
                <w:snapToGrid w:val="0"/>
                <w:color w:val="000000" w:themeColor="text1"/>
                <w:kern w:val="21"/>
              </w:rPr>
              <w:t>－</w:t>
            </w:r>
          </w:p>
        </w:tc>
        <w:tc>
          <w:tcPr>
            <w:tcW w:w="1711" w:type="dxa"/>
            <w:shd w:val="clear" w:color="auto" w:fill="auto"/>
            <w:vAlign w:val="center"/>
          </w:tcPr>
          <w:p w14:paraId="63ADA4C6">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0.2</w:t>
            </w:r>
          </w:p>
        </w:tc>
        <w:tc>
          <w:tcPr>
            <w:tcW w:w="1184" w:type="dxa"/>
            <w:shd w:val="clear" w:color="auto" w:fill="auto"/>
            <w:vAlign w:val="center"/>
          </w:tcPr>
          <w:p w14:paraId="084CADAC">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0.2</w:t>
            </w:r>
          </w:p>
        </w:tc>
      </w:tr>
      <w:tr w14:paraId="568DD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continue"/>
            <w:vAlign w:val="center"/>
          </w:tcPr>
          <w:p w14:paraId="46EB0EEA">
            <w:pPr>
              <w:pStyle w:val="35"/>
              <w:rPr>
                <w:snapToGrid w:val="0"/>
                <w:color w:val="000000" w:themeColor="text1"/>
                <w:kern w:val="21"/>
              </w:rPr>
            </w:pPr>
          </w:p>
        </w:tc>
        <w:tc>
          <w:tcPr>
            <w:tcW w:w="1925" w:type="dxa"/>
            <w:shd w:val="clear" w:color="auto" w:fill="auto"/>
            <w:vAlign w:val="center"/>
          </w:tcPr>
          <w:p w14:paraId="007722BF">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废机油</w:t>
            </w:r>
          </w:p>
        </w:tc>
        <w:tc>
          <w:tcPr>
            <w:tcW w:w="1680" w:type="dxa"/>
            <w:shd w:val="clear" w:color="auto" w:fill="auto"/>
            <w:vAlign w:val="center"/>
          </w:tcPr>
          <w:p w14:paraId="5ED1DE35">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1EB495E0">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284ACAB1">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4D629DDA">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1534" w:type="dxa"/>
            <w:shd w:val="clear" w:color="auto" w:fill="auto"/>
            <w:vAlign w:val="center"/>
          </w:tcPr>
          <w:p w14:paraId="25D2A16F">
            <w:pPr>
              <w:pStyle w:val="35"/>
              <w:ind w:left="0" w:leftChars="0" w:right="0" w:rightChars="0"/>
              <w:rPr>
                <w:color w:val="000000" w:themeColor="text1"/>
              </w:rPr>
            </w:pPr>
            <w:r>
              <w:rPr>
                <w:snapToGrid w:val="0"/>
                <w:color w:val="000000" w:themeColor="text1"/>
                <w:kern w:val="21"/>
              </w:rPr>
              <w:t>－</w:t>
            </w:r>
          </w:p>
        </w:tc>
        <w:tc>
          <w:tcPr>
            <w:tcW w:w="1711" w:type="dxa"/>
            <w:shd w:val="clear" w:color="auto" w:fill="auto"/>
            <w:vAlign w:val="center"/>
          </w:tcPr>
          <w:p w14:paraId="50F551E5">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0.08</w:t>
            </w:r>
          </w:p>
        </w:tc>
        <w:tc>
          <w:tcPr>
            <w:tcW w:w="1184" w:type="dxa"/>
            <w:shd w:val="clear" w:color="auto" w:fill="auto"/>
            <w:vAlign w:val="center"/>
          </w:tcPr>
          <w:p w14:paraId="6C7136E2">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0.08</w:t>
            </w:r>
          </w:p>
        </w:tc>
      </w:tr>
      <w:tr w14:paraId="4A8A9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continue"/>
            <w:vAlign w:val="center"/>
          </w:tcPr>
          <w:p w14:paraId="6E6BCDAB">
            <w:pPr>
              <w:pStyle w:val="35"/>
              <w:rPr>
                <w:snapToGrid w:val="0"/>
                <w:color w:val="000000" w:themeColor="text1"/>
                <w:kern w:val="21"/>
              </w:rPr>
            </w:pPr>
          </w:p>
        </w:tc>
        <w:tc>
          <w:tcPr>
            <w:tcW w:w="1925" w:type="dxa"/>
            <w:shd w:val="clear" w:color="auto" w:fill="auto"/>
            <w:vAlign w:val="center"/>
          </w:tcPr>
          <w:p w14:paraId="44C03033">
            <w:pPr>
              <w:topLinePunct/>
              <w:adjustRightInd w:val="0"/>
              <w:snapToGrid w:val="0"/>
              <w:spacing w:line="240" w:lineRule="auto"/>
              <w:ind w:firstLine="0" w:firstLineChars="0"/>
              <w:jc w:val="center"/>
              <w:rPr>
                <w:color w:val="000000" w:themeColor="text1"/>
                <w:sz w:val="21"/>
                <w:szCs w:val="21"/>
              </w:rPr>
            </w:pPr>
            <w:r>
              <w:rPr>
                <w:color w:val="000000" w:themeColor="text1"/>
                <w:sz w:val="21"/>
                <w:szCs w:val="21"/>
              </w:rPr>
              <w:t>废润滑油</w:t>
            </w:r>
          </w:p>
        </w:tc>
        <w:tc>
          <w:tcPr>
            <w:tcW w:w="1680" w:type="dxa"/>
            <w:shd w:val="clear" w:color="auto" w:fill="auto"/>
            <w:vAlign w:val="center"/>
          </w:tcPr>
          <w:p w14:paraId="31974F7D">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4F68859E">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73DB87B3">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309D30AB">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1534" w:type="dxa"/>
            <w:shd w:val="clear" w:color="auto" w:fill="auto"/>
            <w:vAlign w:val="center"/>
          </w:tcPr>
          <w:p w14:paraId="00DA0C4C">
            <w:pPr>
              <w:pStyle w:val="35"/>
              <w:ind w:left="0" w:leftChars="0" w:right="0" w:rightChars="0"/>
              <w:rPr>
                <w:color w:val="000000" w:themeColor="text1"/>
              </w:rPr>
            </w:pPr>
            <w:r>
              <w:rPr>
                <w:snapToGrid w:val="0"/>
                <w:color w:val="000000" w:themeColor="text1"/>
                <w:kern w:val="21"/>
              </w:rPr>
              <w:t>－</w:t>
            </w:r>
          </w:p>
        </w:tc>
        <w:tc>
          <w:tcPr>
            <w:tcW w:w="1711" w:type="dxa"/>
            <w:shd w:val="clear" w:color="auto" w:fill="auto"/>
            <w:vAlign w:val="center"/>
          </w:tcPr>
          <w:p w14:paraId="4DFE431F">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0.06</w:t>
            </w:r>
          </w:p>
        </w:tc>
        <w:tc>
          <w:tcPr>
            <w:tcW w:w="1184" w:type="dxa"/>
            <w:shd w:val="clear" w:color="auto" w:fill="auto"/>
            <w:vAlign w:val="center"/>
          </w:tcPr>
          <w:p w14:paraId="46BD9164">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0.06</w:t>
            </w:r>
          </w:p>
        </w:tc>
      </w:tr>
      <w:tr w14:paraId="74AED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40" w:type="dxa"/>
            <w:vMerge w:val="continue"/>
            <w:vAlign w:val="center"/>
          </w:tcPr>
          <w:p w14:paraId="588F9869">
            <w:pPr>
              <w:pStyle w:val="35"/>
              <w:rPr>
                <w:snapToGrid w:val="0"/>
                <w:color w:val="000000" w:themeColor="text1"/>
                <w:kern w:val="21"/>
              </w:rPr>
            </w:pPr>
          </w:p>
        </w:tc>
        <w:tc>
          <w:tcPr>
            <w:tcW w:w="1925" w:type="dxa"/>
            <w:shd w:val="clear" w:color="auto" w:fill="auto"/>
            <w:vAlign w:val="center"/>
          </w:tcPr>
          <w:p w14:paraId="1B874FFA">
            <w:pPr>
              <w:topLinePunct/>
              <w:adjustRightInd w:val="0"/>
              <w:snapToGrid w:val="0"/>
              <w:spacing w:line="240" w:lineRule="auto"/>
              <w:ind w:firstLine="0" w:firstLineChars="0"/>
              <w:jc w:val="center"/>
              <w:rPr>
                <w:color w:val="000000" w:themeColor="text1"/>
                <w:sz w:val="21"/>
                <w:szCs w:val="21"/>
              </w:rPr>
            </w:pPr>
            <w:r>
              <w:rPr>
                <w:rFonts w:hint="eastAsia"/>
                <w:color w:val="000000" w:themeColor="text1"/>
                <w:sz w:val="21"/>
                <w:szCs w:val="21"/>
              </w:rPr>
              <w:t>废油桶</w:t>
            </w:r>
          </w:p>
        </w:tc>
        <w:tc>
          <w:tcPr>
            <w:tcW w:w="1680" w:type="dxa"/>
            <w:shd w:val="clear" w:color="auto" w:fill="auto"/>
            <w:vAlign w:val="center"/>
          </w:tcPr>
          <w:p w14:paraId="3B0B4C29">
            <w:pPr>
              <w:pStyle w:val="35"/>
              <w:ind w:left="0" w:leftChars="0" w:right="0" w:rightChars="0"/>
              <w:rPr>
                <w:snapToGrid w:val="0"/>
                <w:color w:val="000000" w:themeColor="text1"/>
                <w:kern w:val="21"/>
              </w:rPr>
            </w:pPr>
            <w:r>
              <w:rPr>
                <w:snapToGrid w:val="0"/>
                <w:color w:val="000000" w:themeColor="text1"/>
                <w:kern w:val="21"/>
              </w:rPr>
              <w:t>－</w:t>
            </w:r>
          </w:p>
        </w:tc>
        <w:tc>
          <w:tcPr>
            <w:tcW w:w="1231" w:type="dxa"/>
            <w:shd w:val="clear" w:color="auto" w:fill="auto"/>
            <w:vAlign w:val="center"/>
          </w:tcPr>
          <w:p w14:paraId="25ED2BCA">
            <w:pPr>
              <w:pStyle w:val="35"/>
              <w:ind w:left="0" w:leftChars="0" w:right="0" w:rightChars="0"/>
              <w:rPr>
                <w:snapToGrid w:val="0"/>
                <w:color w:val="000000" w:themeColor="text1"/>
                <w:kern w:val="21"/>
              </w:rPr>
            </w:pPr>
            <w:r>
              <w:rPr>
                <w:snapToGrid w:val="0"/>
                <w:color w:val="000000" w:themeColor="text1"/>
                <w:kern w:val="21"/>
              </w:rPr>
              <w:t>－</w:t>
            </w:r>
          </w:p>
        </w:tc>
        <w:tc>
          <w:tcPr>
            <w:tcW w:w="1683" w:type="dxa"/>
            <w:shd w:val="clear" w:color="auto" w:fill="auto"/>
            <w:vAlign w:val="center"/>
          </w:tcPr>
          <w:p w14:paraId="11D1FDBF">
            <w:pPr>
              <w:pStyle w:val="35"/>
              <w:ind w:left="0" w:leftChars="0" w:right="0" w:rightChars="0"/>
              <w:rPr>
                <w:color w:val="000000" w:themeColor="text1"/>
                <w:kern w:val="2"/>
              </w:rPr>
            </w:pPr>
            <w:r>
              <w:rPr>
                <w:snapToGrid w:val="0"/>
                <w:color w:val="000000" w:themeColor="text1"/>
                <w:kern w:val="21"/>
              </w:rPr>
              <w:t>－</w:t>
            </w:r>
          </w:p>
        </w:tc>
        <w:tc>
          <w:tcPr>
            <w:tcW w:w="1500" w:type="dxa"/>
            <w:shd w:val="clear" w:color="auto" w:fill="auto"/>
            <w:vAlign w:val="center"/>
          </w:tcPr>
          <w:p w14:paraId="0B5D0D0F">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0.09</w:t>
            </w:r>
          </w:p>
        </w:tc>
        <w:tc>
          <w:tcPr>
            <w:tcW w:w="1534" w:type="dxa"/>
            <w:shd w:val="clear" w:color="auto" w:fill="auto"/>
            <w:vAlign w:val="center"/>
          </w:tcPr>
          <w:p w14:paraId="7594CBCD">
            <w:pPr>
              <w:pStyle w:val="35"/>
              <w:ind w:left="0" w:leftChars="0" w:right="0" w:rightChars="0"/>
              <w:rPr>
                <w:color w:val="000000" w:themeColor="text1"/>
              </w:rPr>
            </w:pPr>
            <w:r>
              <w:rPr>
                <w:snapToGrid w:val="0"/>
                <w:color w:val="000000" w:themeColor="text1"/>
                <w:kern w:val="21"/>
              </w:rPr>
              <w:t>－</w:t>
            </w:r>
          </w:p>
        </w:tc>
        <w:tc>
          <w:tcPr>
            <w:tcW w:w="1711" w:type="dxa"/>
            <w:shd w:val="clear" w:color="auto" w:fill="auto"/>
            <w:vAlign w:val="center"/>
          </w:tcPr>
          <w:p w14:paraId="42213F5E">
            <w:pPr>
              <w:topLinePunct/>
              <w:adjustRightInd w:val="0"/>
              <w:snapToGrid w:val="0"/>
              <w:spacing w:line="240" w:lineRule="auto"/>
              <w:ind w:firstLine="0" w:firstLineChars="0"/>
              <w:jc w:val="center"/>
              <w:rPr>
                <w:color w:val="000000" w:themeColor="text1"/>
                <w:kern w:val="0"/>
                <w:sz w:val="21"/>
                <w:szCs w:val="21"/>
              </w:rPr>
            </w:pPr>
            <w:r>
              <w:rPr>
                <w:rFonts w:hint="eastAsia"/>
                <w:color w:val="000000" w:themeColor="text1"/>
                <w:kern w:val="0"/>
                <w:sz w:val="21"/>
                <w:szCs w:val="21"/>
              </w:rPr>
              <w:t>0.09</w:t>
            </w:r>
          </w:p>
        </w:tc>
        <w:tc>
          <w:tcPr>
            <w:tcW w:w="1184" w:type="dxa"/>
            <w:shd w:val="clear" w:color="auto" w:fill="auto"/>
            <w:vAlign w:val="center"/>
          </w:tcPr>
          <w:p w14:paraId="7ECAF563">
            <w:pPr>
              <w:topLinePunct/>
              <w:adjustRightInd w:val="0"/>
              <w:snapToGrid w:val="0"/>
              <w:spacing w:line="240" w:lineRule="auto"/>
              <w:ind w:firstLine="0" w:firstLineChars="0"/>
              <w:jc w:val="center"/>
              <w:rPr>
                <w:color w:val="000000" w:themeColor="text1"/>
                <w:kern w:val="0"/>
                <w:sz w:val="21"/>
                <w:szCs w:val="21"/>
              </w:rPr>
            </w:pPr>
            <w:r>
              <w:rPr>
                <w:rFonts w:hint="eastAsia"/>
                <w:snapToGrid w:val="0"/>
                <w:color w:val="000000" w:themeColor="text1"/>
                <w:kern w:val="21"/>
                <w:sz w:val="21"/>
                <w:szCs w:val="21"/>
              </w:rPr>
              <w:t>+</w:t>
            </w:r>
            <w:r>
              <w:rPr>
                <w:rFonts w:hint="eastAsia"/>
                <w:color w:val="000000" w:themeColor="text1"/>
                <w:kern w:val="0"/>
                <w:sz w:val="21"/>
                <w:szCs w:val="21"/>
              </w:rPr>
              <w:t>0.09</w:t>
            </w:r>
          </w:p>
        </w:tc>
      </w:tr>
    </w:tbl>
    <w:p w14:paraId="750A91E0">
      <w:pPr>
        <w:ind w:firstLine="480"/>
        <w:jc w:val="left"/>
        <w:rPr>
          <w:color w:val="000000" w:themeColor="text1"/>
        </w:rPr>
      </w:pPr>
      <w:r>
        <w:rPr>
          <w:rFonts w:hAnsi="宋体"/>
          <w:snapToGrid w:val="0"/>
          <w:color w:val="000000" w:themeColor="text1"/>
          <w:kern w:val="21"/>
        </w:rPr>
        <w:t>注：</w:t>
      </w:r>
      <w:r>
        <w:rPr>
          <w:rFonts w:hint="eastAsia" w:hAnsi="宋体"/>
          <w:color w:val="000000" w:themeColor="text1"/>
        </w:rPr>
        <w:t>⑥</w:t>
      </w:r>
      <w:r>
        <w:rPr>
          <w:rFonts w:hAnsi="宋体"/>
          <w:snapToGrid w:val="0"/>
          <w:color w:val="000000" w:themeColor="text1"/>
          <w:spacing w:val="-16"/>
          <w:kern w:val="21"/>
        </w:rPr>
        <w:t>=</w:t>
      </w:r>
      <w:r>
        <w:rPr>
          <w:rFonts w:hint="eastAsia" w:hAnsi="宋体"/>
          <w:color w:val="000000" w:themeColor="text1"/>
        </w:rPr>
        <w:t>①</w:t>
      </w:r>
      <w:r>
        <w:rPr>
          <w:rFonts w:hAnsi="宋体"/>
          <w:snapToGrid w:val="0"/>
          <w:color w:val="000000" w:themeColor="text1"/>
          <w:spacing w:val="-6"/>
          <w:kern w:val="21"/>
        </w:rPr>
        <w:t>+</w:t>
      </w:r>
      <w:r>
        <w:rPr>
          <w:rFonts w:hint="eastAsia" w:hAnsi="宋体"/>
          <w:color w:val="000000" w:themeColor="text1"/>
        </w:rPr>
        <w:t>③</w:t>
      </w:r>
      <w:r>
        <w:rPr>
          <w:rFonts w:hAnsi="宋体"/>
          <w:snapToGrid w:val="0"/>
          <w:color w:val="000000" w:themeColor="text1"/>
          <w:spacing w:val="-6"/>
          <w:kern w:val="21"/>
        </w:rPr>
        <w:t>+</w:t>
      </w:r>
      <w:r>
        <w:rPr>
          <w:rFonts w:hint="eastAsia" w:hAnsi="宋体"/>
          <w:color w:val="000000" w:themeColor="text1"/>
        </w:rPr>
        <w:t>④</w:t>
      </w:r>
      <w:r>
        <w:rPr>
          <w:rFonts w:hAnsi="宋体"/>
          <w:snapToGrid w:val="0"/>
          <w:color w:val="000000" w:themeColor="text1"/>
          <w:spacing w:val="-6"/>
          <w:kern w:val="21"/>
        </w:rPr>
        <w:t>-</w:t>
      </w:r>
      <w:r>
        <w:rPr>
          <w:rFonts w:hint="eastAsia" w:hAnsi="宋体"/>
          <w:color w:val="000000" w:themeColor="text1"/>
        </w:rPr>
        <w:t>⑤</w:t>
      </w:r>
      <w:r>
        <w:rPr>
          <w:rFonts w:hAnsi="宋体"/>
          <w:snapToGrid w:val="0"/>
          <w:color w:val="000000" w:themeColor="text1"/>
          <w:spacing w:val="-16"/>
          <w:kern w:val="21"/>
        </w:rPr>
        <w:t>；</w:t>
      </w:r>
      <w:r>
        <w:rPr>
          <w:rFonts w:hint="eastAsia" w:hAnsi="宋体"/>
          <w:color w:val="000000" w:themeColor="text1"/>
        </w:rPr>
        <w:t>⑦</w:t>
      </w:r>
      <w:r>
        <w:rPr>
          <w:rFonts w:hAnsi="宋体"/>
          <w:snapToGrid w:val="0"/>
          <w:color w:val="000000" w:themeColor="text1"/>
          <w:spacing w:val="-6"/>
          <w:kern w:val="21"/>
        </w:rPr>
        <w:t>=</w:t>
      </w:r>
      <w:r>
        <w:rPr>
          <w:rFonts w:hint="eastAsia" w:hAnsi="宋体"/>
          <w:color w:val="000000" w:themeColor="text1"/>
        </w:rPr>
        <w:t>⑥</w:t>
      </w:r>
      <w:r>
        <w:rPr>
          <w:rFonts w:hAnsi="宋体"/>
          <w:snapToGrid w:val="0"/>
          <w:color w:val="000000" w:themeColor="text1"/>
          <w:spacing w:val="-16"/>
          <w:kern w:val="21"/>
        </w:rPr>
        <w:t>-</w:t>
      </w:r>
      <w:r>
        <w:rPr>
          <w:rFonts w:hint="eastAsia" w:hAnsi="宋体"/>
          <w:color w:val="000000" w:themeColor="text1"/>
        </w:rPr>
        <w:t>①</w:t>
      </w:r>
    </w:p>
    <w:sectPr>
      <w:footerReference r:id="rId9" w:type="default"/>
      <w:pgSz w:w="16838" w:h="11906" w:orient="landscape"/>
      <w:pgMar w:top="1803" w:right="1440" w:bottom="1803" w:left="1440" w:header="851" w:footer="992" w:gutter="0"/>
      <w:cols w:space="0" w:num="1"/>
      <w:docGrid w:type="lines" w:linePitch="332" w:charSpace="0"/>
    </w:sectPr>
  </w:body>
</w:document>
</file>

<file path=word/customizations.xml><?xml version="1.0" encoding="utf-8"?>
<wne:tcg xmlns:r="http://schemas.openxmlformats.org/officeDocument/2006/relationships" xmlns:wne="http://schemas.microsoft.com/office/word/2006/wordml">
  <wne:keymaps>
    <wne:keymap wne:kcmPrimary="0234">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196A58-6541-4616-B1BC-3ADBC48D6C6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4E32BFB-563B-43F5-89C7-9C783FA8E75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embedRegular r:id="rId3" w:fontKey="{15B2E8C7-9B2E-470A-97F0-ED1117FFFD3A}"/>
  </w:font>
  <w:font w:name="微软雅黑">
    <w:panose1 w:val="020B0503020204020204"/>
    <w:charset w:val="86"/>
    <w:family w:val="swiss"/>
    <w:pitch w:val="default"/>
    <w:sig w:usb0="80000287" w:usb1="280F3C52" w:usb2="00000016" w:usb3="00000000" w:csb0="0004001F" w:csb1="00000000"/>
  </w:font>
  <w:font w:name="方正仿宋_GB2312">
    <w:altName w:val="仿宋"/>
    <w:panose1 w:val="00000000000000000000"/>
    <w:charset w:val="86"/>
    <w:family w:val="auto"/>
    <w:pitch w:val="default"/>
    <w:sig w:usb0="00000000" w:usb1="00000000" w:usb2="00000012" w:usb3="00000000" w:csb0="00040001" w:csb1="00000000"/>
    <w:embedRegular r:id="rId4" w:fontKey="{96C64288-0775-45AB-A2E1-CFB2B25DB3BD}"/>
  </w:font>
  <w:font w:name="MingLiU-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小标宋_GBK">
    <w:altName w:val="微软雅黑"/>
    <w:panose1 w:val="00000000000000000000"/>
    <w:charset w:val="86"/>
    <w:family w:val="script"/>
    <w:pitch w:val="default"/>
    <w:sig w:usb0="00000000" w:usb1="00000000" w:usb2="00082016" w:usb3="00000000" w:csb0="00040001" w:csb1="00000000"/>
    <w:embedRegular r:id="rId5" w:fontKey="{E868EA5A-CCEC-4126-92A8-65DA6DEB3BC0}"/>
  </w:font>
  <w:font w:name="方正楷体_GB2312">
    <w:altName w:val="宋体"/>
    <w:panose1 w:val="00000000000000000000"/>
    <w:charset w:val="86"/>
    <w:family w:val="auto"/>
    <w:pitch w:val="default"/>
    <w:sig w:usb0="00000000" w:usb1="00000000" w:usb2="00000012" w:usb3="00000000" w:csb0="00040001" w:csb1="00000000"/>
    <w:embedRegular r:id="rId6" w:fontKey="{3B818D07-5748-4ECB-90F2-28A1B51E7BD7}"/>
  </w:font>
  <w:font w:name="华文仿宋">
    <w:altName w:val="仿宋"/>
    <w:panose1 w:val="02010600040101010101"/>
    <w:charset w:val="86"/>
    <w:family w:val="auto"/>
    <w:pitch w:val="default"/>
    <w:sig w:usb0="00000000" w:usb1="00000000" w:usb2="00000010" w:usb3="00000000" w:csb0="0004009F" w:csb1="00000000"/>
    <w:embedRegular r:id="rId7" w:fontKey="{D1FA3807-CF6E-4CC5-962F-083BA67357C6}"/>
  </w:font>
  <w:font w:name="仿宋">
    <w:panose1 w:val="02010609060101010101"/>
    <w:charset w:val="86"/>
    <w:family w:val="modern"/>
    <w:pitch w:val="default"/>
    <w:sig w:usb0="800002BF" w:usb1="38CF7CFA" w:usb2="00000016" w:usb3="00000000" w:csb0="00040001" w:csb1="00000000"/>
    <w:embedRegular r:id="rId8" w:fontKey="{94A8F4A3-0014-4F20-A9C9-37E68860A47B}"/>
  </w:font>
  <w:font w:name="Segoe UI">
    <w:panose1 w:val="020B0502040204020203"/>
    <w:charset w:val="00"/>
    <w:family w:val="swiss"/>
    <w:pitch w:val="default"/>
    <w:sig w:usb0="E10022FF" w:usb1="C000E47F" w:usb2="00000029" w:usb3="00000000" w:csb0="200001DF" w:csb1="20000000"/>
    <w:embedRegular r:id="rId9" w:fontKey="{C4A9C273-7381-4E9F-92A1-B14E2F534836}"/>
  </w:font>
  <w:font w:name="Tahoma">
    <w:panose1 w:val="020B0604030504040204"/>
    <w:charset w:val="00"/>
    <w:family w:val="swiss"/>
    <w:pitch w:val="default"/>
    <w:sig w:usb0="E1002EFF" w:usb1="C000605B" w:usb2="00000029" w:usb3="00000000" w:csb0="200101FF" w:csb1="20280000"/>
    <w:embedRegular r:id="rId10" w:fontKey="{20C2098A-D0F0-4473-A708-8AA241F6A4C1}"/>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9A5C">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AEC03">
    <w:pPr>
      <w:pStyle w:val="16"/>
      <w:framePr w:wrap="around" w:vAnchor="text" w:hAnchor="margin" w:xAlign="center" w:y="1"/>
      <w:rPr>
        <w:rStyle w:val="28"/>
      </w:rPr>
    </w:pPr>
    <w:r>
      <w:fldChar w:fldCharType="begin"/>
    </w:r>
    <w:r>
      <w:rPr>
        <w:rStyle w:val="28"/>
      </w:rPr>
      <w:instrText xml:space="preserve">PAGE  </w:instrText>
    </w:r>
    <w:r>
      <w:fldChar w:fldCharType="end"/>
    </w:r>
  </w:p>
  <w:p w14:paraId="47C875A5">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657EE">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4F3EC">
    <w:pPr>
      <w:pStyle w:val="16"/>
      <w:ind w:right="360" w:firstLine="360"/>
    </w:pPr>
    <w:r>
      <w:pict>
        <v:shape id="_x0000_s2050" o:spid="_x0000_s2050" o:spt="202" type="#_x0000_t202" style="position:absolute;left:0pt;margin-top:0pt;height:144pt;width:21.45pt;mso-position-horizontal:center;mso-position-horizontal-relative:margin;z-index:251667456;mso-width-relative:page;mso-height-relative:page;" filled="f" stroked="f" coordsize="21600,21600" o:gfxdata="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YpA87UAAAABAEAAA8AAAAAAAAAAQAgAAAAIgAAAGRycy9k&#10;b3ducmV2LnhtbFBLAQIUABQAAAAIAIdO4kBdfb4QPwIAAHAEAAAOAAAAAAAAAAEAIAAAACMBAABk&#10;cnMvZTJvRG9jLnhtbFBLBQYAAAAABgAGAFkBAADUBQAAAAA=&#10;">
          <v:path/>
          <v:fill on="f" focussize="0,0"/>
          <v:stroke on="f" weight="0.5pt" joinstyle="miter"/>
          <v:imagedata o:title=""/>
          <o:lock v:ext="edit"/>
          <v:textbox inset="0mm,0mm,0mm,0mm" style="mso-fit-shape-to-text:t;">
            <w:txbxContent>
              <w:p w14:paraId="5FCA31E6">
                <w:pPr>
                  <w:pStyle w:val="16"/>
                  <w:jc w:val="center"/>
                </w:pPr>
                <w:r>
                  <w:fldChar w:fldCharType="begin"/>
                </w:r>
                <w:r>
                  <w:instrText xml:space="preserve"> PAGE  \* MERGEFORMAT </w:instrText>
                </w:r>
                <w:r>
                  <w:fldChar w:fldCharType="separate"/>
                </w:r>
                <w:r>
                  <w:t>51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1E4FF">
    <w:pPr>
      <w:pStyle w:val="16"/>
      <w:ind w:right="360" w:firstLine="360"/>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23748240">
                <w:pPr>
                  <w:pStyle w:val="16"/>
                </w:pPr>
                <w:r>
                  <w:fldChar w:fldCharType="begin"/>
                </w:r>
                <w:r>
                  <w:instrText xml:space="preserve"> PAGE  \* MERGEFORMAT </w:instrText>
                </w:r>
                <w:r>
                  <w:fldChar w:fldCharType="separate"/>
                </w:r>
                <w:r>
                  <w:t>5</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972CB"/>
    <w:multiLevelType w:val="singleLevel"/>
    <w:tmpl w:val="853972CB"/>
    <w:lvl w:ilvl="0" w:tentative="0">
      <w:start w:val="1"/>
      <w:numFmt w:val="decimal"/>
      <w:suff w:val="nothing"/>
      <w:lvlText w:val="%1"/>
      <w:lvlJc w:val="center"/>
      <w:pPr>
        <w:ind w:left="0" w:firstLine="0"/>
      </w:pPr>
      <w:rPr>
        <w:rFonts w:hint="default"/>
      </w:rPr>
    </w:lvl>
  </w:abstractNum>
  <w:abstractNum w:abstractNumId="1">
    <w:nsid w:val="A4B3843D"/>
    <w:multiLevelType w:val="singleLevel"/>
    <w:tmpl w:val="A4B3843D"/>
    <w:lvl w:ilvl="0" w:tentative="0">
      <w:start w:val="1"/>
      <w:numFmt w:val="decimal"/>
      <w:suff w:val="nothing"/>
      <w:lvlText w:val="%1"/>
      <w:lvlJc w:val="center"/>
      <w:pPr>
        <w:ind w:left="0" w:firstLine="0"/>
      </w:pPr>
      <w:rPr>
        <w:rFonts w:hint="default"/>
      </w:rPr>
    </w:lvl>
  </w:abstractNum>
  <w:abstractNum w:abstractNumId="2">
    <w:nsid w:val="BDBCDDCC"/>
    <w:multiLevelType w:val="singleLevel"/>
    <w:tmpl w:val="BDBCDDCC"/>
    <w:lvl w:ilvl="0" w:tentative="0">
      <w:start w:val="1"/>
      <w:numFmt w:val="decimal"/>
      <w:suff w:val="nothing"/>
      <w:lvlText w:val="%1"/>
      <w:lvlJc w:val="center"/>
      <w:pPr>
        <w:ind w:left="0" w:firstLine="0"/>
      </w:pPr>
      <w:rPr>
        <w:rFonts w:hint="default"/>
      </w:rPr>
    </w:lvl>
  </w:abstractNum>
  <w:abstractNum w:abstractNumId="3">
    <w:nsid w:val="2890DF5B"/>
    <w:multiLevelType w:val="singleLevel"/>
    <w:tmpl w:val="2890DF5B"/>
    <w:lvl w:ilvl="0" w:tentative="0">
      <w:start w:val="1"/>
      <w:numFmt w:val="decimal"/>
      <w:suff w:val="nothing"/>
      <w:lvlText w:val="（%1）"/>
      <w:lvlJc w:val="left"/>
    </w:lvl>
  </w:abstractNum>
  <w:abstractNum w:abstractNumId="4">
    <w:nsid w:val="33C395BC"/>
    <w:multiLevelType w:val="singleLevel"/>
    <w:tmpl w:val="33C395BC"/>
    <w:lvl w:ilvl="0" w:tentative="0">
      <w:start w:val="1"/>
      <w:numFmt w:val="decimal"/>
      <w:suff w:val="nothing"/>
      <w:lvlText w:val="%1"/>
      <w:lvlJc w:val="center"/>
      <w:pPr>
        <w:ind w:left="0" w:firstLine="0"/>
      </w:pPr>
      <w:rPr>
        <w:rFonts w:hint="default"/>
      </w:rPr>
    </w:lvl>
  </w:abstractNum>
  <w:abstractNum w:abstractNumId="5">
    <w:nsid w:val="353333F9"/>
    <w:multiLevelType w:val="singleLevel"/>
    <w:tmpl w:val="353333F9"/>
    <w:lvl w:ilvl="0" w:tentative="0">
      <w:start w:val="1"/>
      <w:numFmt w:val="decimal"/>
      <w:suff w:val="nothing"/>
      <w:lvlText w:val="%1、"/>
      <w:lvlJc w:val="left"/>
    </w:lvl>
  </w:abstractNum>
  <w:abstractNum w:abstractNumId="6">
    <w:nsid w:val="4A1B7C04"/>
    <w:multiLevelType w:val="singleLevel"/>
    <w:tmpl w:val="4A1B7C04"/>
    <w:lvl w:ilvl="0" w:tentative="0">
      <w:start w:val="1"/>
      <w:numFmt w:val="decimal"/>
      <w:suff w:val="nothing"/>
      <w:lvlText w:val="%1"/>
      <w:lvlJc w:val="center"/>
      <w:pPr>
        <w:ind w:left="0" w:firstLine="0"/>
      </w:pPr>
      <w:rPr>
        <w:rFonts w:hint="default"/>
      </w:rPr>
    </w:lvl>
  </w:abstractNum>
  <w:abstractNum w:abstractNumId="7">
    <w:nsid w:val="6D3F2133"/>
    <w:multiLevelType w:val="singleLevel"/>
    <w:tmpl w:val="6D3F2133"/>
    <w:lvl w:ilvl="0" w:tentative="0">
      <w:start w:val="1"/>
      <w:numFmt w:val="decimal"/>
      <w:suff w:val="nothing"/>
      <w:lvlText w:val="%1"/>
      <w:lvlJc w:val="center"/>
      <w:pPr>
        <w:tabs>
          <w:tab w:val="left" w:pos="0"/>
        </w:tabs>
      </w:pPr>
      <w:rPr>
        <w:rFonts w:hint="default" w:ascii="Times New Roman" w:hAnsi="Times New Roman" w:eastAsia="宋体" w:cs="宋体"/>
        <w:sz w:val="21"/>
      </w:rPr>
    </w:lvl>
  </w:abstractNum>
  <w:abstractNum w:abstractNumId="8">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9">
    <w:nsid w:val="731620DC"/>
    <w:multiLevelType w:val="singleLevel"/>
    <w:tmpl w:val="731620DC"/>
    <w:lvl w:ilvl="0" w:tentative="0">
      <w:start w:val="2"/>
      <w:numFmt w:val="chineseCounting"/>
      <w:suff w:val="nothing"/>
      <w:lvlText w:val="%1、"/>
      <w:lvlJc w:val="left"/>
      <w:rPr>
        <w:rFonts w:hint="eastAsia"/>
      </w:rPr>
    </w:lvl>
  </w:abstractNum>
  <w:abstractNum w:abstractNumId="10">
    <w:nsid w:val="77EB11A4"/>
    <w:multiLevelType w:val="singleLevel"/>
    <w:tmpl w:val="77EB11A4"/>
    <w:lvl w:ilvl="0" w:tentative="0">
      <w:start w:val="1"/>
      <w:numFmt w:val="decimal"/>
      <w:suff w:val="nothing"/>
      <w:lvlText w:val="（%1）"/>
      <w:lvlJc w:val="left"/>
    </w:lvl>
  </w:abstractNum>
  <w:num w:numId="1">
    <w:abstractNumId w:val="1"/>
  </w:num>
  <w:num w:numId="2">
    <w:abstractNumId w:val="2"/>
  </w:num>
  <w:num w:numId="3">
    <w:abstractNumId w:val="5"/>
  </w:num>
  <w:num w:numId="4">
    <w:abstractNumId w:val="9"/>
  </w:num>
  <w:num w:numId="5">
    <w:abstractNumId w:val="6"/>
  </w:num>
  <w:num w:numId="6">
    <w:abstractNumId w:val="0"/>
  </w:num>
  <w:num w:numId="7">
    <w:abstractNumId w:val="7"/>
  </w:num>
  <w:num w:numId="8">
    <w:abstractNumId w:val="4"/>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6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ZhZWQ1ZTQ2Mzk0YWI0NTA3NmYxZmZhMGE2N2I5YTcifQ=="/>
  </w:docVars>
  <w:rsids>
    <w:rsidRoot w:val="00172A27"/>
    <w:rsid w:val="00030949"/>
    <w:rsid w:val="00046CA0"/>
    <w:rsid w:val="000B44D3"/>
    <w:rsid w:val="00172A27"/>
    <w:rsid w:val="001B4EF9"/>
    <w:rsid w:val="001F3ADA"/>
    <w:rsid w:val="002506FA"/>
    <w:rsid w:val="002E6413"/>
    <w:rsid w:val="00316F4C"/>
    <w:rsid w:val="0036052B"/>
    <w:rsid w:val="004277C9"/>
    <w:rsid w:val="00517CA9"/>
    <w:rsid w:val="00586FEC"/>
    <w:rsid w:val="005C73ED"/>
    <w:rsid w:val="00624FD8"/>
    <w:rsid w:val="00702323"/>
    <w:rsid w:val="00792534"/>
    <w:rsid w:val="008570A7"/>
    <w:rsid w:val="00861DAB"/>
    <w:rsid w:val="00876284"/>
    <w:rsid w:val="00936276"/>
    <w:rsid w:val="00977B14"/>
    <w:rsid w:val="0099650A"/>
    <w:rsid w:val="009B355F"/>
    <w:rsid w:val="00A3470B"/>
    <w:rsid w:val="00A4367B"/>
    <w:rsid w:val="00B2631C"/>
    <w:rsid w:val="00B8054C"/>
    <w:rsid w:val="00CB1EB4"/>
    <w:rsid w:val="00CD747C"/>
    <w:rsid w:val="00D22434"/>
    <w:rsid w:val="00D8216A"/>
    <w:rsid w:val="00E40880"/>
    <w:rsid w:val="00EB1C0E"/>
    <w:rsid w:val="00FD7A4E"/>
    <w:rsid w:val="0112363F"/>
    <w:rsid w:val="01132487"/>
    <w:rsid w:val="011C44BE"/>
    <w:rsid w:val="01284C10"/>
    <w:rsid w:val="012A4E2C"/>
    <w:rsid w:val="012B64AF"/>
    <w:rsid w:val="012E251C"/>
    <w:rsid w:val="01395070"/>
    <w:rsid w:val="0140055C"/>
    <w:rsid w:val="01434D86"/>
    <w:rsid w:val="01483184"/>
    <w:rsid w:val="01527FF8"/>
    <w:rsid w:val="015A6147"/>
    <w:rsid w:val="016646EA"/>
    <w:rsid w:val="01664743"/>
    <w:rsid w:val="0167511D"/>
    <w:rsid w:val="016E2F6B"/>
    <w:rsid w:val="01714809"/>
    <w:rsid w:val="018502B5"/>
    <w:rsid w:val="0185585A"/>
    <w:rsid w:val="018D0F17"/>
    <w:rsid w:val="01912AEC"/>
    <w:rsid w:val="01935593"/>
    <w:rsid w:val="01A7022B"/>
    <w:rsid w:val="01AA4B41"/>
    <w:rsid w:val="01B879F4"/>
    <w:rsid w:val="01C84669"/>
    <w:rsid w:val="01CA3F1A"/>
    <w:rsid w:val="01CA6EDA"/>
    <w:rsid w:val="01D24B39"/>
    <w:rsid w:val="01DD4BFD"/>
    <w:rsid w:val="01E66FA5"/>
    <w:rsid w:val="020B6A0C"/>
    <w:rsid w:val="02104022"/>
    <w:rsid w:val="0213141D"/>
    <w:rsid w:val="021E775C"/>
    <w:rsid w:val="02300221"/>
    <w:rsid w:val="023228D6"/>
    <w:rsid w:val="023A0AF0"/>
    <w:rsid w:val="023A11D8"/>
    <w:rsid w:val="023A45D8"/>
    <w:rsid w:val="023F42AD"/>
    <w:rsid w:val="024257EC"/>
    <w:rsid w:val="024261A6"/>
    <w:rsid w:val="02541D7F"/>
    <w:rsid w:val="02570EE7"/>
    <w:rsid w:val="025748EB"/>
    <w:rsid w:val="025B2DC4"/>
    <w:rsid w:val="027537F3"/>
    <w:rsid w:val="0281569D"/>
    <w:rsid w:val="02867E41"/>
    <w:rsid w:val="02897931"/>
    <w:rsid w:val="029702A0"/>
    <w:rsid w:val="02A14397"/>
    <w:rsid w:val="02A35910"/>
    <w:rsid w:val="02A62EC4"/>
    <w:rsid w:val="02AA6B4D"/>
    <w:rsid w:val="02AB6BD9"/>
    <w:rsid w:val="02B04EBD"/>
    <w:rsid w:val="02B3536B"/>
    <w:rsid w:val="02B47D3B"/>
    <w:rsid w:val="02B748EC"/>
    <w:rsid w:val="02CD2E68"/>
    <w:rsid w:val="02DE5ECF"/>
    <w:rsid w:val="02ED1C6E"/>
    <w:rsid w:val="02F94AB6"/>
    <w:rsid w:val="02F96864"/>
    <w:rsid w:val="030222F3"/>
    <w:rsid w:val="03190CB5"/>
    <w:rsid w:val="031E62CB"/>
    <w:rsid w:val="032D3E1F"/>
    <w:rsid w:val="03302C1B"/>
    <w:rsid w:val="03304250"/>
    <w:rsid w:val="033B4771"/>
    <w:rsid w:val="033B50CF"/>
    <w:rsid w:val="033E7623"/>
    <w:rsid w:val="03402B33"/>
    <w:rsid w:val="03416159"/>
    <w:rsid w:val="035A2E3C"/>
    <w:rsid w:val="03675EC4"/>
    <w:rsid w:val="03697A39"/>
    <w:rsid w:val="03716D43"/>
    <w:rsid w:val="037E4FBC"/>
    <w:rsid w:val="038002F5"/>
    <w:rsid w:val="038B483B"/>
    <w:rsid w:val="03914CEF"/>
    <w:rsid w:val="03927BAD"/>
    <w:rsid w:val="03990047"/>
    <w:rsid w:val="039D18E6"/>
    <w:rsid w:val="03C2134C"/>
    <w:rsid w:val="03CD1A9F"/>
    <w:rsid w:val="03EF1A15"/>
    <w:rsid w:val="03FE7EAB"/>
    <w:rsid w:val="04094F46"/>
    <w:rsid w:val="040A30C4"/>
    <w:rsid w:val="040C6A6B"/>
    <w:rsid w:val="040F20B8"/>
    <w:rsid w:val="04150948"/>
    <w:rsid w:val="042A0CA0"/>
    <w:rsid w:val="04461C11"/>
    <w:rsid w:val="04583A5F"/>
    <w:rsid w:val="0462668B"/>
    <w:rsid w:val="046C675B"/>
    <w:rsid w:val="04754611"/>
    <w:rsid w:val="047A1C27"/>
    <w:rsid w:val="04891E6A"/>
    <w:rsid w:val="04943389"/>
    <w:rsid w:val="04952BD1"/>
    <w:rsid w:val="04A638B6"/>
    <w:rsid w:val="04A647CA"/>
    <w:rsid w:val="04A86794"/>
    <w:rsid w:val="04B2162C"/>
    <w:rsid w:val="04B21DC8"/>
    <w:rsid w:val="04B85A58"/>
    <w:rsid w:val="04B862AB"/>
    <w:rsid w:val="04BC1BC1"/>
    <w:rsid w:val="04C01ED3"/>
    <w:rsid w:val="04C904B8"/>
    <w:rsid w:val="04C9495C"/>
    <w:rsid w:val="04E452F2"/>
    <w:rsid w:val="04F27A0F"/>
    <w:rsid w:val="04FC43EA"/>
    <w:rsid w:val="04FF48DE"/>
    <w:rsid w:val="0505364C"/>
    <w:rsid w:val="050634BB"/>
    <w:rsid w:val="05096B07"/>
    <w:rsid w:val="050A784F"/>
    <w:rsid w:val="051171FD"/>
    <w:rsid w:val="05126C96"/>
    <w:rsid w:val="05171231"/>
    <w:rsid w:val="051C2CDE"/>
    <w:rsid w:val="05241B93"/>
    <w:rsid w:val="05263B5D"/>
    <w:rsid w:val="052E5F3C"/>
    <w:rsid w:val="054B5371"/>
    <w:rsid w:val="054E2642"/>
    <w:rsid w:val="05551D4C"/>
    <w:rsid w:val="05577DE1"/>
    <w:rsid w:val="0559183C"/>
    <w:rsid w:val="056573ED"/>
    <w:rsid w:val="056621AB"/>
    <w:rsid w:val="056662EA"/>
    <w:rsid w:val="056703FD"/>
    <w:rsid w:val="05684900"/>
    <w:rsid w:val="056A6230"/>
    <w:rsid w:val="05704DD8"/>
    <w:rsid w:val="05781604"/>
    <w:rsid w:val="05783352"/>
    <w:rsid w:val="057E1C87"/>
    <w:rsid w:val="05854D29"/>
    <w:rsid w:val="05926AFC"/>
    <w:rsid w:val="05974544"/>
    <w:rsid w:val="05A73CBA"/>
    <w:rsid w:val="05A84572"/>
    <w:rsid w:val="05A9017D"/>
    <w:rsid w:val="05AA653C"/>
    <w:rsid w:val="05C869C2"/>
    <w:rsid w:val="05D03CDA"/>
    <w:rsid w:val="05E91F4B"/>
    <w:rsid w:val="05EA06E6"/>
    <w:rsid w:val="05EC4CC6"/>
    <w:rsid w:val="05EF279D"/>
    <w:rsid w:val="05EF3384"/>
    <w:rsid w:val="060B7A81"/>
    <w:rsid w:val="060D4472"/>
    <w:rsid w:val="061045AC"/>
    <w:rsid w:val="061924BA"/>
    <w:rsid w:val="061B11E8"/>
    <w:rsid w:val="061B2F96"/>
    <w:rsid w:val="061C3F4A"/>
    <w:rsid w:val="062067FE"/>
    <w:rsid w:val="06265273"/>
    <w:rsid w:val="062771B9"/>
    <w:rsid w:val="062C5D5F"/>
    <w:rsid w:val="06316315"/>
    <w:rsid w:val="063302DF"/>
    <w:rsid w:val="06422F98"/>
    <w:rsid w:val="06497B03"/>
    <w:rsid w:val="06527E3F"/>
    <w:rsid w:val="065D710A"/>
    <w:rsid w:val="0661350E"/>
    <w:rsid w:val="06616B6F"/>
    <w:rsid w:val="06674DB4"/>
    <w:rsid w:val="067032E2"/>
    <w:rsid w:val="067A40B5"/>
    <w:rsid w:val="067A46BE"/>
    <w:rsid w:val="067A7CBC"/>
    <w:rsid w:val="06824DC3"/>
    <w:rsid w:val="06826CEB"/>
    <w:rsid w:val="068943A3"/>
    <w:rsid w:val="068A2DD0"/>
    <w:rsid w:val="06930D7E"/>
    <w:rsid w:val="06986394"/>
    <w:rsid w:val="069A3EBB"/>
    <w:rsid w:val="06A30B9A"/>
    <w:rsid w:val="06AC0092"/>
    <w:rsid w:val="06AF70CF"/>
    <w:rsid w:val="06BA630B"/>
    <w:rsid w:val="06BB2083"/>
    <w:rsid w:val="06C6122C"/>
    <w:rsid w:val="06C764CB"/>
    <w:rsid w:val="06CB676A"/>
    <w:rsid w:val="06D66EBD"/>
    <w:rsid w:val="06E15E33"/>
    <w:rsid w:val="06F2019A"/>
    <w:rsid w:val="06F85D90"/>
    <w:rsid w:val="06FF6413"/>
    <w:rsid w:val="07047BAA"/>
    <w:rsid w:val="07061550"/>
    <w:rsid w:val="070B6B66"/>
    <w:rsid w:val="070F2C1D"/>
    <w:rsid w:val="072B545A"/>
    <w:rsid w:val="072C0AE2"/>
    <w:rsid w:val="074327A4"/>
    <w:rsid w:val="0753050D"/>
    <w:rsid w:val="07563389"/>
    <w:rsid w:val="07610E7C"/>
    <w:rsid w:val="07723089"/>
    <w:rsid w:val="077C1812"/>
    <w:rsid w:val="07910015"/>
    <w:rsid w:val="079459C3"/>
    <w:rsid w:val="079738BF"/>
    <w:rsid w:val="079A2E68"/>
    <w:rsid w:val="07A75E4F"/>
    <w:rsid w:val="07A96C95"/>
    <w:rsid w:val="07B66982"/>
    <w:rsid w:val="07C5786D"/>
    <w:rsid w:val="07D9675F"/>
    <w:rsid w:val="07DE0237"/>
    <w:rsid w:val="07DF16B0"/>
    <w:rsid w:val="07E1316C"/>
    <w:rsid w:val="07EF4C29"/>
    <w:rsid w:val="07EF6488"/>
    <w:rsid w:val="080041F1"/>
    <w:rsid w:val="0803189C"/>
    <w:rsid w:val="08042CA2"/>
    <w:rsid w:val="0808579C"/>
    <w:rsid w:val="080B1FDA"/>
    <w:rsid w:val="080C528C"/>
    <w:rsid w:val="081128A2"/>
    <w:rsid w:val="081303C8"/>
    <w:rsid w:val="08182E48"/>
    <w:rsid w:val="08236B0E"/>
    <w:rsid w:val="0828199A"/>
    <w:rsid w:val="082F4AD6"/>
    <w:rsid w:val="0834033F"/>
    <w:rsid w:val="0843241C"/>
    <w:rsid w:val="084F1E4E"/>
    <w:rsid w:val="08503BDA"/>
    <w:rsid w:val="0856729F"/>
    <w:rsid w:val="085D7896"/>
    <w:rsid w:val="085E0A1E"/>
    <w:rsid w:val="08662693"/>
    <w:rsid w:val="086B3C65"/>
    <w:rsid w:val="086C1887"/>
    <w:rsid w:val="087D7893"/>
    <w:rsid w:val="087E15BA"/>
    <w:rsid w:val="08872B64"/>
    <w:rsid w:val="088A61B1"/>
    <w:rsid w:val="088E3EF3"/>
    <w:rsid w:val="08BD6586"/>
    <w:rsid w:val="08CB596A"/>
    <w:rsid w:val="08D90825"/>
    <w:rsid w:val="08DA2F68"/>
    <w:rsid w:val="08E43B13"/>
    <w:rsid w:val="08E753B1"/>
    <w:rsid w:val="08F057F5"/>
    <w:rsid w:val="09054AF4"/>
    <w:rsid w:val="090C4E18"/>
    <w:rsid w:val="09155A79"/>
    <w:rsid w:val="091A5787"/>
    <w:rsid w:val="092B1742"/>
    <w:rsid w:val="09331F76"/>
    <w:rsid w:val="09353038"/>
    <w:rsid w:val="0939365C"/>
    <w:rsid w:val="093E1F1D"/>
    <w:rsid w:val="094E60B5"/>
    <w:rsid w:val="094F6F85"/>
    <w:rsid w:val="09615107"/>
    <w:rsid w:val="09815EC8"/>
    <w:rsid w:val="098175B4"/>
    <w:rsid w:val="099078DA"/>
    <w:rsid w:val="0991427C"/>
    <w:rsid w:val="09947742"/>
    <w:rsid w:val="09AF4121"/>
    <w:rsid w:val="09B07E99"/>
    <w:rsid w:val="09B1195F"/>
    <w:rsid w:val="09BD7EA8"/>
    <w:rsid w:val="09C13E54"/>
    <w:rsid w:val="09CF49A2"/>
    <w:rsid w:val="09D516AE"/>
    <w:rsid w:val="09D75426"/>
    <w:rsid w:val="09D92955"/>
    <w:rsid w:val="09D93C30"/>
    <w:rsid w:val="09DC2A3C"/>
    <w:rsid w:val="09DF68E3"/>
    <w:rsid w:val="09F9539C"/>
    <w:rsid w:val="09FE29B2"/>
    <w:rsid w:val="09FE6E56"/>
    <w:rsid w:val="09FF7DFA"/>
    <w:rsid w:val="0A0060C2"/>
    <w:rsid w:val="0A0C672F"/>
    <w:rsid w:val="0A0F16B0"/>
    <w:rsid w:val="0A0F2384"/>
    <w:rsid w:val="0A116BA1"/>
    <w:rsid w:val="0A1F0DB5"/>
    <w:rsid w:val="0A2E4B86"/>
    <w:rsid w:val="0A40121D"/>
    <w:rsid w:val="0A5151D8"/>
    <w:rsid w:val="0A544CC8"/>
    <w:rsid w:val="0A5B1544"/>
    <w:rsid w:val="0A5B1F0B"/>
    <w:rsid w:val="0A6A629A"/>
    <w:rsid w:val="0A7B72A1"/>
    <w:rsid w:val="0A870BFA"/>
    <w:rsid w:val="0A9501C2"/>
    <w:rsid w:val="0A9528B5"/>
    <w:rsid w:val="0AA01CBB"/>
    <w:rsid w:val="0AA277E2"/>
    <w:rsid w:val="0AA90B70"/>
    <w:rsid w:val="0AA948DE"/>
    <w:rsid w:val="0AAC3655"/>
    <w:rsid w:val="0AB4509C"/>
    <w:rsid w:val="0AB5575C"/>
    <w:rsid w:val="0AB56615"/>
    <w:rsid w:val="0ACB4229"/>
    <w:rsid w:val="0ACB4F8A"/>
    <w:rsid w:val="0ACE70A1"/>
    <w:rsid w:val="0AD6612B"/>
    <w:rsid w:val="0AD87B45"/>
    <w:rsid w:val="0AED6546"/>
    <w:rsid w:val="0AF049F1"/>
    <w:rsid w:val="0AFB1D94"/>
    <w:rsid w:val="0B0126DC"/>
    <w:rsid w:val="0B022714"/>
    <w:rsid w:val="0B0E30C9"/>
    <w:rsid w:val="0B17001C"/>
    <w:rsid w:val="0B1B7A70"/>
    <w:rsid w:val="0B1D276A"/>
    <w:rsid w:val="0B2C17A1"/>
    <w:rsid w:val="0B417006"/>
    <w:rsid w:val="0B445E0F"/>
    <w:rsid w:val="0B464F3D"/>
    <w:rsid w:val="0B48482D"/>
    <w:rsid w:val="0B4D0177"/>
    <w:rsid w:val="0B4E5BBB"/>
    <w:rsid w:val="0B527E71"/>
    <w:rsid w:val="0B5C3905"/>
    <w:rsid w:val="0B5C3E34"/>
    <w:rsid w:val="0B640F3B"/>
    <w:rsid w:val="0B651D82"/>
    <w:rsid w:val="0B665C11"/>
    <w:rsid w:val="0B705C98"/>
    <w:rsid w:val="0B707741"/>
    <w:rsid w:val="0B905452"/>
    <w:rsid w:val="0B9613C9"/>
    <w:rsid w:val="0B9A670B"/>
    <w:rsid w:val="0BB05F2E"/>
    <w:rsid w:val="0BB377CC"/>
    <w:rsid w:val="0BD07B44"/>
    <w:rsid w:val="0BD22349"/>
    <w:rsid w:val="0BD5062F"/>
    <w:rsid w:val="0BED35B4"/>
    <w:rsid w:val="0C040C3B"/>
    <w:rsid w:val="0C085D6A"/>
    <w:rsid w:val="0C1464BD"/>
    <w:rsid w:val="0C2212FD"/>
    <w:rsid w:val="0C236700"/>
    <w:rsid w:val="0C25691C"/>
    <w:rsid w:val="0C3C3C66"/>
    <w:rsid w:val="0C434157"/>
    <w:rsid w:val="0C4C4F93"/>
    <w:rsid w:val="0C6F1ECE"/>
    <w:rsid w:val="0C747A2B"/>
    <w:rsid w:val="0C7B478E"/>
    <w:rsid w:val="0C8673E2"/>
    <w:rsid w:val="0C97336E"/>
    <w:rsid w:val="0CA331A2"/>
    <w:rsid w:val="0CA737D5"/>
    <w:rsid w:val="0CA75583"/>
    <w:rsid w:val="0CAA6E21"/>
    <w:rsid w:val="0CB50187"/>
    <w:rsid w:val="0CCA1272"/>
    <w:rsid w:val="0CCC3EB2"/>
    <w:rsid w:val="0CD342B6"/>
    <w:rsid w:val="0CD36378"/>
    <w:rsid w:val="0CD45C4C"/>
    <w:rsid w:val="0CD8398F"/>
    <w:rsid w:val="0CD914B5"/>
    <w:rsid w:val="0CDA1A87"/>
    <w:rsid w:val="0CE03143"/>
    <w:rsid w:val="0CE20369"/>
    <w:rsid w:val="0CF66F4D"/>
    <w:rsid w:val="0D074274"/>
    <w:rsid w:val="0D075066"/>
    <w:rsid w:val="0D106986"/>
    <w:rsid w:val="0D144DED"/>
    <w:rsid w:val="0D223D2F"/>
    <w:rsid w:val="0D417786"/>
    <w:rsid w:val="0D474670"/>
    <w:rsid w:val="0D4C7ED9"/>
    <w:rsid w:val="0D5374B9"/>
    <w:rsid w:val="0D554FDF"/>
    <w:rsid w:val="0D5C45C0"/>
    <w:rsid w:val="0D651D90"/>
    <w:rsid w:val="0D6B65B1"/>
    <w:rsid w:val="0D775F55"/>
    <w:rsid w:val="0D782A7C"/>
    <w:rsid w:val="0D786450"/>
    <w:rsid w:val="0D7C057C"/>
    <w:rsid w:val="0D7C256C"/>
    <w:rsid w:val="0D8B6C53"/>
    <w:rsid w:val="0D8C6527"/>
    <w:rsid w:val="0D9A266D"/>
    <w:rsid w:val="0DA25129"/>
    <w:rsid w:val="0DA86300"/>
    <w:rsid w:val="0DC45CC1"/>
    <w:rsid w:val="0DCB704F"/>
    <w:rsid w:val="0DD647C1"/>
    <w:rsid w:val="0DE325EB"/>
    <w:rsid w:val="0DEA4012"/>
    <w:rsid w:val="0DEB5944"/>
    <w:rsid w:val="0DF93BBD"/>
    <w:rsid w:val="0E037695"/>
    <w:rsid w:val="0E08358A"/>
    <w:rsid w:val="0E2350DD"/>
    <w:rsid w:val="0E32233D"/>
    <w:rsid w:val="0E3966AF"/>
    <w:rsid w:val="0E4017EB"/>
    <w:rsid w:val="0E402A74"/>
    <w:rsid w:val="0E4137B5"/>
    <w:rsid w:val="0E4142DB"/>
    <w:rsid w:val="0E415563"/>
    <w:rsid w:val="0E4312DC"/>
    <w:rsid w:val="0E455054"/>
    <w:rsid w:val="0E4928DC"/>
    <w:rsid w:val="0E4A08BC"/>
    <w:rsid w:val="0E527771"/>
    <w:rsid w:val="0E645F25"/>
    <w:rsid w:val="0E736CD5"/>
    <w:rsid w:val="0E771499"/>
    <w:rsid w:val="0E794CFD"/>
    <w:rsid w:val="0E837C69"/>
    <w:rsid w:val="0E8B67DF"/>
    <w:rsid w:val="0E9733D5"/>
    <w:rsid w:val="0EB0506B"/>
    <w:rsid w:val="0EC15F83"/>
    <w:rsid w:val="0EC853E9"/>
    <w:rsid w:val="0EC96181"/>
    <w:rsid w:val="0ECC2C14"/>
    <w:rsid w:val="0ECE329B"/>
    <w:rsid w:val="0ED0356B"/>
    <w:rsid w:val="0EE41D10"/>
    <w:rsid w:val="0EEB125D"/>
    <w:rsid w:val="0EEC7E92"/>
    <w:rsid w:val="0EF05C4B"/>
    <w:rsid w:val="0EFB1F28"/>
    <w:rsid w:val="0EFD1F31"/>
    <w:rsid w:val="0F0C12E9"/>
    <w:rsid w:val="0F1401B8"/>
    <w:rsid w:val="0F190E46"/>
    <w:rsid w:val="0F212A6D"/>
    <w:rsid w:val="0F2C7FC2"/>
    <w:rsid w:val="0F2D1010"/>
    <w:rsid w:val="0F30565D"/>
    <w:rsid w:val="0F44306D"/>
    <w:rsid w:val="0F4E7F38"/>
    <w:rsid w:val="0F544B86"/>
    <w:rsid w:val="0F5C08A7"/>
    <w:rsid w:val="0F6D0DEE"/>
    <w:rsid w:val="0F7D081D"/>
    <w:rsid w:val="0F8704DA"/>
    <w:rsid w:val="0F87702F"/>
    <w:rsid w:val="0F8B657D"/>
    <w:rsid w:val="0F91589E"/>
    <w:rsid w:val="0F930041"/>
    <w:rsid w:val="0FAB538A"/>
    <w:rsid w:val="0FC0066A"/>
    <w:rsid w:val="0FCA5F20"/>
    <w:rsid w:val="0FD3668F"/>
    <w:rsid w:val="0FE6398A"/>
    <w:rsid w:val="0FE96380"/>
    <w:rsid w:val="0FED36FC"/>
    <w:rsid w:val="0FF5469B"/>
    <w:rsid w:val="0FFA3C1C"/>
    <w:rsid w:val="100B3F37"/>
    <w:rsid w:val="10173C40"/>
    <w:rsid w:val="10173DF5"/>
    <w:rsid w:val="102748EC"/>
    <w:rsid w:val="102D2243"/>
    <w:rsid w:val="103A6D61"/>
    <w:rsid w:val="103E7FAD"/>
    <w:rsid w:val="105621D9"/>
    <w:rsid w:val="106519DD"/>
    <w:rsid w:val="106878CF"/>
    <w:rsid w:val="106D0892"/>
    <w:rsid w:val="106D1A78"/>
    <w:rsid w:val="10740694"/>
    <w:rsid w:val="10767C05"/>
    <w:rsid w:val="1088161D"/>
    <w:rsid w:val="109167D7"/>
    <w:rsid w:val="10991687"/>
    <w:rsid w:val="109942D3"/>
    <w:rsid w:val="10B60D4A"/>
    <w:rsid w:val="10C55FD8"/>
    <w:rsid w:val="10C766C3"/>
    <w:rsid w:val="10CC55B8"/>
    <w:rsid w:val="10DE6565"/>
    <w:rsid w:val="10DF6C28"/>
    <w:rsid w:val="10E746D3"/>
    <w:rsid w:val="11057565"/>
    <w:rsid w:val="11065CD9"/>
    <w:rsid w:val="1109680C"/>
    <w:rsid w:val="11140D0D"/>
    <w:rsid w:val="111F7DDE"/>
    <w:rsid w:val="11206312"/>
    <w:rsid w:val="11230F50"/>
    <w:rsid w:val="112B0A57"/>
    <w:rsid w:val="112C75D4"/>
    <w:rsid w:val="1134315E"/>
    <w:rsid w:val="11423ACC"/>
    <w:rsid w:val="114333A1"/>
    <w:rsid w:val="114E06C3"/>
    <w:rsid w:val="115E08CA"/>
    <w:rsid w:val="11660B07"/>
    <w:rsid w:val="11863E28"/>
    <w:rsid w:val="11891BF6"/>
    <w:rsid w:val="11A27578"/>
    <w:rsid w:val="11A320A1"/>
    <w:rsid w:val="11B619F3"/>
    <w:rsid w:val="11BE7BEC"/>
    <w:rsid w:val="11C04E5B"/>
    <w:rsid w:val="11C158D4"/>
    <w:rsid w:val="11C40985"/>
    <w:rsid w:val="11CC5EF6"/>
    <w:rsid w:val="11D26551"/>
    <w:rsid w:val="11D32976"/>
    <w:rsid w:val="11D755F1"/>
    <w:rsid w:val="11DA3722"/>
    <w:rsid w:val="11DD378A"/>
    <w:rsid w:val="11DD37F5"/>
    <w:rsid w:val="11E44B84"/>
    <w:rsid w:val="11FA43A7"/>
    <w:rsid w:val="11FA7F03"/>
    <w:rsid w:val="11FB2FCF"/>
    <w:rsid w:val="11FC3C7B"/>
    <w:rsid w:val="12062D4C"/>
    <w:rsid w:val="12092610"/>
    <w:rsid w:val="12103BCB"/>
    <w:rsid w:val="12144E5B"/>
    <w:rsid w:val="12153449"/>
    <w:rsid w:val="121C256F"/>
    <w:rsid w:val="121C355D"/>
    <w:rsid w:val="12320E62"/>
    <w:rsid w:val="12374CB3"/>
    <w:rsid w:val="12443874"/>
    <w:rsid w:val="12463148"/>
    <w:rsid w:val="124D2729"/>
    <w:rsid w:val="125735A8"/>
    <w:rsid w:val="12577104"/>
    <w:rsid w:val="125C296C"/>
    <w:rsid w:val="125C6E10"/>
    <w:rsid w:val="125C71A2"/>
    <w:rsid w:val="125E784D"/>
    <w:rsid w:val="125F66B6"/>
    <w:rsid w:val="126420E9"/>
    <w:rsid w:val="12696E37"/>
    <w:rsid w:val="126F3EF2"/>
    <w:rsid w:val="12863B5B"/>
    <w:rsid w:val="129C1D6E"/>
    <w:rsid w:val="12A35002"/>
    <w:rsid w:val="12B21A3F"/>
    <w:rsid w:val="12BB2F1D"/>
    <w:rsid w:val="12D40754"/>
    <w:rsid w:val="12E27315"/>
    <w:rsid w:val="12FA5D2F"/>
    <w:rsid w:val="130407F2"/>
    <w:rsid w:val="13070B2A"/>
    <w:rsid w:val="130C25E4"/>
    <w:rsid w:val="130C6140"/>
    <w:rsid w:val="13113756"/>
    <w:rsid w:val="131274CE"/>
    <w:rsid w:val="13274D28"/>
    <w:rsid w:val="132911E1"/>
    <w:rsid w:val="132D60B6"/>
    <w:rsid w:val="13347445"/>
    <w:rsid w:val="13367661"/>
    <w:rsid w:val="1338253B"/>
    <w:rsid w:val="133E0EDE"/>
    <w:rsid w:val="134373CC"/>
    <w:rsid w:val="134E49AB"/>
    <w:rsid w:val="13531FC1"/>
    <w:rsid w:val="13570030"/>
    <w:rsid w:val="135D6FC9"/>
    <w:rsid w:val="13662F80"/>
    <w:rsid w:val="136F66CF"/>
    <w:rsid w:val="13765CAF"/>
    <w:rsid w:val="13785584"/>
    <w:rsid w:val="1379754E"/>
    <w:rsid w:val="138E13D3"/>
    <w:rsid w:val="138F28CD"/>
    <w:rsid w:val="1390019C"/>
    <w:rsid w:val="13B430B9"/>
    <w:rsid w:val="13C54541"/>
    <w:rsid w:val="13CB462D"/>
    <w:rsid w:val="13D6674E"/>
    <w:rsid w:val="13DB3A2C"/>
    <w:rsid w:val="13E203F6"/>
    <w:rsid w:val="13E83022"/>
    <w:rsid w:val="13EE5846"/>
    <w:rsid w:val="13F07810"/>
    <w:rsid w:val="13F111A4"/>
    <w:rsid w:val="13F516F2"/>
    <w:rsid w:val="14065285"/>
    <w:rsid w:val="14085699"/>
    <w:rsid w:val="141253DE"/>
    <w:rsid w:val="14151024"/>
    <w:rsid w:val="14157276"/>
    <w:rsid w:val="141F6347"/>
    <w:rsid w:val="141F7B53"/>
    <w:rsid w:val="1424570B"/>
    <w:rsid w:val="14270D58"/>
    <w:rsid w:val="142A6266"/>
    <w:rsid w:val="14333BA0"/>
    <w:rsid w:val="14364B2C"/>
    <w:rsid w:val="14397409"/>
    <w:rsid w:val="143F2CAE"/>
    <w:rsid w:val="143F60A1"/>
    <w:rsid w:val="14432ABC"/>
    <w:rsid w:val="144661AA"/>
    <w:rsid w:val="144A03E7"/>
    <w:rsid w:val="145F1B90"/>
    <w:rsid w:val="146E242D"/>
    <w:rsid w:val="146E6986"/>
    <w:rsid w:val="14842357"/>
    <w:rsid w:val="149A59CD"/>
    <w:rsid w:val="14A05457"/>
    <w:rsid w:val="14A342FE"/>
    <w:rsid w:val="14A45A5B"/>
    <w:rsid w:val="14A625C4"/>
    <w:rsid w:val="14A8633C"/>
    <w:rsid w:val="14B05B25"/>
    <w:rsid w:val="14B22D17"/>
    <w:rsid w:val="14C8217B"/>
    <w:rsid w:val="14D955E8"/>
    <w:rsid w:val="14DE58EF"/>
    <w:rsid w:val="14E7708C"/>
    <w:rsid w:val="14E86739"/>
    <w:rsid w:val="14F31C4F"/>
    <w:rsid w:val="14F64B10"/>
    <w:rsid w:val="14F73A22"/>
    <w:rsid w:val="150D2643"/>
    <w:rsid w:val="15171E3E"/>
    <w:rsid w:val="15451DDD"/>
    <w:rsid w:val="154A73F4"/>
    <w:rsid w:val="155A49F4"/>
    <w:rsid w:val="155C3CEC"/>
    <w:rsid w:val="15673B02"/>
    <w:rsid w:val="156C7AB7"/>
    <w:rsid w:val="1571672E"/>
    <w:rsid w:val="1573694A"/>
    <w:rsid w:val="15742549"/>
    <w:rsid w:val="15787ABD"/>
    <w:rsid w:val="15845E26"/>
    <w:rsid w:val="1585182D"/>
    <w:rsid w:val="1587374D"/>
    <w:rsid w:val="158C17BA"/>
    <w:rsid w:val="158C247F"/>
    <w:rsid w:val="15A00DC2"/>
    <w:rsid w:val="15C22E6B"/>
    <w:rsid w:val="15CC605B"/>
    <w:rsid w:val="15CF1017"/>
    <w:rsid w:val="15D60C87"/>
    <w:rsid w:val="15DC6DDF"/>
    <w:rsid w:val="15DD2016"/>
    <w:rsid w:val="15EC4007"/>
    <w:rsid w:val="16102902"/>
    <w:rsid w:val="16133262"/>
    <w:rsid w:val="16136167"/>
    <w:rsid w:val="161672D6"/>
    <w:rsid w:val="162147E9"/>
    <w:rsid w:val="162178CE"/>
    <w:rsid w:val="16225917"/>
    <w:rsid w:val="16231DB1"/>
    <w:rsid w:val="1626576B"/>
    <w:rsid w:val="163273DD"/>
    <w:rsid w:val="163548CE"/>
    <w:rsid w:val="1649051E"/>
    <w:rsid w:val="16507D95"/>
    <w:rsid w:val="16551BAC"/>
    <w:rsid w:val="165810F8"/>
    <w:rsid w:val="165A3666"/>
    <w:rsid w:val="16636826"/>
    <w:rsid w:val="166B462C"/>
    <w:rsid w:val="166C4DED"/>
    <w:rsid w:val="16780CF9"/>
    <w:rsid w:val="16824929"/>
    <w:rsid w:val="1684629D"/>
    <w:rsid w:val="1686445B"/>
    <w:rsid w:val="16946B78"/>
    <w:rsid w:val="16A04D1D"/>
    <w:rsid w:val="16A60B8F"/>
    <w:rsid w:val="16AE6146"/>
    <w:rsid w:val="16B52247"/>
    <w:rsid w:val="16BD4245"/>
    <w:rsid w:val="16C12A18"/>
    <w:rsid w:val="16C15797"/>
    <w:rsid w:val="16C4115D"/>
    <w:rsid w:val="16C84A74"/>
    <w:rsid w:val="16CE2667"/>
    <w:rsid w:val="16D03928"/>
    <w:rsid w:val="16EF50A8"/>
    <w:rsid w:val="16F21696"/>
    <w:rsid w:val="16F77107"/>
    <w:rsid w:val="16FE0496"/>
    <w:rsid w:val="170A508C"/>
    <w:rsid w:val="170F26A3"/>
    <w:rsid w:val="17123B42"/>
    <w:rsid w:val="172041D4"/>
    <w:rsid w:val="172577D0"/>
    <w:rsid w:val="17285DD4"/>
    <w:rsid w:val="173E0892"/>
    <w:rsid w:val="17435EA8"/>
    <w:rsid w:val="17457E73"/>
    <w:rsid w:val="174658D3"/>
    <w:rsid w:val="174753BE"/>
    <w:rsid w:val="174A3E64"/>
    <w:rsid w:val="17512598"/>
    <w:rsid w:val="1752433D"/>
    <w:rsid w:val="175C5A0C"/>
    <w:rsid w:val="176531A5"/>
    <w:rsid w:val="1778161B"/>
    <w:rsid w:val="178070FD"/>
    <w:rsid w:val="17944956"/>
    <w:rsid w:val="17A821AF"/>
    <w:rsid w:val="17AA520F"/>
    <w:rsid w:val="17AA5F28"/>
    <w:rsid w:val="17AB593A"/>
    <w:rsid w:val="17B4366D"/>
    <w:rsid w:val="17B44838"/>
    <w:rsid w:val="17BE7C25"/>
    <w:rsid w:val="17C70888"/>
    <w:rsid w:val="17CA0378"/>
    <w:rsid w:val="17CA6FE0"/>
    <w:rsid w:val="17D336D0"/>
    <w:rsid w:val="17D71404"/>
    <w:rsid w:val="17D86098"/>
    <w:rsid w:val="17DD3601"/>
    <w:rsid w:val="17EA04AD"/>
    <w:rsid w:val="17F65611"/>
    <w:rsid w:val="17F84EE5"/>
    <w:rsid w:val="18002FD3"/>
    <w:rsid w:val="180552F7"/>
    <w:rsid w:val="180D4CD7"/>
    <w:rsid w:val="181464FC"/>
    <w:rsid w:val="18167C87"/>
    <w:rsid w:val="181B5077"/>
    <w:rsid w:val="181F50D6"/>
    <w:rsid w:val="18381785"/>
    <w:rsid w:val="18440CCE"/>
    <w:rsid w:val="184639D8"/>
    <w:rsid w:val="184E71FB"/>
    <w:rsid w:val="184E796B"/>
    <w:rsid w:val="18553003"/>
    <w:rsid w:val="185A32DE"/>
    <w:rsid w:val="185A5BA0"/>
    <w:rsid w:val="185F5CC0"/>
    <w:rsid w:val="1864257A"/>
    <w:rsid w:val="18644328"/>
    <w:rsid w:val="186500A0"/>
    <w:rsid w:val="18673F30"/>
    <w:rsid w:val="18697B91"/>
    <w:rsid w:val="186C7681"/>
    <w:rsid w:val="186E51A7"/>
    <w:rsid w:val="18911017"/>
    <w:rsid w:val="18963409"/>
    <w:rsid w:val="18975246"/>
    <w:rsid w:val="18A95694"/>
    <w:rsid w:val="18A961DF"/>
    <w:rsid w:val="18BB11EA"/>
    <w:rsid w:val="18C272A1"/>
    <w:rsid w:val="18E3544F"/>
    <w:rsid w:val="18F356AC"/>
    <w:rsid w:val="18F7497E"/>
    <w:rsid w:val="18FC63CC"/>
    <w:rsid w:val="18FC7284"/>
    <w:rsid w:val="190134B3"/>
    <w:rsid w:val="190E74BA"/>
    <w:rsid w:val="19140EF5"/>
    <w:rsid w:val="1917583F"/>
    <w:rsid w:val="19185113"/>
    <w:rsid w:val="192D2531"/>
    <w:rsid w:val="192E77AB"/>
    <w:rsid w:val="19372091"/>
    <w:rsid w:val="193938E2"/>
    <w:rsid w:val="193D6FCC"/>
    <w:rsid w:val="1942676A"/>
    <w:rsid w:val="194F7390"/>
    <w:rsid w:val="19550115"/>
    <w:rsid w:val="195A686C"/>
    <w:rsid w:val="195E7D49"/>
    <w:rsid w:val="196B0D46"/>
    <w:rsid w:val="197770A2"/>
    <w:rsid w:val="19832ED4"/>
    <w:rsid w:val="19946E8F"/>
    <w:rsid w:val="199B47EC"/>
    <w:rsid w:val="19B80DD0"/>
    <w:rsid w:val="19BD53D0"/>
    <w:rsid w:val="19BF7295"/>
    <w:rsid w:val="19C05ED6"/>
    <w:rsid w:val="19C15306"/>
    <w:rsid w:val="19C72DC1"/>
    <w:rsid w:val="19D0792D"/>
    <w:rsid w:val="19D35C0A"/>
    <w:rsid w:val="19D41982"/>
    <w:rsid w:val="19E27BFB"/>
    <w:rsid w:val="19EC0A79"/>
    <w:rsid w:val="19EC6CCB"/>
    <w:rsid w:val="19FC7EF9"/>
    <w:rsid w:val="1A0A0EFF"/>
    <w:rsid w:val="1A0F6516"/>
    <w:rsid w:val="1A113A55"/>
    <w:rsid w:val="1A116732"/>
    <w:rsid w:val="1A1839A8"/>
    <w:rsid w:val="1A1D171F"/>
    <w:rsid w:val="1A2024D1"/>
    <w:rsid w:val="1A27385F"/>
    <w:rsid w:val="1A295829"/>
    <w:rsid w:val="1A4A57A0"/>
    <w:rsid w:val="1A6052D4"/>
    <w:rsid w:val="1A651146"/>
    <w:rsid w:val="1A7068E3"/>
    <w:rsid w:val="1A710DAC"/>
    <w:rsid w:val="1A7F48BE"/>
    <w:rsid w:val="1A83746A"/>
    <w:rsid w:val="1A89451A"/>
    <w:rsid w:val="1A8C5DB8"/>
    <w:rsid w:val="1A9A0701"/>
    <w:rsid w:val="1AA0476B"/>
    <w:rsid w:val="1AA41354"/>
    <w:rsid w:val="1AC13CB4"/>
    <w:rsid w:val="1AC830B4"/>
    <w:rsid w:val="1ACD130B"/>
    <w:rsid w:val="1ACE2356"/>
    <w:rsid w:val="1AD928F8"/>
    <w:rsid w:val="1AE16F05"/>
    <w:rsid w:val="1AEC2805"/>
    <w:rsid w:val="1AED4AA9"/>
    <w:rsid w:val="1AF5395E"/>
    <w:rsid w:val="1B027E29"/>
    <w:rsid w:val="1B082593"/>
    <w:rsid w:val="1B122762"/>
    <w:rsid w:val="1B122F23"/>
    <w:rsid w:val="1B1C0EEA"/>
    <w:rsid w:val="1B1C3C59"/>
    <w:rsid w:val="1B214753"/>
    <w:rsid w:val="1B323CF2"/>
    <w:rsid w:val="1B397CEE"/>
    <w:rsid w:val="1B3D4C27"/>
    <w:rsid w:val="1B42721F"/>
    <w:rsid w:val="1B4B5C73"/>
    <w:rsid w:val="1B612DA1"/>
    <w:rsid w:val="1B697EA8"/>
    <w:rsid w:val="1B7031E1"/>
    <w:rsid w:val="1B77374A"/>
    <w:rsid w:val="1B7F6F38"/>
    <w:rsid w:val="1B882A24"/>
    <w:rsid w:val="1B8B0940"/>
    <w:rsid w:val="1B901429"/>
    <w:rsid w:val="1B972C67"/>
    <w:rsid w:val="1B9B2757"/>
    <w:rsid w:val="1BA62EAA"/>
    <w:rsid w:val="1BA809D0"/>
    <w:rsid w:val="1BAC0B26"/>
    <w:rsid w:val="1BAC5F55"/>
    <w:rsid w:val="1BB43819"/>
    <w:rsid w:val="1BBE6445"/>
    <w:rsid w:val="1BC11D23"/>
    <w:rsid w:val="1BC25F36"/>
    <w:rsid w:val="1BC26017"/>
    <w:rsid w:val="1BC670A8"/>
    <w:rsid w:val="1BCF3911"/>
    <w:rsid w:val="1BD619E1"/>
    <w:rsid w:val="1BDB3E45"/>
    <w:rsid w:val="1BDB7703"/>
    <w:rsid w:val="1BE45E1F"/>
    <w:rsid w:val="1BEC4D61"/>
    <w:rsid w:val="1BF658EF"/>
    <w:rsid w:val="1C024584"/>
    <w:rsid w:val="1C026332"/>
    <w:rsid w:val="1C054074"/>
    <w:rsid w:val="1C071B9A"/>
    <w:rsid w:val="1C14361B"/>
    <w:rsid w:val="1C185B56"/>
    <w:rsid w:val="1C2A7637"/>
    <w:rsid w:val="1C2C6109"/>
    <w:rsid w:val="1C2C7853"/>
    <w:rsid w:val="1C43143D"/>
    <w:rsid w:val="1C4918AC"/>
    <w:rsid w:val="1C4B09DF"/>
    <w:rsid w:val="1C5B3C94"/>
    <w:rsid w:val="1C5E0F7A"/>
    <w:rsid w:val="1C737230"/>
    <w:rsid w:val="1C761D83"/>
    <w:rsid w:val="1C787B9A"/>
    <w:rsid w:val="1C7B4B3F"/>
    <w:rsid w:val="1C7E2CF4"/>
    <w:rsid w:val="1C7F3E27"/>
    <w:rsid w:val="1C8568B5"/>
    <w:rsid w:val="1C933922"/>
    <w:rsid w:val="1C956B84"/>
    <w:rsid w:val="1C9A0F05"/>
    <w:rsid w:val="1CA4388D"/>
    <w:rsid w:val="1CA64228"/>
    <w:rsid w:val="1CBF6A46"/>
    <w:rsid w:val="1CC36D89"/>
    <w:rsid w:val="1CD12D1F"/>
    <w:rsid w:val="1CE343B6"/>
    <w:rsid w:val="1CE41EDC"/>
    <w:rsid w:val="1CE80822"/>
    <w:rsid w:val="1CEC2B3E"/>
    <w:rsid w:val="1CF33F38"/>
    <w:rsid w:val="1D291DE0"/>
    <w:rsid w:val="1D293D92"/>
    <w:rsid w:val="1D337892"/>
    <w:rsid w:val="1D430F7F"/>
    <w:rsid w:val="1D4B5AB7"/>
    <w:rsid w:val="1D4E55A7"/>
    <w:rsid w:val="1D5675C9"/>
    <w:rsid w:val="1D5B5EB7"/>
    <w:rsid w:val="1D5C1A72"/>
    <w:rsid w:val="1D632E00"/>
    <w:rsid w:val="1D6B2C07"/>
    <w:rsid w:val="1D76400B"/>
    <w:rsid w:val="1D774681"/>
    <w:rsid w:val="1D7A1CE3"/>
    <w:rsid w:val="1D7A68B9"/>
    <w:rsid w:val="1D7F01E3"/>
    <w:rsid w:val="1D81597C"/>
    <w:rsid w:val="1D976F4E"/>
    <w:rsid w:val="1DA9032A"/>
    <w:rsid w:val="1DA971D9"/>
    <w:rsid w:val="1DAD2B22"/>
    <w:rsid w:val="1DC064A5"/>
    <w:rsid w:val="1DC1221D"/>
    <w:rsid w:val="1DC44F32"/>
    <w:rsid w:val="1DC6338F"/>
    <w:rsid w:val="1DCB145F"/>
    <w:rsid w:val="1DD0420E"/>
    <w:rsid w:val="1DE43E33"/>
    <w:rsid w:val="1DEA52D0"/>
    <w:rsid w:val="1DF13EE6"/>
    <w:rsid w:val="1DF20628"/>
    <w:rsid w:val="1DF4614E"/>
    <w:rsid w:val="1E021CD3"/>
    <w:rsid w:val="1E032835"/>
    <w:rsid w:val="1E116E56"/>
    <w:rsid w:val="1E130A17"/>
    <w:rsid w:val="1E207B14"/>
    <w:rsid w:val="1E2D340E"/>
    <w:rsid w:val="1E3B5B2B"/>
    <w:rsid w:val="1E3C1A9B"/>
    <w:rsid w:val="1E3C4E80"/>
    <w:rsid w:val="1E4A2212"/>
    <w:rsid w:val="1E4B3A5F"/>
    <w:rsid w:val="1E5109CC"/>
    <w:rsid w:val="1E5B7F7C"/>
    <w:rsid w:val="1E5E46DB"/>
    <w:rsid w:val="1E652798"/>
    <w:rsid w:val="1E661796"/>
    <w:rsid w:val="1E663337"/>
    <w:rsid w:val="1E696778"/>
    <w:rsid w:val="1E6B73A1"/>
    <w:rsid w:val="1E6E167D"/>
    <w:rsid w:val="1E7679C4"/>
    <w:rsid w:val="1E786D7F"/>
    <w:rsid w:val="1E7A2AF8"/>
    <w:rsid w:val="1E7E7488"/>
    <w:rsid w:val="1E83119C"/>
    <w:rsid w:val="1EA01E32"/>
    <w:rsid w:val="1EB346EC"/>
    <w:rsid w:val="1EB9030D"/>
    <w:rsid w:val="1EBF330F"/>
    <w:rsid w:val="1EC5741A"/>
    <w:rsid w:val="1ED90489"/>
    <w:rsid w:val="1EDF7225"/>
    <w:rsid w:val="1EE2244B"/>
    <w:rsid w:val="1EE2660B"/>
    <w:rsid w:val="1EE47AC9"/>
    <w:rsid w:val="1EF73F95"/>
    <w:rsid w:val="1F0423C1"/>
    <w:rsid w:val="1F132C50"/>
    <w:rsid w:val="1F176598"/>
    <w:rsid w:val="1F1D7927"/>
    <w:rsid w:val="1F357B7F"/>
    <w:rsid w:val="1F3C5FFF"/>
    <w:rsid w:val="1F416122"/>
    <w:rsid w:val="1F4E188E"/>
    <w:rsid w:val="1F576995"/>
    <w:rsid w:val="1F5A5454"/>
    <w:rsid w:val="1F5A6485"/>
    <w:rsid w:val="1F5E5F75"/>
    <w:rsid w:val="1F645556"/>
    <w:rsid w:val="1F840AEC"/>
    <w:rsid w:val="1F861028"/>
    <w:rsid w:val="1F8D0609"/>
    <w:rsid w:val="1F8E5386"/>
    <w:rsid w:val="1F8E612F"/>
    <w:rsid w:val="1F996FAD"/>
    <w:rsid w:val="1FAB284B"/>
    <w:rsid w:val="1FAE057F"/>
    <w:rsid w:val="1FB33769"/>
    <w:rsid w:val="1FB65DB1"/>
    <w:rsid w:val="1FBD74F6"/>
    <w:rsid w:val="1FC81641"/>
    <w:rsid w:val="1FCD6C57"/>
    <w:rsid w:val="1FD06747"/>
    <w:rsid w:val="1FD46AEE"/>
    <w:rsid w:val="1FDC6BF8"/>
    <w:rsid w:val="1FE30229"/>
    <w:rsid w:val="1FE71E4B"/>
    <w:rsid w:val="1FE81CE3"/>
    <w:rsid w:val="1FF4576F"/>
    <w:rsid w:val="1FF468DA"/>
    <w:rsid w:val="2000527E"/>
    <w:rsid w:val="200D0F83"/>
    <w:rsid w:val="2019376E"/>
    <w:rsid w:val="202110DB"/>
    <w:rsid w:val="20360CA0"/>
    <w:rsid w:val="20467867"/>
    <w:rsid w:val="204E5001"/>
    <w:rsid w:val="205A4B00"/>
    <w:rsid w:val="20644C30"/>
    <w:rsid w:val="206A094A"/>
    <w:rsid w:val="20855784"/>
    <w:rsid w:val="2093163A"/>
    <w:rsid w:val="209E05F3"/>
    <w:rsid w:val="20A5502A"/>
    <w:rsid w:val="20A95832"/>
    <w:rsid w:val="20B131BB"/>
    <w:rsid w:val="20B47E17"/>
    <w:rsid w:val="20BD6CCC"/>
    <w:rsid w:val="20C30E4D"/>
    <w:rsid w:val="20DA06E7"/>
    <w:rsid w:val="20E22BD6"/>
    <w:rsid w:val="20E51C8A"/>
    <w:rsid w:val="20E8359B"/>
    <w:rsid w:val="20ED3710"/>
    <w:rsid w:val="20FB32E4"/>
    <w:rsid w:val="21057313"/>
    <w:rsid w:val="21091F11"/>
    <w:rsid w:val="210D1AAA"/>
    <w:rsid w:val="211D59BC"/>
    <w:rsid w:val="211F466B"/>
    <w:rsid w:val="21311468"/>
    <w:rsid w:val="213F6706"/>
    <w:rsid w:val="214967B1"/>
    <w:rsid w:val="21505D92"/>
    <w:rsid w:val="216929AF"/>
    <w:rsid w:val="216B737C"/>
    <w:rsid w:val="21817CF9"/>
    <w:rsid w:val="21837301"/>
    <w:rsid w:val="21861575"/>
    <w:rsid w:val="218B3DFB"/>
    <w:rsid w:val="21973887"/>
    <w:rsid w:val="219A0E50"/>
    <w:rsid w:val="21A07893"/>
    <w:rsid w:val="21A1039B"/>
    <w:rsid w:val="21A835DE"/>
    <w:rsid w:val="21AF76DB"/>
    <w:rsid w:val="21BB2D5A"/>
    <w:rsid w:val="21C61BB0"/>
    <w:rsid w:val="21D4251F"/>
    <w:rsid w:val="21DB2433"/>
    <w:rsid w:val="21E32762"/>
    <w:rsid w:val="21E41F66"/>
    <w:rsid w:val="21E4596C"/>
    <w:rsid w:val="21F77FBB"/>
    <w:rsid w:val="22150104"/>
    <w:rsid w:val="22162B37"/>
    <w:rsid w:val="22194C96"/>
    <w:rsid w:val="22257E6E"/>
    <w:rsid w:val="222F1E4B"/>
    <w:rsid w:val="222F3BF9"/>
    <w:rsid w:val="22356D36"/>
    <w:rsid w:val="223905D4"/>
    <w:rsid w:val="22516416"/>
    <w:rsid w:val="225673D8"/>
    <w:rsid w:val="22576CAC"/>
    <w:rsid w:val="22590C76"/>
    <w:rsid w:val="22617B2B"/>
    <w:rsid w:val="22673393"/>
    <w:rsid w:val="22684985"/>
    <w:rsid w:val="226D4721"/>
    <w:rsid w:val="226E0871"/>
    <w:rsid w:val="22723AE6"/>
    <w:rsid w:val="227C4964"/>
    <w:rsid w:val="227F4BB4"/>
    <w:rsid w:val="228054F5"/>
    <w:rsid w:val="228201CD"/>
    <w:rsid w:val="22861DA0"/>
    <w:rsid w:val="22883C87"/>
    <w:rsid w:val="22951B03"/>
    <w:rsid w:val="229972C4"/>
    <w:rsid w:val="229D08A0"/>
    <w:rsid w:val="229E48DB"/>
    <w:rsid w:val="22AB7CC8"/>
    <w:rsid w:val="22AF6E32"/>
    <w:rsid w:val="22B20386"/>
    <w:rsid w:val="22B64E26"/>
    <w:rsid w:val="22B66D05"/>
    <w:rsid w:val="22BE6D2B"/>
    <w:rsid w:val="22C63A50"/>
    <w:rsid w:val="22CA55C7"/>
    <w:rsid w:val="22D221CB"/>
    <w:rsid w:val="22D402FC"/>
    <w:rsid w:val="22D8603F"/>
    <w:rsid w:val="22DB5B2F"/>
    <w:rsid w:val="22E542B8"/>
    <w:rsid w:val="22EC725D"/>
    <w:rsid w:val="22F56664"/>
    <w:rsid w:val="23040886"/>
    <w:rsid w:val="23045086"/>
    <w:rsid w:val="23122559"/>
    <w:rsid w:val="23131CCD"/>
    <w:rsid w:val="23251F96"/>
    <w:rsid w:val="2331727F"/>
    <w:rsid w:val="2341673D"/>
    <w:rsid w:val="23451001"/>
    <w:rsid w:val="234869D6"/>
    <w:rsid w:val="23574A0C"/>
    <w:rsid w:val="237F64BA"/>
    <w:rsid w:val="23854D4F"/>
    <w:rsid w:val="23887A65"/>
    <w:rsid w:val="238D75A2"/>
    <w:rsid w:val="239161EE"/>
    <w:rsid w:val="23924A52"/>
    <w:rsid w:val="239A6F0C"/>
    <w:rsid w:val="239C52BE"/>
    <w:rsid w:val="23A233FC"/>
    <w:rsid w:val="23A23767"/>
    <w:rsid w:val="23AA0FC1"/>
    <w:rsid w:val="23AE6D9F"/>
    <w:rsid w:val="23C81C42"/>
    <w:rsid w:val="23CB7951"/>
    <w:rsid w:val="23D762F6"/>
    <w:rsid w:val="23D83E1C"/>
    <w:rsid w:val="23E71545"/>
    <w:rsid w:val="23E9602A"/>
    <w:rsid w:val="23EC5C89"/>
    <w:rsid w:val="23FE75A4"/>
    <w:rsid w:val="240864B0"/>
    <w:rsid w:val="240B32A5"/>
    <w:rsid w:val="24126BBC"/>
    <w:rsid w:val="241A569F"/>
    <w:rsid w:val="2420033E"/>
    <w:rsid w:val="242127C9"/>
    <w:rsid w:val="24212F0F"/>
    <w:rsid w:val="24273CB2"/>
    <w:rsid w:val="242816A1"/>
    <w:rsid w:val="242B6642"/>
    <w:rsid w:val="24345557"/>
    <w:rsid w:val="245D0431"/>
    <w:rsid w:val="24601679"/>
    <w:rsid w:val="24651B54"/>
    <w:rsid w:val="246D6C5B"/>
    <w:rsid w:val="24774C92"/>
    <w:rsid w:val="247C6455"/>
    <w:rsid w:val="247F4950"/>
    <w:rsid w:val="24822706"/>
    <w:rsid w:val="24834912"/>
    <w:rsid w:val="24893384"/>
    <w:rsid w:val="248C222A"/>
    <w:rsid w:val="248C335D"/>
    <w:rsid w:val="249064A5"/>
    <w:rsid w:val="24A51F50"/>
    <w:rsid w:val="24A6765C"/>
    <w:rsid w:val="24AB6318"/>
    <w:rsid w:val="24AC6F06"/>
    <w:rsid w:val="24B2537B"/>
    <w:rsid w:val="24BF2016"/>
    <w:rsid w:val="24C06D8A"/>
    <w:rsid w:val="24C10BC5"/>
    <w:rsid w:val="24C4205E"/>
    <w:rsid w:val="24CA32FF"/>
    <w:rsid w:val="24CA7C09"/>
    <w:rsid w:val="24CB478F"/>
    <w:rsid w:val="24CE1659"/>
    <w:rsid w:val="24D67F08"/>
    <w:rsid w:val="24DE4D82"/>
    <w:rsid w:val="24E44819"/>
    <w:rsid w:val="24E87A6B"/>
    <w:rsid w:val="24E94533"/>
    <w:rsid w:val="24F124BD"/>
    <w:rsid w:val="24F56947"/>
    <w:rsid w:val="24F904EE"/>
    <w:rsid w:val="24FA0C9D"/>
    <w:rsid w:val="24FE0AAE"/>
    <w:rsid w:val="2501777F"/>
    <w:rsid w:val="251F7F55"/>
    <w:rsid w:val="25407257"/>
    <w:rsid w:val="25455E14"/>
    <w:rsid w:val="255552F4"/>
    <w:rsid w:val="2557740C"/>
    <w:rsid w:val="25586D5D"/>
    <w:rsid w:val="2560191A"/>
    <w:rsid w:val="25647C5C"/>
    <w:rsid w:val="256D6F65"/>
    <w:rsid w:val="257162D7"/>
    <w:rsid w:val="257302A1"/>
    <w:rsid w:val="25781413"/>
    <w:rsid w:val="258129BE"/>
    <w:rsid w:val="25845748"/>
    <w:rsid w:val="25861D82"/>
    <w:rsid w:val="258724D7"/>
    <w:rsid w:val="258A442B"/>
    <w:rsid w:val="258C4EBE"/>
    <w:rsid w:val="258D6706"/>
    <w:rsid w:val="2593449F"/>
    <w:rsid w:val="25A227CF"/>
    <w:rsid w:val="25A57CC0"/>
    <w:rsid w:val="25B46E19"/>
    <w:rsid w:val="25B85CB3"/>
    <w:rsid w:val="25CF7214"/>
    <w:rsid w:val="25D358B6"/>
    <w:rsid w:val="25D36F91"/>
    <w:rsid w:val="25DB2F2D"/>
    <w:rsid w:val="25E1345C"/>
    <w:rsid w:val="26045E59"/>
    <w:rsid w:val="260A2C16"/>
    <w:rsid w:val="26117B5D"/>
    <w:rsid w:val="26127ABA"/>
    <w:rsid w:val="262477ED"/>
    <w:rsid w:val="2626575D"/>
    <w:rsid w:val="262D48F3"/>
    <w:rsid w:val="26306192"/>
    <w:rsid w:val="263918E5"/>
    <w:rsid w:val="263E265D"/>
    <w:rsid w:val="26413EFB"/>
    <w:rsid w:val="264F6D71"/>
    <w:rsid w:val="2650413E"/>
    <w:rsid w:val="26513EE5"/>
    <w:rsid w:val="265359DC"/>
    <w:rsid w:val="26561C3E"/>
    <w:rsid w:val="2658553D"/>
    <w:rsid w:val="265D0C6A"/>
    <w:rsid w:val="2662624B"/>
    <w:rsid w:val="267B28F2"/>
    <w:rsid w:val="267C4F33"/>
    <w:rsid w:val="268918DF"/>
    <w:rsid w:val="26911F71"/>
    <w:rsid w:val="26912B6E"/>
    <w:rsid w:val="26A36964"/>
    <w:rsid w:val="26A37F72"/>
    <w:rsid w:val="26A650A8"/>
    <w:rsid w:val="26AF70B6"/>
    <w:rsid w:val="26B11081"/>
    <w:rsid w:val="26B96187"/>
    <w:rsid w:val="26C1503C"/>
    <w:rsid w:val="26C40BDF"/>
    <w:rsid w:val="26C64400"/>
    <w:rsid w:val="26CF1507"/>
    <w:rsid w:val="26D905D7"/>
    <w:rsid w:val="26F52198"/>
    <w:rsid w:val="2711135F"/>
    <w:rsid w:val="271B474C"/>
    <w:rsid w:val="271D7FA2"/>
    <w:rsid w:val="27252BF1"/>
    <w:rsid w:val="273C0C2A"/>
    <w:rsid w:val="27513C7C"/>
    <w:rsid w:val="275163C0"/>
    <w:rsid w:val="275B2D9A"/>
    <w:rsid w:val="27606603"/>
    <w:rsid w:val="276245BC"/>
    <w:rsid w:val="27652186"/>
    <w:rsid w:val="27687735"/>
    <w:rsid w:val="276A7481"/>
    <w:rsid w:val="2773355F"/>
    <w:rsid w:val="277B343D"/>
    <w:rsid w:val="277F4CDB"/>
    <w:rsid w:val="278301EA"/>
    <w:rsid w:val="27862302"/>
    <w:rsid w:val="27923D8F"/>
    <w:rsid w:val="27A847C5"/>
    <w:rsid w:val="27B4507C"/>
    <w:rsid w:val="27BB1274"/>
    <w:rsid w:val="27C22E19"/>
    <w:rsid w:val="27C9064C"/>
    <w:rsid w:val="27CC5A46"/>
    <w:rsid w:val="27D05336"/>
    <w:rsid w:val="27EE3C0E"/>
    <w:rsid w:val="28046B4F"/>
    <w:rsid w:val="28060C67"/>
    <w:rsid w:val="28094EEC"/>
    <w:rsid w:val="281F026C"/>
    <w:rsid w:val="2821230B"/>
    <w:rsid w:val="284611E4"/>
    <w:rsid w:val="284B0EC0"/>
    <w:rsid w:val="28536270"/>
    <w:rsid w:val="28573466"/>
    <w:rsid w:val="285A74F6"/>
    <w:rsid w:val="285C326E"/>
    <w:rsid w:val="285F2031"/>
    <w:rsid w:val="286A38CA"/>
    <w:rsid w:val="286E4D4F"/>
    <w:rsid w:val="28700AC7"/>
    <w:rsid w:val="287953DF"/>
    <w:rsid w:val="2879797C"/>
    <w:rsid w:val="287F390C"/>
    <w:rsid w:val="28813C95"/>
    <w:rsid w:val="288527C5"/>
    <w:rsid w:val="2891635B"/>
    <w:rsid w:val="289301D4"/>
    <w:rsid w:val="28A15125"/>
    <w:rsid w:val="28A32C4B"/>
    <w:rsid w:val="28A80261"/>
    <w:rsid w:val="28AC2DD8"/>
    <w:rsid w:val="28B07116"/>
    <w:rsid w:val="28B53499"/>
    <w:rsid w:val="28B70436"/>
    <w:rsid w:val="28BC3D0D"/>
    <w:rsid w:val="28C54AA9"/>
    <w:rsid w:val="28C55834"/>
    <w:rsid w:val="28E07281"/>
    <w:rsid w:val="28ED2118"/>
    <w:rsid w:val="28F04484"/>
    <w:rsid w:val="28F2001B"/>
    <w:rsid w:val="28F2772E"/>
    <w:rsid w:val="28F33BD2"/>
    <w:rsid w:val="28FE3486"/>
    <w:rsid w:val="291D4652"/>
    <w:rsid w:val="292875F4"/>
    <w:rsid w:val="293145B7"/>
    <w:rsid w:val="293164A9"/>
    <w:rsid w:val="29406294"/>
    <w:rsid w:val="29424212"/>
    <w:rsid w:val="29626662"/>
    <w:rsid w:val="296B6D7E"/>
    <w:rsid w:val="29712D49"/>
    <w:rsid w:val="297F5D39"/>
    <w:rsid w:val="29820AB2"/>
    <w:rsid w:val="29852351"/>
    <w:rsid w:val="2994509F"/>
    <w:rsid w:val="29BE48F3"/>
    <w:rsid w:val="29BF52CD"/>
    <w:rsid w:val="29C21DF8"/>
    <w:rsid w:val="29CC1CFC"/>
    <w:rsid w:val="29CE019B"/>
    <w:rsid w:val="29D11A3A"/>
    <w:rsid w:val="29E6481D"/>
    <w:rsid w:val="29ED2BA7"/>
    <w:rsid w:val="29FA689B"/>
    <w:rsid w:val="2A024C96"/>
    <w:rsid w:val="2A0714E1"/>
    <w:rsid w:val="2A272C6B"/>
    <w:rsid w:val="2A2F10F1"/>
    <w:rsid w:val="2A3C3357"/>
    <w:rsid w:val="2A4E7920"/>
    <w:rsid w:val="2A704DAF"/>
    <w:rsid w:val="2A7C3754"/>
    <w:rsid w:val="2A7D0251"/>
    <w:rsid w:val="2A7D74CC"/>
    <w:rsid w:val="2A815802"/>
    <w:rsid w:val="2A89562B"/>
    <w:rsid w:val="2A8A7404"/>
    <w:rsid w:val="2A9D36CA"/>
    <w:rsid w:val="2A9F0D82"/>
    <w:rsid w:val="2AA52623"/>
    <w:rsid w:val="2AA8279A"/>
    <w:rsid w:val="2AA84549"/>
    <w:rsid w:val="2AAF3E61"/>
    <w:rsid w:val="2ABC587B"/>
    <w:rsid w:val="2ACF798F"/>
    <w:rsid w:val="2ADD5CED"/>
    <w:rsid w:val="2ADE4BF7"/>
    <w:rsid w:val="2AEF2CAC"/>
    <w:rsid w:val="2AF459E0"/>
    <w:rsid w:val="2AF754D0"/>
    <w:rsid w:val="2AF94E8D"/>
    <w:rsid w:val="2AFE685E"/>
    <w:rsid w:val="2B050994"/>
    <w:rsid w:val="2B1B15F8"/>
    <w:rsid w:val="2B204A27"/>
    <w:rsid w:val="2B237433"/>
    <w:rsid w:val="2B255B99"/>
    <w:rsid w:val="2B277B63"/>
    <w:rsid w:val="2B2C5C99"/>
    <w:rsid w:val="2B365FF8"/>
    <w:rsid w:val="2B3B53BD"/>
    <w:rsid w:val="2B4321B4"/>
    <w:rsid w:val="2B44429C"/>
    <w:rsid w:val="2B496BF1"/>
    <w:rsid w:val="2B5C5333"/>
    <w:rsid w:val="2B69251F"/>
    <w:rsid w:val="2B6F5066"/>
    <w:rsid w:val="2B715282"/>
    <w:rsid w:val="2B794137"/>
    <w:rsid w:val="2B844556"/>
    <w:rsid w:val="2B8723B0"/>
    <w:rsid w:val="2B8C3E6A"/>
    <w:rsid w:val="2B8E1990"/>
    <w:rsid w:val="2B954448"/>
    <w:rsid w:val="2B97636B"/>
    <w:rsid w:val="2B980A61"/>
    <w:rsid w:val="2BA271EA"/>
    <w:rsid w:val="2BA967CA"/>
    <w:rsid w:val="2BB5659B"/>
    <w:rsid w:val="2BB7383F"/>
    <w:rsid w:val="2BB94533"/>
    <w:rsid w:val="2BC5737C"/>
    <w:rsid w:val="2BC90C1A"/>
    <w:rsid w:val="2BCA042B"/>
    <w:rsid w:val="2BD20463"/>
    <w:rsid w:val="2BD27F42"/>
    <w:rsid w:val="2BDA1BE3"/>
    <w:rsid w:val="2BE45A54"/>
    <w:rsid w:val="2BE75544"/>
    <w:rsid w:val="2BEC2B5B"/>
    <w:rsid w:val="2BFB29F2"/>
    <w:rsid w:val="2BFE3AEE"/>
    <w:rsid w:val="2C043A01"/>
    <w:rsid w:val="2C057779"/>
    <w:rsid w:val="2C077995"/>
    <w:rsid w:val="2C197C11"/>
    <w:rsid w:val="2C1D0375"/>
    <w:rsid w:val="2C275A51"/>
    <w:rsid w:val="2C282B4F"/>
    <w:rsid w:val="2C286CBB"/>
    <w:rsid w:val="2C293467"/>
    <w:rsid w:val="2C2E38D8"/>
    <w:rsid w:val="2C33078A"/>
    <w:rsid w:val="2C4E6D35"/>
    <w:rsid w:val="2C527DA2"/>
    <w:rsid w:val="2C551449"/>
    <w:rsid w:val="2C5661E7"/>
    <w:rsid w:val="2C657E08"/>
    <w:rsid w:val="2C67706B"/>
    <w:rsid w:val="2C775033"/>
    <w:rsid w:val="2C824AFC"/>
    <w:rsid w:val="2CAB6572"/>
    <w:rsid w:val="2CB01296"/>
    <w:rsid w:val="2CB1385F"/>
    <w:rsid w:val="2CB92C37"/>
    <w:rsid w:val="2CBC2566"/>
    <w:rsid w:val="2CBD0053"/>
    <w:rsid w:val="2CC118F2"/>
    <w:rsid w:val="2CCA435A"/>
    <w:rsid w:val="2CD2018C"/>
    <w:rsid w:val="2CDD4252"/>
    <w:rsid w:val="2CE33F5E"/>
    <w:rsid w:val="2CF03F85"/>
    <w:rsid w:val="2CF07B2C"/>
    <w:rsid w:val="2CF55A62"/>
    <w:rsid w:val="2CFF5A86"/>
    <w:rsid w:val="2D157E8F"/>
    <w:rsid w:val="2D177764"/>
    <w:rsid w:val="2D1B54A6"/>
    <w:rsid w:val="2D236108"/>
    <w:rsid w:val="2D2C32D2"/>
    <w:rsid w:val="2D3E73E6"/>
    <w:rsid w:val="2D48632D"/>
    <w:rsid w:val="2D4B32EB"/>
    <w:rsid w:val="2D546C0A"/>
    <w:rsid w:val="2D5B1D46"/>
    <w:rsid w:val="2D7F019D"/>
    <w:rsid w:val="2D8D21DF"/>
    <w:rsid w:val="2D8F19F0"/>
    <w:rsid w:val="2D91641F"/>
    <w:rsid w:val="2D986AF6"/>
    <w:rsid w:val="2DA15F14"/>
    <w:rsid w:val="2DA67FD9"/>
    <w:rsid w:val="2DAA682A"/>
    <w:rsid w:val="2DB24F00"/>
    <w:rsid w:val="2DB317B9"/>
    <w:rsid w:val="2DB32EFA"/>
    <w:rsid w:val="2DB50D6C"/>
    <w:rsid w:val="2DD27913"/>
    <w:rsid w:val="2DD85145"/>
    <w:rsid w:val="2DE06617"/>
    <w:rsid w:val="2DE30850"/>
    <w:rsid w:val="2DEA4459"/>
    <w:rsid w:val="2DED6716"/>
    <w:rsid w:val="2DF86A5D"/>
    <w:rsid w:val="2E0A72C8"/>
    <w:rsid w:val="2E183793"/>
    <w:rsid w:val="2E1D237F"/>
    <w:rsid w:val="2E1F2D74"/>
    <w:rsid w:val="2E276A03"/>
    <w:rsid w:val="2E293BF2"/>
    <w:rsid w:val="2E2C36E3"/>
    <w:rsid w:val="2E2E7F5D"/>
    <w:rsid w:val="2E3329E3"/>
    <w:rsid w:val="2E3D144C"/>
    <w:rsid w:val="2E3F7067"/>
    <w:rsid w:val="2E4D6CCF"/>
    <w:rsid w:val="2E514BF9"/>
    <w:rsid w:val="2E641A99"/>
    <w:rsid w:val="2E862DF3"/>
    <w:rsid w:val="2E8928E3"/>
    <w:rsid w:val="2EB15996"/>
    <w:rsid w:val="2EB502FE"/>
    <w:rsid w:val="2EBF00B3"/>
    <w:rsid w:val="2ED20D19"/>
    <w:rsid w:val="2ED578D6"/>
    <w:rsid w:val="2EE35D70"/>
    <w:rsid w:val="2EEB0EA8"/>
    <w:rsid w:val="2F041F69"/>
    <w:rsid w:val="2F0864DE"/>
    <w:rsid w:val="2F0D617F"/>
    <w:rsid w:val="2F0F27BB"/>
    <w:rsid w:val="2F0F735E"/>
    <w:rsid w:val="2F154A8F"/>
    <w:rsid w:val="2F191EB9"/>
    <w:rsid w:val="2F313E39"/>
    <w:rsid w:val="2F364819"/>
    <w:rsid w:val="2F3B658B"/>
    <w:rsid w:val="2F3F27D7"/>
    <w:rsid w:val="2F494D5F"/>
    <w:rsid w:val="2F4B7B98"/>
    <w:rsid w:val="2F572ED3"/>
    <w:rsid w:val="2F601896"/>
    <w:rsid w:val="2F644435"/>
    <w:rsid w:val="2F7166FB"/>
    <w:rsid w:val="2F740E9D"/>
    <w:rsid w:val="2F7470EF"/>
    <w:rsid w:val="2F7B4FA2"/>
    <w:rsid w:val="2F7B5291"/>
    <w:rsid w:val="2F897353"/>
    <w:rsid w:val="2F8F1C84"/>
    <w:rsid w:val="2F9123DE"/>
    <w:rsid w:val="2F9F7D65"/>
    <w:rsid w:val="2FAA48BF"/>
    <w:rsid w:val="2FC23FDA"/>
    <w:rsid w:val="2FD9466E"/>
    <w:rsid w:val="2FDD4C94"/>
    <w:rsid w:val="2FDE6441"/>
    <w:rsid w:val="2FE80716"/>
    <w:rsid w:val="2FF3270A"/>
    <w:rsid w:val="30011ADE"/>
    <w:rsid w:val="3017590C"/>
    <w:rsid w:val="302428C3"/>
    <w:rsid w:val="3025488D"/>
    <w:rsid w:val="302E44B1"/>
    <w:rsid w:val="303B7C0D"/>
    <w:rsid w:val="303F598D"/>
    <w:rsid w:val="30406FD1"/>
    <w:rsid w:val="30450A8C"/>
    <w:rsid w:val="304A3AB2"/>
    <w:rsid w:val="304C5976"/>
    <w:rsid w:val="304F6F88"/>
    <w:rsid w:val="306A22A0"/>
    <w:rsid w:val="30865E1D"/>
    <w:rsid w:val="30881B66"/>
    <w:rsid w:val="309C68FD"/>
    <w:rsid w:val="30A13115"/>
    <w:rsid w:val="30A510F5"/>
    <w:rsid w:val="30A92DC8"/>
    <w:rsid w:val="30B654E5"/>
    <w:rsid w:val="30B7248E"/>
    <w:rsid w:val="30BC0D4E"/>
    <w:rsid w:val="30C2376F"/>
    <w:rsid w:val="30C61B6F"/>
    <w:rsid w:val="30C714A1"/>
    <w:rsid w:val="30C86A3D"/>
    <w:rsid w:val="30CE0A81"/>
    <w:rsid w:val="30D047F9"/>
    <w:rsid w:val="30D342E9"/>
    <w:rsid w:val="30D60C1A"/>
    <w:rsid w:val="30D86B55"/>
    <w:rsid w:val="30DF2C8E"/>
    <w:rsid w:val="30E02716"/>
    <w:rsid w:val="30E0658C"/>
    <w:rsid w:val="30E103D8"/>
    <w:rsid w:val="30E16A06"/>
    <w:rsid w:val="30E31097"/>
    <w:rsid w:val="30EC280E"/>
    <w:rsid w:val="30EE1123"/>
    <w:rsid w:val="30F43016"/>
    <w:rsid w:val="30F46739"/>
    <w:rsid w:val="30F524B2"/>
    <w:rsid w:val="31003887"/>
    <w:rsid w:val="310224D9"/>
    <w:rsid w:val="3115045E"/>
    <w:rsid w:val="311C359A"/>
    <w:rsid w:val="31216E03"/>
    <w:rsid w:val="312863E3"/>
    <w:rsid w:val="312B32C2"/>
    <w:rsid w:val="313054A7"/>
    <w:rsid w:val="31344D88"/>
    <w:rsid w:val="31374F07"/>
    <w:rsid w:val="313B4368"/>
    <w:rsid w:val="31412F4D"/>
    <w:rsid w:val="31447122"/>
    <w:rsid w:val="314A4B65"/>
    <w:rsid w:val="317909ED"/>
    <w:rsid w:val="3179279B"/>
    <w:rsid w:val="317E2405"/>
    <w:rsid w:val="318B0720"/>
    <w:rsid w:val="31903F88"/>
    <w:rsid w:val="31921AAF"/>
    <w:rsid w:val="31932B1B"/>
    <w:rsid w:val="319E0453"/>
    <w:rsid w:val="31A87524"/>
    <w:rsid w:val="31B03453"/>
    <w:rsid w:val="31B53264"/>
    <w:rsid w:val="31B7224A"/>
    <w:rsid w:val="31B77767"/>
    <w:rsid w:val="31C71345"/>
    <w:rsid w:val="31C816DA"/>
    <w:rsid w:val="31C845BB"/>
    <w:rsid w:val="31CF63D5"/>
    <w:rsid w:val="31D65E3F"/>
    <w:rsid w:val="31D73965"/>
    <w:rsid w:val="31E3055C"/>
    <w:rsid w:val="31E8646E"/>
    <w:rsid w:val="31F369F1"/>
    <w:rsid w:val="31FB7654"/>
    <w:rsid w:val="320D376A"/>
    <w:rsid w:val="321626E0"/>
    <w:rsid w:val="322272D6"/>
    <w:rsid w:val="322546D1"/>
    <w:rsid w:val="32262382"/>
    <w:rsid w:val="32286157"/>
    <w:rsid w:val="322B7A62"/>
    <w:rsid w:val="322D17D7"/>
    <w:rsid w:val="32384404"/>
    <w:rsid w:val="323D1A1A"/>
    <w:rsid w:val="32450250"/>
    <w:rsid w:val="32456B21"/>
    <w:rsid w:val="325C268F"/>
    <w:rsid w:val="325F4087"/>
    <w:rsid w:val="326771FA"/>
    <w:rsid w:val="326E42CA"/>
    <w:rsid w:val="32747406"/>
    <w:rsid w:val="327A0409"/>
    <w:rsid w:val="32832997"/>
    <w:rsid w:val="32913F27"/>
    <w:rsid w:val="32952607"/>
    <w:rsid w:val="329F4D04"/>
    <w:rsid w:val="32A01FA9"/>
    <w:rsid w:val="32A058A2"/>
    <w:rsid w:val="32A23F73"/>
    <w:rsid w:val="32A80A7D"/>
    <w:rsid w:val="32B048E2"/>
    <w:rsid w:val="32B91A02"/>
    <w:rsid w:val="32BA12BD"/>
    <w:rsid w:val="32BB4031"/>
    <w:rsid w:val="32C03D43"/>
    <w:rsid w:val="32C11C35"/>
    <w:rsid w:val="32D06D32"/>
    <w:rsid w:val="32DB666D"/>
    <w:rsid w:val="32E008FA"/>
    <w:rsid w:val="32E71C05"/>
    <w:rsid w:val="32EE471C"/>
    <w:rsid w:val="32F16677"/>
    <w:rsid w:val="32FD11AA"/>
    <w:rsid w:val="32FE389F"/>
    <w:rsid w:val="32FF3174"/>
    <w:rsid w:val="331165AB"/>
    <w:rsid w:val="33142830"/>
    <w:rsid w:val="331A77C2"/>
    <w:rsid w:val="33294694"/>
    <w:rsid w:val="33303518"/>
    <w:rsid w:val="333059C5"/>
    <w:rsid w:val="33314E12"/>
    <w:rsid w:val="333D5A4A"/>
    <w:rsid w:val="335334BF"/>
    <w:rsid w:val="335A1F1F"/>
    <w:rsid w:val="335F08A3"/>
    <w:rsid w:val="335F23E7"/>
    <w:rsid w:val="336631F3"/>
    <w:rsid w:val="336A106A"/>
    <w:rsid w:val="33727DEA"/>
    <w:rsid w:val="33784BF7"/>
    <w:rsid w:val="337B7354"/>
    <w:rsid w:val="33867AAC"/>
    <w:rsid w:val="338A1C5E"/>
    <w:rsid w:val="339935C8"/>
    <w:rsid w:val="33BE4DDD"/>
    <w:rsid w:val="33C77ECB"/>
    <w:rsid w:val="33D22636"/>
    <w:rsid w:val="33D47F14"/>
    <w:rsid w:val="33DC5A1E"/>
    <w:rsid w:val="33F26952"/>
    <w:rsid w:val="33F355A7"/>
    <w:rsid w:val="33F64577"/>
    <w:rsid w:val="33F7209D"/>
    <w:rsid w:val="340A2E41"/>
    <w:rsid w:val="340D18C0"/>
    <w:rsid w:val="340D1B3C"/>
    <w:rsid w:val="34313801"/>
    <w:rsid w:val="344277BC"/>
    <w:rsid w:val="34451FE8"/>
    <w:rsid w:val="34452D8A"/>
    <w:rsid w:val="34476B80"/>
    <w:rsid w:val="34497D47"/>
    <w:rsid w:val="344F5000"/>
    <w:rsid w:val="346C2A8B"/>
    <w:rsid w:val="346E6803"/>
    <w:rsid w:val="34796F56"/>
    <w:rsid w:val="348778C5"/>
    <w:rsid w:val="348A4CBF"/>
    <w:rsid w:val="348F22D5"/>
    <w:rsid w:val="3490711A"/>
    <w:rsid w:val="3491604D"/>
    <w:rsid w:val="34921F89"/>
    <w:rsid w:val="349331C1"/>
    <w:rsid w:val="34940F28"/>
    <w:rsid w:val="3499383D"/>
    <w:rsid w:val="34A16C46"/>
    <w:rsid w:val="34A42225"/>
    <w:rsid w:val="34B23E72"/>
    <w:rsid w:val="34B33D14"/>
    <w:rsid w:val="34B34216"/>
    <w:rsid w:val="34C93A39"/>
    <w:rsid w:val="34CE2DFE"/>
    <w:rsid w:val="34D36666"/>
    <w:rsid w:val="34D923E8"/>
    <w:rsid w:val="34D92B92"/>
    <w:rsid w:val="34DF14AF"/>
    <w:rsid w:val="34EE34A0"/>
    <w:rsid w:val="35002144"/>
    <w:rsid w:val="350B4052"/>
    <w:rsid w:val="350E5A70"/>
    <w:rsid w:val="350E718F"/>
    <w:rsid w:val="351A24E7"/>
    <w:rsid w:val="35281527"/>
    <w:rsid w:val="35282378"/>
    <w:rsid w:val="352B5483"/>
    <w:rsid w:val="352E7D40"/>
    <w:rsid w:val="35304312"/>
    <w:rsid w:val="35356CED"/>
    <w:rsid w:val="353C2C2A"/>
    <w:rsid w:val="35410F67"/>
    <w:rsid w:val="354D6418"/>
    <w:rsid w:val="355552CD"/>
    <w:rsid w:val="35613C72"/>
    <w:rsid w:val="356236AB"/>
    <w:rsid w:val="3564627D"/>
    <w:rsid w:val="35700359"/>
    <w:rsid w:val="35713A03"/>
    <w:rsid w:val="35843E04"/>
    <w:rsid w:val="358F4C83"/>
    <w:rsid w:val="35B5220F"/>
    <w:rsid w:val="35BF4E3C"/>
    <w:rsid w:val="35C74294"/>
    <w:rsid w:val="35DC779C"/>
    <w:rsid w:val="36032EC9"/>
    <w:rsid w:val="36054C9A"/>
    <w:rsid w:val="360A4309"/>
    <w:rsid w:val="36127662"/>
    <w:rsid w:val="3615572B"/>
    <w:rsid w:val="361840AC"/>
    <w:rsid w:val="361A4768"/>
    <w:rsid w:val="36230175"/>
    <w:rsid w:val="3624379C"/>
    <w:rsid w:val="362C24D2"/>
    <w:rsid w:val="363E0998"/>
    <w:rsid w:val="3641163C"/>
    <w:rsid w:val="36453593"/>
    <w:rsid w:val="36527A5E"/>
    <w:rsid w:val="36530A1D"/>
    <w:rsid w:val="365B2DB7"/>
    <w:rsid w:val="36644727"/>
    <w:rsid w:val="366E2AEA"/>
    <w:rsid w:val="36751D82"/>
    <w:rsid w:val="36753638"/>
    <w:rsid w:val="3683779F"/>
    <w:rsid w:val="369058E0"/>
    <w:rsid w:val="36BC7A7B"/>
    <w:rsid w:val="36CC7811"/>
    <w:rsid w:val="36D84407"/>
    <w:rsid w:val="36D952F5"/>
    <w:rsid w:val="36DB5CA6"/>
    <w:rsid w:val="36DE12F2"/>
    <w:rsid w:val="36E025F7"/>
    <w:rsid w:val="36EE79FD"/>
    <w:rsid w:val="36F30A6D"/>
    <w:rsid w:val="36F40B16"/>
    <w:rsid w:val="36F90A3C"/>
    <w:rsid w:val="370276FA"/>
    <w:rsid w:val="37031712"/>
    <w:rsid w:val="370929E0"/>
    <w:rsid w:val="37205FF6"/>
    <w:rsid w:val="372D1AA0"/>
    <w:rsid w:val="37313B18"/>
    <w:rsid w:val="3736112E"/>
    <w:rsid w:val="3741474B"/>
    <w:rsid w:val="374E0226"/>
    <w:rsid w:val="37623CD1"/>
    <w:rsid w:val="3764214E"/>
    <w:rsid w:val="37673BCA"/>
    <w:rsid w:val="376F7A7E"/>
    <w:rsid w:val="37732E50"/>
    <w:rsid w:val="37797999"/>
    <w:rsid w:val="377B018F"/>
    <w:rsid w:val="3789244E"/>
    <w:rsid w:val="378C2AA9"/>
    <w:rsid w:val="378E64BD"/>
    <w:rsid w:val="37936580"/>
    <w:rsid w:val="37977E1F"/>
    <w:rsid w:val="379F0A89"/>
    <w:rsid w:val="37A367C3"/>
    <w:rsid w:val="37A8202C"/>
    <w:rsid w:val="37B06B2D"/>
    <w:rsid w:val="37BB72AC"/>
    <w:rsid w:val="37C678CF"/>
    <w:rsid w:val="37C837F4"/>
    <w:rsid w:val="37D119EB"/>
    <w:rsid w:val="37EA43F2"/>
    <w:rsid w:val="37ED3EE3"/>
    <w:rsid w:val="380A2C52"/>
    <w:rsid w:val="380B25BB"/>
    <w:rsid w:val="381103EC"/>
    <w:rsid w:val="3828316D"/>
    <w:rsid w:val="38305B7D"/>
    <w:rsid w:val="3837515E"/>
    <w:rsid w:val="38417D8A"/>
    <w:rsid w:val="384358B1"/>
    <w:rsid w:val="38455ACD"/>
    <w:rsid w:val="38593326"/>
    <w:rsid w:val="385950D4"/>
    <w:rsid w:val="385C2AB2"/>
    <w:rsid w:val="3874228F"/>
    <w:rsid w:val="38871C41"/>
    <w:rsid w:val="388757C8"/>
    <w:rsid w:val="388C36FB"/>
    <w:rsid w:val="38961E84"/>
    <w:rsid w:val="38991974"/>
    <w:rsid w:val="389C5AD9"/>
    <w:rsid w:val="389D29EF"/>
    <w:rsid w:val="389D76B7"/>
    <w:rsid w:val="38A0605F"/>
    <w:rsid w:val="38A6346D"/>
    <w:rsid w:val="38AF1198"/>
    <w:rsid w:val="38C5276A"/>
    <w:rsid w:val="38C64053"/>
    <w:rsid w:val="38CF7A3A"/>
    <w:rsid w:val="38D658A4"/>
    <w:rsid w:val="38E2331B"/>
    <w:rsid w:val="38E27632"/>
    <w:rsid w:val="38F31085"/>
    <w:rsid w:val="38FF383F"/>
    <w:rsid w:val="390239BE"/>
    <w:rsid w:val="390908A8"/>
    <w:rsid w:val="390F526F"/>
    <w:rsid w:val="3914724D"/>
    <w:rsid w:val="391C5DFD"/>
    <w:rsid w:val="391D7C34"/>
    <w:rsid w:val="392230FF"/>
    <w:rsid w:val="39241B86"/>
    <w:rsid w:val="39245CCA"/>
    <w:rsid w:val="39290F4A"/>
    <w:rsid w:val="39296809"/>
    <w:rsid w:val="392D7210"/>
    <w:rsid w:val="393F49A1"/>
    <w:rsid w:val="394A0EC1"/>
    <w:rsid w:val="39503CA7"/>
    <w:rsid w:val="39557F91"/>
    <w:rsid w:val="39585F92"/>
    <w:rsid w:val="39641F82"/>
    <w:rsid w:val="396E1053"/>
    <w:rsid w:val="3991089E"/>
    <w:rsid w:val="399124B2"/>
    <w:rsid w:val="39A2300B"/>
    <w:rsid w:val="39A665D3"/>
    <w:rsid w:val="39B20F40"/>
    <w:rsid w:val="39C80763"/>
    <w:rsid w:val="39CE1AF2"/>
    <w:rsid w:val="39D30B18"/>
    <w:rsid w:val="39D41706"/>
    <w:rsid w:val="39D4728C"/>
    <w:rsid w:val="39DF1F14"/>
    <w:rsid w:val="39E6508D"/>
    <w:rsid w:val="39EE59F7"/>
    <w:rsid w:val="39F95C91"/>
    <w:rsid w:val="39FE23D7"/>
    <w:rsid w:val="39FF2F6E"/>
    <w:rsid w:val="3A141BDE"/>
    <w:rsid w:val="3A1C285D"/>
    <w:rsid w:val="3A2E066F"/>
    <w:rsid w:val="3A2E618F"/>
    <w:rsid w:val="3A361B71"/>
    <w:rsid w:val="3A3E4582"/>
    <w:rsid w:val="3A47088A"/>
    <w:rsid w:val="3A485400"/>
    <w:rsid w:val="3A4B3142"/>
    <w:rsid w:val="3A4F2C33"/>
    <w:rsid w:val="3A506C0B"/>
    <w:rsid w:val="3A5F274A"/>
    <w:rsid w:val="3A5F2BFC"/>
    <w:rsid w:val="3A647D60"/>
    <w:rsid w:val="3A6A7A6C"/>
    <w:rsid w:val="3A6C5593"/>
    <w:rsid w:val="3A8C2070"/>
    <w:rsid w:val="3A8C21FC"/>
    <w:rsid w:val="3AA7481D"/>
    <w:rsid w:val="3AB23981"/>
    <w:rsid w:val="3ABB2076"/>
    <w:rsid w:val="3AC151B3"/>
    <w:rsid w:val="3AC52EF5"/>
    <w:rsid w:val="3AD13648"/>
    <w:rsid w:val="3AD559AE"/>
    <w:rsid w:val="3AD66EB0"/>
    <w:rsid w:val="3AD969A0"/>
    <w:rsid w:val="3AE157E3"/>
    <w:rsid w:val="3AE92064"/>
    <w:rsid w:val="3AF3151E"/>
    <w:rsid w:val="3B064660"/>
    <w:rsid w:val="3B0E5C90"/>
    <w:rsid w:val="3B0F23C2"/>
    <w:rsid w:val="3B2E0A9A"/>
    <w:rsid w:val="3B2F036E"/>
    <w:rsid w:val="3B4262F3"/>
    <w:rsid w:val="3B450C3B"/>
    <w:rsid w:val="3B503852"/>
    <w:rsid w:val="3B5129DA"/>
    <w:rsid w:val="3B544EC3"/>
    <w:rsid w:val="3B6061D8"/>
    <w:rsid w:val="3B6256D4"/>
    <w:rsid w:val="3B701F79"/>
    <w:rsid w:val="3B7346FF"/>
    <w:rsid w:val="3B7A3CDF"/>
    <w:rsid w:val="3B7C351E"/>
    <w:rsid w:val="3B7F12F6"/>
    <w:rsid w:val="3B8763FC"/>
    <w:rsid w:val="3B8941BE"/>
    <w:rsid w:val="3B8A37F6"/>
    <w:rsid w:val="3B9C2FCC"/>
    <w:rsid w:val="3BA26A2C"/>
    <w:rsid w:val="3BA6766F"/>
    <w:rsid w:val="3BA725FA"/>
    <w:rsid w:val="3BB10D7F"/>
    <w:rsid w:val="3BBD16EB"/>
    <w:rsid w:val="3BBD573E"/>
    <w:rsid w:val="3BBF5B96"/>
    <w:rsid w:val="3BCC0CBE"/>
    <w:rsid w:val="3BD3519D"/>
    <w:rsid w:val="3BE5007A"/>
    <w:rsid w:val="3BE57DC0"/>
    <w:rsid w:val="3BE70C49"/>
    <w:rsid w:val="3BEC625F"/>
    <w:rsid w:val="3BED2703"/>
    <w:rsid w:val="3BFA51CD"/>
    <w:rsid w:val="3C08753D"/>
    <w:rsid w:val="3C0B0DDB"/>
    <w:rsid w:val="3C0B4DD9"/>
    <w:rsid w:val="3C110554"/>
    <w:rsid w:val="3C236125"/>
    <w:rsid w:val="3C2459F9"/>
    <w:rsid w:val="3C3751E0"/>
    <w:rsid w:val="3C3B6FA3"/>
    <w:rsid w:val="3C423E56"/>
    <w:rsid w:val="3C495460"/>
    <w:rsid w:val="3C4A09B9"/>
    <w:rsid w:val="3C4A1903"/>
    <w:rsid w:val="3C4C2E7D"/>
    <w:rsid w:val="3C4D7B37"/>
    <w:rsid w:val="3C5D7A5C"/>
    <w:rsid w:val="3C783A46"/>
    <w:rsid w:val="3C7F70D3"/>
    <w:rsid w:val="3C830972"/>
    <w:rsid w:val="3C850B8A"/>
    <w:rsid w:val="3C85293C"/>
    <w:rsid w:val="3C865DF7"/>
    <w:rsid w:val="3CA07C16"/>
    <w:rsid w:val="3CA54D8C"/>
    <w:rsid w:val="3CA628B2"/>
    <w:rsid w:val="3CAB7EC8"/>
    <w:rsid w:val="3CB11983"/>
    <w:rsid w:val="3CB22337"/>
    <w:rsid w:val="3CB7686D"/>
    <w:rsid w:val="3CBD0327"/>
    <w:rsid w:val="3CCB4BB4"/>
    <w:rsid w:val="3CDE029E"/>
    <w:rsid w:val="3CE25928"/>
    <w:rsid w:val="3CEF24AB"/>
    <w:rsid w:val="3CF11D7F"/>
    <w:rsid w:val="3CF96B37"/>
    <w:rsid w:val="3D000214"/>
    <w:rsid w:val="3D015D3A"/>
    <w:rsid w:val="3D1C4922"/>
    <w:rsid w:val="3D204412"/>
    <w:rsid w:val="3D224E5C"/>
    <w:rsid w:val="3D281519"/>
    <w:rsid w:val="3D347EBE"/>
    <w:rsid w:val="3D58438F"/>
    <w:rsid w:val="3D604DFD"/>
    <w:rsid w:val="3D673DEF"/>
    <w:rsid w:val="3D696969"/>
    <w:rsid w:val="3D6C76C2"/>
    <w:rsid w:val="3D703B9C"/>
    <w:rsid w:val="3D7A6218"/>
    <w:rsid w:val="3D7E4565"/>
    <w:rsid w:val="3D801355"/>
    <w:rsid w:val="3D8250CD"/>
    <w:rsid w:val="3D932E36"/>
    <w:rsid w:val="3D944C5D"/>
    <w:rsid w:val="3D954E00"/>
    <w:rsid w:val="3D963B59"/>
    <w:rsid w:val="3D98669F"/>
    <w:rsid w:val="3D9D3CB5"/>
    <w:rsid w:val="3D9F17DB"/>
    <w:rsid w:val="3DA81802"/>
    <w:rsid w:val="3DAA0180"/>
    <w:rsid w:val="3DB74195"/>
    <w:rsid w:val="3DBB413B"/>
    <w:rsid w:val="3DC00139"/>
    <w:rsid w:val="3DC318DE"/>
    <w:rsid w:val="3DC54FBA"/>
    <w:rsid w:val="3DC65D7B"/>
    <w:rsid w:val="3DC92CFC"/>
    <w:rsid w:val="3DD1395F"/>
    <w:rsid w:val="3DE74F30"/>
    <w:rsid w:val="3DE96EFA"/>
    <w:rsid w:val="3E1B038F"/>
    <w:rsid w:val="3E1D0952"/>
    <w:rsid w:val="3E300685"/>
    <w:rsid w:val="3E3D0FF4"/>
    <w:rsid w:val="3E3F4D6C"/>
    <w:rsid w:val="3E5915D6"/>
    <w:rsid w:val="3E6E6B3A"/>
    <w:rsid w:val="3E704F26"/>
    <w:rsid w:val="3E7A51A0"/>
    <w:rsid w:val="3E810EE1"/>
    <w:rsid w:val="3E894239"/>
    <w:rsid w:val="3E945BD9"/>
    <w:rsid w:val="3E9C5D1B"/>
    <w:rsid w:val="3EA2182F"/>
    <w:rsid w:val="3EB94B1E"/>
    <w:rsid w:val="3EC50118"/>
    <w:rsid w:val="3EC60FE9"/>
    <w:rsid w:val="3EC82FB3"/>
    <w:rsid w:val="3ED01DE6"/>
    <w:rsid w:val="3ED37568"/>
    <w:rsid w:val="3EDC6612"/>
    <w:rsid w:val="3EEC54CF"/>
    <w:rsid w:val="3F035D9A"/>
    <w:rsid w:val="3F1E0E25"/>
    <w:rsid w:val="3F2752A1"/>
    <w:rsid w:val="3F3643C1"/>
    <w:rsid w:val="3F367F1D"/>
    <w:rsid w:val="3F38176A"/>
    <w:rsid w:val="3F3D74FE"/>
    <w:rsid w:val="3F3F3186"/>
    <w:rsid w:val="3F4117E2"/>
    <w:rsid w:val="3F454604"/>
    <w:rsid w:val="3F4A4ECD"/>
    <w:rsid w:val="3F5E5951"/>
    <w:rsid w:val="3F675313"/>
    <w:rsid w:val="3F6E5909"/>
    <w:rsid w:val="3F7B1DD4"/>
    <w:rsid w:val="3F84512C"/>
    <w:rsid w:val="3F8A03E9"/>
    <w:rsid w:val="3F8F7490"/>
    <w:rsid w:val="3F942E96"/>
    <w:rsid w:val="3F9C0EA4"/>
    <w:rsid w:val="3FA04C43"/>
    <w:rsid w:val="3FA27361"/>
    <w:rsid w:val="3FA330D9"/>
    <w:rsid w:val="3FB07E94"/>
    <w:rsid w:val="3FBB0422"/>
    <w:rsid w:val="3FCC4F7F"/>
    <w:rsid w:val="3FE42F34"/>
    <w:rsid w:val="3FE5557A"/>
    <w:rsid w:val="3FE57016"/>
    <w:rsid w:val="3FE94F8F"/>
    <w:rsid w:val="3FF1682D"/>
    <w:rsid w:val="3FFA53EF"/>
    <w:rsid w:val="3FFE3A57"/>
    <w:rsid w:val="3FFF3A02"/>
    <w:rsid w:val="400420D2"/>
    <w:rsid w:val="40093884"/>
    <w:rsid w:val="400F00E4"/>
    <w:rsid w:val="4022565B"/>
    <w:rsid w:val="402661E4"/>
    <w:rsid w:val="40271F5C"/>
    <w:rsid w:val="40296F4A"/>
    <w:rsid w:val="403E11F2"/>
    <w:rsid w:val="404B163B"/>
    <w:rsid w:val="404C3770"/>
    <w:rsid w:val="4050500F"/>
    <w:rsid w:val="40506A6D"/>
    <w:rsid w:val="405536E4"/>
    <w:rsid w:val="405F416C"/>
    <w:rsid w:val="40646B4E"/>
    <w:rsid w:val="40703903"/>
    <w:rsid w:val="407F4018"/>
    <w:rsid w:val="40827192"/>
    <w:rsid w:val="40835C11"/>
    <w:rsid w:val="40906885"/>
    <w:rsid w:val="409633BB"/>
    <w:rsid w:val="409A44DC"/>
    <w:rsid w:val="40A02F12"/>
    <w:rsid w:val="40A92971"/>
    <w:rsid w:val="40AB0497"/>
    <w:rsid w:val="40AC50EC"/>
    <w:rsid w:val="40BA7441"/>
    <w:rsid w:val="40BE01CA"/>
    <w:rsid w:val="40C72178"/>
    <w:rsid w:val="40CF23D7"/>
    <w:rsid w:val="40F21C7A"/>
    <w:rsid w:val="40F63E08"/>
    <w:rsid w:val="40FD6DCE"/>
    <w:rsid w:val="412169AB"/>
    <w:rsid w:val="41281AE7"/>
    <w:rsid w:val="412C13F8"/>
    <w:rsid w:val="413E207F"/>
    <w:rsid w:val="414C7ECC"/>
    <w:rsid w:val="414F33CA"/>
    <w:rsid w:val="41517290"/>
    <w:rsid w:val="41534C17"/>
    <w:rsid w:val="41597EF3"/>
    <w:rsid w:val="415D577B"/>
    <w:rsid w:val="41642659"/>
    <w:rsid w:val="41735459"/>
    <w:rsid w:val="4177586D"/>
    <w:rsid w:val="41782A6F"/>
    <w:rsid w:val="417C4D58"/>
    <w:rsid w:val="418705C4"/>
    <w:rsid w:val="418758A6"/>
    <w:rsid w:val="418F600A"/>
    <w:rsid w:val="41982C27"/>
    <w:rsid w:val="419E7FFC"/>
    <w:rsid w:val="419F6289"/>
    <w:rsid w:val="41AD22DE"/>
    <w:rsid w:val="41B45A71"/>
    <w:rsid w:val="41BA3087"/>
    <w:rsid w:val="41BD2B78"/>
    <w:rsid w:val="41C9423C"/>
    <w:rsid w:val="41D6428B"/>
    <w:rsid w:val="41E53E7C"/>
    <w:rsid w:val="41EC3710"/>
    <w:rsid w:val="41FA7928"/>
    <w:rsid w:val="41FB544E"/>
    <w:rsid w:val="42000497"/>
    <w:rsid w:val="420267DC"/>
    <w:rsid w:val="420367D0"/>
    <w:rsid w:val="42122497"/>
    <w:rsid w:val="42156510"/>
    <w:rsid w:val="42164036"/>
    <w:rsid w:val="421B164C"/>
    <w:rsid w:val="421D7172"/>
    <w:rsid w:val="42222DBC"/>
    <w:rsid w:val="423654AA"/>
    <w:rsid w:val="423B3A9C"/>
    <w:rsid w:val="423F358D"/>
    <w:rsid w:val="4262727B"/>
    <w:rsid w:val="4269689A"/>
    <w:rsid w:val="426E66F8"/>
    <w:rsid w:val="427236EE"/>
    <w:rsid w:val="42834072"/>
    <w:rsid w:val="42884F34"/>
    <w:rsid w:val="428A15BF"/>
    <w:rsid w:val="42903DE8"/>
    <w:rsid w:val="42925DB2"/>
    <w:rsid w:val="42935686"/>
    <w:rsid w:val="42A25018"/>
    <w:rsid w:val="42A41642"/>
    <w:rsid w:val="42A75F11"/>
    <w:rsid w:val="42AD0B36"/>
    <w:rsid w:val="42B11027"/>
    <w:rsid w:val="42C615B8"/>
    <w:rsid w:val="42C8103A"/>
    <w:rsid w:val="42D068DB"/>
    <w:rsid w:val="42D07CF3"/>
    <w:rsid w:val="42D26925"/>
    <w:rsid w:val="42D812EB"/>
    <w:rsid w:val="42DB608B"/>
    <w:rsid w:val="42E91F47"/>
    <w:rsid w:val="42E934F8"/>
    <w:rsid w:val="42F97BDF"/>
    <w:rsid w:val="42FA5706"/>
    <w:rsid w:val="42FB3175"/>
    <w:rsid w:val="42FD0171"/>
    <w:rsid w:val="42FE34D1"/>
    <w:rsid w:val="43014CE6"/>
    <w:rsid w:val="43092834"/>
    <w:rsid w:val="430A2EDE"/>
    <w:rsid w:val="430F7403"/>
    <w:rsid w:val="43100E25"/>
    <w:rsid w:val="431247FD"/>
    <w:rsid w:val="432252FC"/>
    <w:rsid w:val="43244EF6"/>
    <w:rsid w:val="43344580"/>
    <w:rsid w:val="43370708"/>
    <w:rsid w:val="4338699F"/>
    <w:rsid w:val="434A4497"/>
    <w:rsid w:val="435068FF"/>
    <w:rsid w:val="43512423"/>
    <w:rsid w:val="435616C9"/>
    <w:rsid w:val="4359249F"/>
    <w:rsid w:val="435A7DD9"/>
    <w:rsid w:val="43610D5D"/>
    <w:rsid w:val="436117D4"/>
    <w:rsid w:val="436314FD"/>
    <w:rsid w:val="436D5ED7"/>
    <w:rsid w:val="436F7EA2"/>
    <w:rsid w:val="437A3FE4"/>
    <w:rsid w:val="437B05F4"/>
    <w:rsid w:val="43830543"/>
    <w:rsid w:val="43882D11"/>
    <w:rsid w:val="438A0837"/>
    <w:rsid w:val="438B0671"/>
    <w:rsid w:val="4391606A"/>
    <w:rsid w:val="43973655"/>
    <w:rsid w:val="43981D7C"/>
    <w:rsid w:val="43996CCD"/>
    <w:rsid w:val="439D4A0F"/>
    <w:rsid w:val="43A15B81"/>
    <w:rsid w:val="43AD2778"/>
    <w:rsid w:val="43AF64F0"/>
    <w:rsid w:val="43B34510"/>
    <w:rsid w:val="43BC2C7F"/>
    <w:rsid w:val="43BE6FC3"/>
    <w:rsid w:val="43CA545D"/>
    <w:rsid w:val="43CD4BC8"/>
    <w:rsid w:val="43CF4292"/>
    <w:rsid w:val="43D815DD"/>
    <w:rsid w:val="43D97317"/>
    <w:rsid w:val="43DD4E0B"/>
    <w:rsid w:val="43E155C1"/>
    <w:rsid w:val="43E6024D"/>
    <w:rsid w:val="43F263DD"/>
    <w:rsid w:val="43F87E97"/>
    <w:rsid w:val="43FB7987"/>
    <w:rsid w:val="44084F35"/>
    <w:rsid w:val="441A7E0D"/>
    <w:rsid w:val="443A225E"/>
    <w:rsid w:val="443D361B"/>
    <w:rsid w:val="443E430F"/>
    <w:rsid w:val="44441786"/>
    <w:rsid w:val="444430DC"/>
    <w:rsid w:val="444B0529"/>
    <w:rsid w:val="44501A81"/>
    <w:rsid w:val="4454646F"/>
    <w:rsid w:val="445A645C"/>
    <w:rsid w:val="44612EC8"/>
    <w:rsid w:val="44615A3C"/>
    <w:rsid w:val="4462478D"/>
    <w:rsid w:val="4462484A"/>
    <w:rsid w:val="44637801"/>
    <w:rsid w:val="44645086"/>
    <w:rsid w:val="446472DA"/>
    <w:rsid w:val="446B6DF9"/>
    <w:rsid w:val="446D6D8C"/>
    <w:rsid w:val="44781C81"/>
    <w:rsid w:val="447A08AC"/>
    <w:rsid w:val="448434D9"/>
    <w:rsid w:val="448C05DF"/>
    <w:rsid w:val="449307F1"/>
    <w:rsid w:val="44955F98"/>
    <w:rsid w:val="44A60DA1"/>
    <w:rsid w:val="44B22FFE"/>
    <w:rsid w:val="44B55D88"/>
    <w:rsid w:val="44C00189"/>
    <w:rsid w:val="44D939C1"/>
    <w:rsid w:val="44F87A23"/>
    <w:rsid w:val="45074039"/>
    <w:rsid w:val="450D0C9B"/>
    <w:rsid w:val="45191FB9"/>
    <w:rsid w:val="45283F0A"/>
    <w:rsid w:val="45294080"/>
    <w:rsid w:val="452A5A41"/>
    <w:rsid w:val="453C7530"/>
    <w:rsid w:val="454113CA"/>
    <w:rsid w:val="45501F6F"/>
    <w:rsid w:val="45505AB1"/>
    <w:rsid w:val="455240A4"/>
    <w:rsid w:val="45586D59"/>
    <w:rsid w:val="45790B64"/>
    <w:rsid w:val="4584118C"/>
    <w:rsid w:val="4588349D"/>
    <w:rsid w:val="459650CE"/>
    <w:rsid w:val="459C6F06"/>
    <w:rsid w:val="459D348E"/>
    <w:rsid w:val="459E761B"/>
    <w:rsid w:val="459F05CE"/>
    <w:rsid w:val="45A2059F"/>
    <w:rsid w:val="45C1250B"/>
    <w:rsid w:val="45C73FC5"/>
    <w:rsid w:val="45CA7611"/>
    <w:rsid w:val="45D97854"/>
    <w:rsid w:val="45EA7CB3"/>
    <w:rsid w:val="45F96148"/>
    <w:rsid w:val="45F97EF6"/>
    <w:rsid w:val="4613720A"/>
    <w:rsid w:val="46146ADE"/>
    <w:rsid w:val="46207231"/>
    <w:rsid w:val="46323115"/>
    <w:rsid w:val="464B171B"/>
    <w:rsid w:val="465966D9"/>
    <w:rsid w:val="465A0995"/>
    <w:rsid w:val="465B64BB"/>
    <w:rsid w:val="465E3017"/>
    <w:rsid w:val="465E4B3A"/>
    <w:rsid w:val="466108E7"/>
    <w:rsid w:val="46623CEE"/>
    <w:rsid w:val="466E48FD"/>
    <w:rsid w:val="46707D25"/>
    <w:rsid w:val="46717A8D"/>
    <w:rsid w:val="46810644"/>
    <w:rsid w:val="469852A3"/>
    <w:rsid w:val="469B0FAE"/>
    <w:rsid w:val="46A63C5C"/>
    <w:rsid w:val="46AE1DFD"/>
    <w:rsid w:val="46B03787"/>
    <w:rsid w:val="46B2214F"/>
    <w:rsid w:val="46BF0ACA"/>
    <w:rsid w:val="46BF2EEE"/>
    <w:rsid w:val="46D02A05"/>
    <w:rsid w:val="46DA3884"/>
    <w:rsid w:val="46E97F6B"/>
    <w:rsid w:val="46EB3F0D"/>
    <w:rsid w:val="46F37065"/>
    <w:rsid w:val="46FF1632"/>
    <w:rsid w:val="4703462D"/>
    <w:rsid w:val="47050CF6"/>
    <w:rsid w:val="4707066E"/>
    <w:rsid w:val="470E2E81"/>
    <w:rsid w:val="471104BE"/>
    <w:rsid w:val="47147820"/>
    <w:rsid w:val="471E7DCE"/>
    <w:rsid w:val="472D4FA9"/>
    <w:rsid w:val="47305358"/>
    <w:rsid w:val="47356B05"/>
    <w:rsid w:val="473B1E9E"/>
    <w:rsid w:val="474312E2"/>
    <w:rsid w:val="47505984"/>
    <w:rsid w:val="47523D62"/>
    <w:rsid w:val="475C698F"/>
    <w:rsid w:val="476B2262"/>
    <w:rsid w:val="476D2234"/>
    <w:rsid w:val="47706655"/>
    <w:rsid w:val="47746D80"/>
    <w:rsid w:val="4779499C"/>
    <w:rsid w:val="477D2EEB"/>
    <w:rsid w:val="47835CCA"/>
    <w:rsid w:val="478B4B7E"/>
    <w:rsid w:val="478D2FA6"/>
    <w:rsid w:val="4791488A"/>
    <w:rsid w:val="47B6609F"/>
    <w:rsid w:val="47C307BC"/>
    <w:rsid w:val="47E10C42"/>
    <w:rsid w:val="47F04B43"/>
    <w:rsid w:val="47FC2C37"/>
    <w:rsid w:val="480303E8"/>
    <w:rsid w:val="48066D69"/>
    <w:rsid w:val="48097075"/>
    <w:rsid w:val="480C0D42"/>
    <w:rsid w:val="48194880"/>
    <w:rsid w:val="4819662E"/>
    <w:rsid w:val="481B671D"/>
    <w:rsid w:val="481C1C7A"/>
    <w:rsid w:val="481D6F6E"/>
    <w:rsid w:val="481E3C44"/>
    <w:rsid w:val="48220A60"/>
    <w:rsid w:val="48221986"/>
    <w:rsid w:val="482760A2"/>
    <w:rsid w:val="48283745"/>
    <w:rsid w:val="4835100A"/>
    <w:rsid w:val="483677A3"/>
    <w:rsid w:val="484233A7"/>
    <w:rsid w:val="4856518C"/>
    <w:rsid w:val="48584571"/>
    <w:rsid w:val="48622294"/>
    <w:rsid w:val="48644BB4"/>
    <w:rsid w:val="486C2C02"/>
    <w:rsid w:val="48712F45"/>
    <w:rsid w:val="487B1097"/>
    <w:rsid w:val="488066AD"/>
    <w:rsid w:val="48895562"/>
    <w:rsid w:val="488F3E82"/>
    <w:rsid w:val="48961A2D"/>
    <w:rsid w:val="489857A5"/>
    <w:rsid w:val="489A776F"/>
    <w:rsid w:val="489D7F04"/>
    <w:rsid w:val="48A70ADD"/>
    <w:rsid w:val="48AB153A"/>
    <w:rsid w:val="48AC1EA8"/>
    <w:rsid w:val="48B85E47"/>
    <w:rsid w:val="48BB4F40"/>
    <w:rsid w:val="48CB3DCC"/>
    <w:rsid w:val="48D013E2"/>
    <w:rsid w:val="48D12A65"/>
    <w:rsid w:val="48D42CC1"/>
    <w:rsid w:val="48D948BC"/>
    <w:rsid w:val="48E00EFA"/>
    <w:rsid w:val="48E2062C"/>
    <w:rsid w:val="48E47484"/>
    <w:rsid w:val="48E727D3"/>
    <w:rsid w:val="48E76A7C"/>
    <w:rsid w:val="48F03833"/>
    <w:rsid w:val="48F52BF7"/>
    <w:rsid w:val="491C4628"/>
    <w:rsid w:val="491C690E"/>
    <w:rsid w:val="491F7C74"/>
    <w:rsid w:val="4924274A"/>
    <w:rsid w:val="49246A8D"/>
    <w:rsid w:val="4929464F"/>
    <w:rsid w:val="492E034E"/>
    <w:rsid w:val="49370211"/>
    <w:rsid w:val="493C2BF3"/>
    <w:rsid w:val="493D58DD"/>
    <w:rsid w:val="49492F43"/>
    <w:rsid w:val="494D47FA"/>
    <w:rsid w:val="4953791E"/>
    <w:rsid w:val="495711BC"/>
    <w:rsid w:val="495C2C76"/>
    <w:rsid w:val="495D2E4B"/>
    <w:rsid w:val="496164DE"/>
    <w:rsid w:val="49633C5C"/>
    <w:rsid w:val="4968786D"/>
    <w:rsid w:val="496B2759"/>
    <w:rsid w:val="498134E7"/>
    <w:rsid w:val="49816239"/>
    <w:rsid w:val="4982492A"/>
    <w:rsid w:val="498867F3"/>
    <w:rsid w:val="49935F6C"/>
    <w:rsid w:val="49957F36"/>
    <w:rsid w:val="499C7517"/>
    <w:rsid w:val="49A07007"/>
    <w:rsid w:val="49A07B83"/>
    <w:rsid w:val="49A8026C"/>
    <w:rsid w:val="49AA1C33"/>
    <w:rsid w:val="49AA39E1"/>
    <w:rsid w:val="49AD34D2"/>
    <w:rsid w:val="49B10406"/>
    <w:rsid w:val="49BC1967"/>
    <w:rsid w:val="49CC4E4A"/>
    <w:rsid w:val="49E05655"/>
    <w:rsid w:val="49EC0159"/>
    <w:rsid w:val="49ED38CE"/>
    <w:rsid w:val="49FE5ADB"/>
    <w:rsid w:val="4A061E88"/>
    <w:rsid w:val="4A0A0193"/>
    <w:rsid w:val="4A127799"/>
    <w:rsid w:val="4A235542"/>
    <w:rsid w:val="4A2977C3"/>
    <w:rsid w:val="4A3241BC"/>
    <w:rsid w:val="4A392FB7"/>
    <w:rsid w:val="4A396B13"/>
    <w:rsid w:val="4A3F3BEF"/>
    <w:rsid w:val="4A3F6D58"/>
    <w:rsid w:val="4A455374"/>
    <w:rsid w:val="4A4C4A99"/>
    <w:rsid w:val="4A560560"/>
    <w:rsid w:val="4A5B2F2E"/>
    <w:rsid w:val="4A657908"/>
    <w:rsid w:val="4A7144FF"/>
    <w:rsid w:val="4A7B35D0"/>
    <w:rsid w:val="4A8835F7"/>
    <w:rsid w:val="4A9326C8"/>
    <w:rsid w:val="4A987CDE"/>
    <w:rsid w:val="4AA541A9"/>
    <w:rsid w:val="4AB26AE1"/>
    <w:rsid w:val="4AB4263E"/>
    <w:rsid w:val="4AB56533"/>
    <w:rsid w:val="4ABB577A"/>
    <w:rsid w:val="4AC91654"/>
    <w:rsid w:val="4ACE3700"/>
    <w:rsid w:val="4AD239F8"/>
    <w:rsid w:val="4AD870BB"/>
    <w:rsid w:val="4AF01898"/>
    <w:rsid w:val="4AFE0922"/>
    <w:rsid w:val="4B0E08CB"/>
    <w:rsid w:val="4B1B26BD"/>
    <w:rsid w:val="4B245A16"/>
    <w:rsid w:val="4B2B0B52"/>
    <w:rsid w:val="4B2C74CD"/>
    <w:rsid w:val="4B375BFB"/>
    <w:rsid w:val="4B3E5D43"/>
    <w:rsid w:val="4B481EFF"/>
    <w:rsid w:val="4B517E8D"/>
    <w:rsid w:val="4B571947"/>
    <w:rsid w:val="4B5C46A6"/>
    <w:rsid w:val="4B6E4EE3"/>
    <w:rsid w:val="4B6F6E49"/>
    <w:rsid w:val="4B7818BD"/>
    <w:rsid w:val="4B826568"/>
    <w:rsid w:val="4B841AD9"/>
    <w:rsid w:val="4B865D88"/>
    <w:rsid w:val="4B885FA4"/>
    <w:rsid w:val="4B8A33E0"/>
    <w:rsid w:val="4B8B15F1"/>
    <w:rsid w:val="4B8F4681"/>
    <w:rsid w:val="4B923BDF"/>
    <w:rsid w:val="4B9F509C"/>
    <w:rsid w:val="4BA33329"/>
    <w:rsid w:val="4BA57FE8"/>
    <w:rsid w:val="4BAF1783"/>
    <w:rsid w:val="4BBE7454"/>
    <w:rsid w:val="4BC114B6"/>
    <w:rsid w:val="4BCD427D"/>
    <w:rsid w:val="4BE331DB"/>
    <w:rsid w:val="4BE60F1D"/>
    <w:rsid w:val="4BF663FF"/>
    <w:rsid w:val="4BFE2856"/>
    <w:rsid w:val="4C0C20D5"/>
    <w:rsid w:val="4C123AC0"/>
    <w:rsid w:val="4C1635B0"/>
    <w:rsid w:val="4C172E84"/>
    <w:rsid w:val="4C193DAF"/>
    <w:rsid w:val="4C1C79C3"/>
    <w:rsid w:val="4C1E06B7"/>
    <w:rsid w:val="4C265483"/>
    <w:rsid w:val="4C343BAC"/>
    <w:rsid w:val="4C373527"/>
    <w:rsid w:val="4C453E95"/>
    <w:rsid w:val="4C4C5224"/>
    <w:rsid w:val="4C583BC9"/>
    <w:rsid w:val="4C6836E0"/>
    <w:rsid w:val="4C6A0424"/>
    <w:rsid w:val="4C6E2D5E"/>
    <w:rsid w:val="4C7958ED"/>
    <w:rsid w:val="4C7B1665"/>
    <w:rsid w:val="4C7F6416"/>
    <w:rsid w:val="4C864CC2"/>
    <w:rsid w:val="4C8A2770"/>
    <w:rsid w:val="4C99016F"/>
    <w:rsid w:val="4CA86E9E"/>
    <w:rsid w:val="4CBD5249"/>
    <w:rsid w:val="4CBD7ED0"/>
    <w:rsid w:val="4CC4300C"/>
    <w:rsid w:val="4CDF299B"/>
    <w:rsid w:val="4CDF3C83"/>
    <w:rsid w:val="4CE47E68"/>
    <w:rsid w:val="4CEC60BF"/>
    <w:rsid w:val="4CFF4044"/>
    <w:rsid w:val="4D0413E0"/>
    <w:rsid w:val="4D132B73"/>
    <w:rsid w:val="4D1E702B"/>
    <w:rsid w:val="4D1F0243"/>
    <w:rsid w:val="4D2E492A"/>
    <w:rsid w:val="4D3017F6"/>
    <w:rsid w:val="4D381304"/>
    <w:rsid w:val="4D426FCB"/>
    <w:rsid w:val="4D466E92"/>
    <w:rsid w:val="4D491763"/>
    <w:rsid w:val="4D4C3002"/>
    <w:rsid w:val="4D5117AD"/>
    <w:rsid w:val="4D5A74CD"/>
    <w:rsid w:val="4D6046FD"/>
    <w:rsid w:val="4D697710"/>
    <w:rsid w:val="4D6E4D26"/>
    <w:rsid w:val="4D6E6634"/>
    <w:rsid w:val="4D922C92"/>
    <w:rsid w:val="4DB45069"/>
    <w:rsid w:val="4DBB3B22"/>
    <w:rsid w:val="4DD56865"/>
    <w:rsid w:val="4DD92AE7"/>
    <w:rsid w:val="4DEE7539"/>
    <w:rsid w:val="4DF0398D"/>
    <w:rsid w:val="4DF27705"/>
    <w:rsid w:val="4DF947DC"/>
    <w:rsid w:val="4E000D02"/>
    <w:rsid w:val="4E1E04FA"/>
    <w:rsid w:val="4E383A52"/>
    <w:rsid w:val="4E4342E0"/>
    <w:rsid w:val="4E4446C6"/>
    <w:rsid w:val="4E5B4D57"/>
    <w:rsid w:val="4E5B57DC"/>
    <w:rsid w:val="4E5D1A56"/>
    <w:rsid w:val="4E5E1820"/>
    <w:rsid w:val="4E6323B1"/>
    <w:rsid w:val="4E6848A6"/>
    <w:rsid w:val="4E6A7BE3"/>
    <w:rsid w:val="4E6B6615"/>
    <w:rsid w:val="4E6D2B88"/>
    <w:rsid w:val="4E6F51FA"/>
    <w:rsid w:val="4E770D22"/>
    <w:rsid w:val="4E7E71EB"/>
    <w:rsid w:val="4E7F7A2B"/>
    <w:rsid w:val="4E834801"/>
    <w:rsid w:val="4EAA5D9A"/>
    <w:rsid w:val="4ED35615"/>
    <w:rsid w:val="4EE0530E"/>
    <w:rsid w:val="4EE334F2"/>
    <w:rsid w:val="4EEA4880"/>
    <w:rsid w:val="4EEC23A6"/>
    <w:rsid w:val="4EF179BD"/>
    <w:rsid w:val="4EFD0A57"/>
    <w:rsid w:val="4EFE20DA"/>
    <w:rsid w:val="4F035942"/>
    <w:rsid w:val="4F041BE5"/>
    <w:rsid w:val="4F0C78AF"/>
    <w:rsid w:val="4F1638C7"/>
    <w:rsid w:val="4F190DF8"/>
    <w:rsid w:val="4F195165"/>
    <w:rsid w:val="4F1C60BB"/>
    <w:rsid w:val="4F2C6C47"/>
    <w:rsid w:val="4F4154B6"/>
    <w:rsid w:val="4F4626F3"/>
    <w:rsid w:val="4F530677"/>
    <w:rsid w:val="4F534BF8"/>
    <w:rsid w:val="4F6400F5"/>
    <w:rsid w:val="4F644633"/>
    <w:rsid w:val="4F6463E1"/>
    <w:rsid w:val="4F6A776F"/>
    <w:rsid w:val="4F6A787C"/>
    <w:rsid w:val="4F6C34E7"/>
    <w:rsid w:val="4F7F5B21"/>
    <w:rsid w:val="4F876AE8"/>
    <w:rsid w:val="4F8F7FCE"/>
    <w:rsid w:val="4F934F18"/>
    <w:rsid w:val="4F9A62A6"/>
    <w:rsid w:val="4FB05ACA"/>
    <w:rsid w:val="4FB276D6"/>
    <w:rsid w:val="4FC74BC1"/>
    <w:rsid w:val="4FD537C0"/>
    <w:rsid w:val="4FD60B72"/>
    <w:rsid w:val="4FD863CB"/>
    <w:rsid w:val="4FD95020"/>
    <w:rsid w:val="4FE35D07"/>
    <w:rsid w:val="4FFE51AD"/>
    <w:rsid w:val="4FFF435B"/>
    <w:rsid w:val="50034F5C"/>
    <w:rsid w:val="500876B4"/>
    <w:rsid w:val="500B2D00"/>
    <w:rsid w:val="501A3245"/>
    <w:rsid w:val="502142D2"/>
    <w:rsid w:val="502617E8"/>
    <w:rsid w:val="50395ABF"/>
    <w:rsid w:val="503C0DF6"/>
    <w:rsid w:val="503C223E"/>
    <w:rsid w:val="503C55AF"/>
    <w:rsid w:val="503F4889"/>
    <w:rsid w:val="5043249A"/>
    <w:rsid w:val="50454464"/>
    <w:rsid w:val="50586D12"/>
    <w:rsid w:val="50630D8E"/>
    <w:rsid w:val="506557EA"/>
    <w:rsid w:val="506D4937"/>
    <w:rsid w:val="507351DD"/>
    <w:rsid w:val="5082250C"/>
    <w:rsid w:val="508605D9"/>
    <w:rsid w:val="50A76ECD"/>
    <w:rsid w:val="50AB687F"/>
    <w:rsid w:val="50B36032"/>
    <w:rsid w:val="50BD2394"/>
    <w:rsid w:val="50BD7329"/>
    <w:rsid w:val="50C02456"/>
    <w:rsid w:val="50C51101"/>
    <w:rsid w:val="50C7131D"/>
    <w:rsid w:val="50C939BF"/>
    <w:rsid w:val="50E34925"/>
    <w:rsid w:val="50EF43D0"/>
    <w:rsid w:val="50F36726"/>
    <w:rsid w:val="50F814D6"/>
    <w:rsid w:val="50FB2D75"/>
    <w:rsid w:val="50FB36C9"/>
    <w:rsid w:val="51060B8A"/>
    <w:rsid w:val="5109055A"/>
    <w:rsid w:val="510A120A"/>
    <w:rsid w:val="510E36AA"/>
    <w:rsid w:val="510E68C4"/>
    <w:rsid w:val="51181D4C"/>
    <w:rsid w:val="51285911"/>
    <w:rsid w:val="5146436C"/>
    <w:rsid w:val="514C537E"/>
    <w:rsid w:val="514D47AF"/>
    <w:rsid w:val="515E2B63"/>
    <w:rsid w:val="515E4AE3"/>
    <w:rsid w:val="516140B5"/>
    <w:rsid w:val="51711289"/>
    <w:rsid w:val="51717C48"/>
    <w:rsid w:val="517B6D7D"/>
    <w:rsid w:val="519D3E2C"/>
    <w:rsid w:val="51A210EC"/>
    <w:rsid w:val="51AC50FD"/>
    <w:rsid w:val="51B64EEE"/>
    <w:rsid w:val="51BA678C"/>
    <w:rsid w:val="51BB5909"/>
    <w:rsid w:val="51C413B8"/>
    <w:rsid w:val="51C770FB"/>
    <w:rsid w:val="51CA735E"/>
    <w:rsid w:val="51CE579E"/>
    <w:rsid w:val="51D045C6"/>
    <w:rsid w:val="51D13AD5"/>
    <w:rsid w:val="51D32E50"/>
    <w:rsid w:val="51D830B6"/>
    <w:rsid w:val="51DC4954"/>
    <w:rsid w:val="51E1640E"/>
    <w:rsid w:val="51EC0059"/>
    <w:rsid w:val="51EC2961"/>
    <w:rsid w:val="51F021AD"/>
    <w:rsid w:val="51F158AE"/>
    <w:rsid w:val="51F36142"/>
    <w:rsid w:val="51F577C4"/>
    <w:rsid w:val="51F62815"/>
    <w:rsid w:val="51FB60DD"/>
    <w:rsid w:val="520135B6"/>
    <w:rsid w:val="52033AC7"/>
    <w:rsid w:val="520B0D16"/>
    <w:rsid w:val="520D544A"/>
    <w:rsid w:val="522336C0"/>
    <w:rsid w:val="522A601F"/>
    <w:rsid w:val="522B7999"/>
    <w:rsid w:val="523522B6"/>
    <w:rsid w:val="5242431B"/>
    <w:rsid w:val="52505342"/>
    <w:rsid w:val="52526EAC"/>
    <w:rsid w:val="525B04CB"/>
    <w:rsid w:val="52652A9F"/>
    <w:rsid w:val="526A62DE"/>
    <w:rsid w:val="527F1783"/>
    <w:rsid w:val="528172AA"/>
    <w:rsid w:val="52825B1B"/>
    <w:rsid w:val="528648C0"/>
    <w:rsid w:val="528C2E2C"/>
    <w:rsid w:val="52976ACD"/>
    <w:rsid w:val="529A3963"/>
    <w:rsid w:val="529C2335"/>
    <w:rsid w:val="52A64E63"/>
    <w:rsid w:val="52B40951"/>
    <w:rsid w:val="52B70F1D"/>
    <w:rsid w:val="52C92CAE"/>
    <w:rsid w:val="52CB3B04"/>
    <w:rsid w:val="52DC6BD6"/>
    <w:rsid w:val="52E1348B"/>
    <w:rsid w:val="52E71802"/>
    <w:rsid w:val="530103EA"/>
    <w:rsid w:val="53042DB3"/>
    <w:rsid w:val="53060259"/>
    <w:rsid w:val="531445C2"/>
    <w:rsid w:val="53226CDE"/>
    <w:rsid w:val="53230361"/>
    <w:rsid w:val="532F4F57"/>
    <w:rsid w:val="533B56AA"/>
    <w:rsid w:val="534043BC"/>
    <w:rsid w:val="5349426B"/>
    <w:rsid w:val="53555511"/>
    <w:rsid w:val="5359405E"/>
    <w:rsid w:val="535A7601"/>
    <w:rsid w:val="53685179"/>
    <w:rsid w:val="5368753B"/>
    <w:rsid w:val="53695B54"/>
    <w:rsid w:val="537137C2"/>
    <w:rsid w:val="5371731E"/>
    <w:rsid w:val="537B019D"/>
    <w:rsid w:val="53937719"/>
    <w:rsid w:val="53990C1F"/>
    <w:rsid w:val="539A4AC7"/>
    <w:rsid w:val="53A94C06"/>
    <w:rsid w:val="53B51901"/>
    <w:rsid w:val="53BF1667"/>
    <w:rsid w:val="53CE58BF"/>
    <w:rsid w:val="53D03945"/>
    <w:rsid w:val="53D3371B"/>
    <w:rsid w:val="53DB1569"/>
    <w:rsid w:val="53EA0E7E"/>
    <w:rsid w:val="53EC2E48"/>
    <w:rsid w:val="53F174D9"/>
    <w:rsid w:val="53F90DCC"/>
    <w:rsid w:val="53FC304C"/>
    <w:rsid w:val="54085ED4"/>
    <w:rsid w:val="540A3A96"/>
    <w:rsid w:val="540A762E"/>
    <w:rsid w:val="540C7047"/>
    <w:rsid w:val="540D34EB"/>
    <w:rsid w:val="54116BB4"/>
    <w:rsid w:val="54135749"/>
    <w:rsid w:val="54183C77"/>
    <w:rsid w:val="541960F0"/>
    <w:rsid w:val="542C518A"/>
    <w:rsid w:val="542F72A2"/>
    <w:rsid w:val="54322F51"/>
    <w:rsid w:val="54336CC9"/>
    <w:rsid w:val="54422A68"/>
    <w:rsid w:val="54455B1E"/>
    <w:rsid w:val="544E5CE1"/>
    <w:rsid w:val="54534C76"/>
    <w:rsid w:val="54556C40"/>
    <w:rsid w:val="54680721"/>
    <w:rsid w:val="546F32DC"/>
    <w:rsid w:val="5472078A"/>
    <w:rsid w:val="54756CD9"/>
    <w:rsid w:val="547C5F7A"/>
    <w:rsid w:val="54977258"/>
    <w:rsid w:val="54994D7E"/>
    <w:rsid w:val="54AD6A7C"/>
    <w:rsid w:val="54B917AF"/>
    <w:rsid w:val="54BA4CF5"/>
    <w:rsid w:val="54BD4419"/>
    <w:rsid w:val="54BD75DE"/>
    <w:rsid w:val="54C17E31"/>
    <w:rsid w:val="54C6369A"/>
    <w:rsid w:val="54CF254E"/>
    <w:rsid w:val="54D27205"/>
    <w:rsid w:val="54DA5642"/>
    <w:rsid w:val="54E77107"/>
    <w:rsid w:val="54E83610"/>
    <w:rsid w:val="54F77DBF"/>
    <w:rsid w:val="54FC530D"/>
    <w:rsid w:val="54FC6198"/>
    <w:rsid w:val="55000C8A"/>
    <w:rsid w:val="55004DFD"/>
    <w:rsid w:val="55086696"/>
    <w:rsid w:val="551D59AF"/>
    <w:rsid w:val="551D779F"/>
    <w:rsid w:val="552503C0"/>
    <w:rsid w:val="55270152"/>
    <w:rsid w:val="552A00CC"/>
    <w:rsid w:val="5531145B"/>
    <w:rsid w:val="553178CF"/>
    <w:rsid w:val="55377FD3"/>
    <w:rsid w:val="55436A98"/>
    <w:rsid w:val="55480552"/>
    <w:rsid w:val="554C0BA9"/>
    <w:rsid w:val="555313D1"/>
    <w:rsid w:val="555962BC"/>
    <w:rsid w:val="55664405"/>
    <w:rsid w:val="5569376F"/>
    <w:rsid w:val="556F788D"/>
    <w:rsid w:val="557D644E"/>
    <w:rsid w:val="55831706"/>
    <w:rsid w:val="55833339"/>
    <w:rsid w:val="558A0B6B"/>
    <w:rsid w:val="558C6567"/>
    <w:rsid w:val="55A12C72"/>
    <w:rsid w:val="55A439DB"/>
    <w:rsid w:val="55AD20B3"/>
    <w:rsid w:val="55B05A1E"/>
    <w:rsid w:val="55BB2954"/>
    <w:rsid w:val="55BE2D74"/>
    <w:rsid w:val="55C5183A"/>
    <w:rsid w:val="55CA27E7"/>
    <w:rsid w:val="55CA76DF"/>
    <w:rsid w:val="55CB6607"/>
    <w:rsid w:val="55CF47D0"/>
    <w:rsid w:val="55E0078B"/>
    <w:rsid w:val="55E30E20"/>
    <w:rsid w:val="55F14746"/>
    <w:rsid w:val="55F3611F"/>
    <w:rsid w:val="55F4430B"/>
    <w:rsid w:val="55F7066D"/>
    <w:rsid w:val="55FC087E"/>
    <w:rsid w:val="56026953"/>
    <w:rsid w:val="560721BC"/>
    <w:rsid w:val="560E7AEF"/>
    <w:rsid w:val="56233DA9"/>
    <w:rsid w:val="56242E47"/>
    <w:rsid w:val="562543F0"/>
    <w:rsid w:val="56254ACE"/>
    <w:rsid w:val="562C1C22"/>
    <w:rsid w:val="562C39D0"/>
    <w:rsid w:val="5634522F"/>
    <w:rsid w:val="563C1E65"/>
    <w:rsid w:val="563D1EF0"/>
    <w:rsid w:val="5648247B"/>
    <w:rsid w:val="565328D9"/>
    <w:rsid w:val="56535401"/>
    <w:rsid w:val="56554CD5"/>
    <w:rsid w:val="565C569D"/>
    <w:rsid w:val="565E627F"/>
    <w:rsid w:val="567333AD"/>
    <w:rsid w:val="56763E09"/>
    <w:rsid w:val="567F795E"/>
    <w:rsid w:val="56892BD1"/>
    <w:rsid w:val="56903FAE"/>
    <w:rsid w:val="56A6361C"/>
    <w:rsid w:val="56A949C2"/>
    <w:rsid w:val="56AD68BF"/>
    <w:rsid w:val="56B310C2"/>
    <w:rsid w:val="56CD51B3"/>
    <w:rsid w:val="56D8324A"/>
    <w:rsid w:val="56DC0634"/>
    <w:rsid w:val="56DC71A4"/>
    <w:rsid w:val="56ED13B1"/>
    <w:rsid w:val="56ED315F"/>
    <w:rsid w:val="56F42740"/>
    <w:rsid w:val="56F65728"/>
    <w:rsid w:val="57060E24"/>
    <w:rsid w:val="570E3A04"/>
    <w:rsid w:val="57110E64"/>
    <w:rsid w:val="57115B7E"/>
    <w:rsid w:val="572954B2"/>
    <w:rsid w:val="572B3C93"/>
    <w:rsid w:val="572E240C"/>
    <w:rsid w:val="5739691D"/>
    <w:rsid w:val="573B036F"/>
    <w:rsid w:val="57454278"/>
    <w:rsid w:val="57480FB9"/>
    <w:rsid w:val="574D2A94"/>
    <w:rsid w:val="574F533B"/>
    <w:rsid w:val="57525385"/>
    <w:rsid w:val="57580F21"/>
    <w:rsid w:val="576528E0"/>
    <w:rsid w:val="576A3BB8"/>
    <w:rsid w:val="57993545"/>
    <w:rsid w:val="57A90DF0"/>
    <w:rsid w:val="57BB5989"/>
    <w:rsid w:val="57BC3869"/>
    <w:rsid w:val="57C032D3"/>
    <w:rsid w:val="57C06B72"/>
    <w:rsid w:val="57C93BCD"/>
    <w:rsid w:val="57DB56AE"/>
    <w:rsid w:val="57E77B5C"/>
    <w:rsid w:val="57F7487B"/>
    <w:rsid w:val="57FD3876"/>
    <w:rsid w:val="580E5A83"/>
    <w:rsid w:val="581666E6"/>
    <w:rsid w:val="58201313"/>
    <w:rsid w:val="58306118"/>
    <w:rsid w:val="5836528E"/>
    <w:rsid w:val="583A0626"/>
    <w:rsid w:val="583C1E47"/>
    <w:rsid w:val="5842572D"/>
    <w:rsid w:val="58471231"/>
    <w:rsid w:val="584A41F8"/>
    <w:rsid w:val="584E24DB"/>
    <w:rsid w:val="585316E8"/>
    <w:rsid w:val="58590AD0"/>
    <w:rsid w:val="585F008D"/>
    <w:rsid w:val="585F489C"/>
    <w:rsid w:val="586451B5"/>
    <w:rsid w:val="58670CF0"/>
    <w:rsid w:val="587873A1"/>
    <w:rsid w:val="58832CD9"/>
    <w:rsid w:val="58892DB2"/>
    <w:rsid w:val="58893182"/>
    <w:rsid w:val="5889335C"/>
    <w:rsid w:val="588C5598"/>
    <w:rsid w:val="588F58B2"/>
    <w:rsid w:val="589046EA"/>
    <w:rsid w:val="58943211"/>
    <w:rsid w:val="589545FC"/>
    <w:rsid w:val="58966A77"/>
    <w:rsid w:val="589D0BB5"/>
    <w:rsid w:val="58A43CF2"/>
    <w:rsid w:val="58AE4B70"/>
    <w:rsid w:val="58B33BE7"/>
    <w:rsid w:val="58BF0B2C"/>
    <w:rsid w:val="58CD6C76"/>
    <w:rsid w:val="58CE05D8"/>
    <w:rsid w:val="58DE5456"/>
    <w:rsid w:val="58F06F37"/>
    <w:rsid w:val="58F845EC"/>
    <w:rsid w:val="58F92290"/>
    <w:rsid w:val="590044BF"/>
    <w:rsid w:val="59133CC7"/>
    <w:rsid w:val="591D1071"/>
    <w:rsid w:val="59213594"/>
    <w:rsid w:val="59247B71"/>
    <w:rsid w:val="592D1F39"/>
    <w:rsid w:val="593037D7"/>
    <w:rsid w:val="593058FE"/>
    <w:rsid w:val="593257A1"/>
    <w:rsid w:val="593B28A8"/>
    <w:rsid w:val="594554D5"/>
    <w:rsid w:val="59457283"/>
    <w:rsid w:val="59487733"/>
    <w:rsid w:val="59577BD8"/>
    <w:rsid w:val="59581927"/>
    <w:rsid w:val="595F4D49"/>
    <w:rsid w:val="59647A23"/>
    <w:rsid w:val="597933D0"/>
    <w:rsid w:val="5988035B"/>
    <w:rsid w:val="598B6C60"/>
    <w:rsid w:val="598E2D32"/>
    <w:rsid w:val="599E4D33"/>
    <w:rsid w:val="59AC5554"/>
    <w:rsid w:val="59B166C6"/>
    <w:rsid w:val="59B47EF2"/>
    <w:rsid w:val="59B66EB3"/>
    <w:rsid w:val="59B83EF9"/>
    <w:rsid w:val="59BA3C87"/>
    <w:rsid w:val="59C11D0E"/>
    <w:rsid w:val="59C83A10"/>
    <w:rsid w:val="59C97EB4"/>
    <w:rsid w:val="59D40607"/>
    <w:rsid w:val="59D84884"/>
    <w:rsid w:val="59ED3759"/>
    <w:rsid w:val="59EE791A"/>
    <w:rsid w:val="59F20A8D"/>
    <w:rsid w:val="59F44805"/>
    <w:rsid w:val="59F86D18"/>
    <w:rsid w:val="59FE5BB4"/>
    <w:rsid w:val="5A175510"/>
    <w:rsid w:val="5A22506C"/>
    <w:rsid w:val="5A24333C"/>
    <w:rsid w:val="5A32129E"/>
    <w:rsid w:val="5A3F12D5"/>
    <w:rsid w:val="5A427C66"/>
    <w:rsid w:val="5A464241"/>
    <w:rsid w:val="5A4A08C9"/>
    <w:rsid w:val="5A4A10DF"/>
    <w:rsid w:val="5A4E0416"/>
    <w:rsid w:val="5A557999"/>
    <w:rsid w:val="5A563FC2"/>
    <w:rsid w:val="5A763514"/>
    <w:rsid w:val="5A7A7400"/>
    <w:rsid w:val="5A821E11"/>
    <w:rsid w:val="5A89319F"/>
    <w:rsid w:val="5A8D6E0C"/>
    <w:rsid w:val="5A9903E0"/>
    <w:rsid w:val="5A9A1850"/>
    <w:rsid w:val="5A9A581B"/>
    <w:rsid w:val="5A9B74F7"/>
    <w:rsid w:val="5AA219DE"/>
    <w:rsid w:val="5AB32454"/>
    <w:rsid w:val="5ABB5323"/>
    <w:rsid w:val="5ABC3575"/>
    <w:rsid w:val="5AC116A1"/>
    <w:rsid w:val="5ACA3A04"/>
    <w:rsid w:val="5ACE03C8"/>
    <w:rsid w:val="5AE25520"/>
    <w:rsid w:val="5AEA5520"/>
    <w:rsid w:val="5AF30001"/>
    <w:rsid w:val="5B0647F0"/>
    <w:rsid w:val="5B070568"/>
    <w:rsid w:val="5B0C0BE6"/>
    <w:rsid w:val="5B173F22"/>
    <w:rsid w:val="5B1C2265"/>
    <w:rsid w:val="5B242EC8"/>
    <w:rsid w:val="5B2E0ED5"/>
    <w:rsid w:val="5B2E56C1"/>
    <w:rsid w:val="5B37709F"/>
    <w:rsid w:val="5B3B30A7"/>
    <w:rsid w:val="5B3B50F4"/>
    <w:rsid w:val="5B410F66"/>
    <w:rsid w:val="5B4517BC"/>
    <w:rsid w:val="5B4672E2"/>
    <w:rsid w:val="5B50350A"/>
    <w:rsid w:val="5B5437AD"/>
    <w:rsid w:val="5B5B72AF"/>
    <w:rsid w:val="5B751975"/>
    <w:rsid w:val="5B8206DA"/>
    <w:rsid w:val="5B8C6DAF"/>
    <w:rsid w:val="5B995664"/>
    <w:rsid w:val="5B9A5BB0"/>
    <w:rsid w:val="5BA6536C"/>
    <w:rsid w:val="5BB719F9"/>
    <w:rsid w:val="5BC153B9"/>
    <w:rsid w:val="5BD3501A"/>
    <w:rsid w:val="5BDE39BF"/>
    <w:rsid w:val="5BE43388"/>
    <w:rsid w:val="5BE663CF"/>
    <w:rsid w:val="5BE80399"/>
    <w:rsid w:val="5BF22FC6"/>
    <w:rsid w:val="5BF31218"/>
    <w:rsid w:val="5BF8682E"/>
    <w:rsid w:val="5BF929E5"/>
    <w:rsid w:val="5BFA7708"/>
    <w:rsid w:val="5C012D4D"/>
    <w:rsid w:val="5C044ACF"/>
    <w:rsid w:val="5C052CF9"/>
    <w:rsid w:val="5C1C0CEF"/>
    <w:rsid w:val="5C1D0259"/>
    <w:rsid w:val="5C2238AB"/>
    <w:rsid w:val="5C2C472A"/>
    <w:rsid w:val="5C2C64D8"/>
    <w:rsid w:val="5C2E163D"/>
    <w:rsid w:val="5C34538D"/>
    <w:rsid w:val="5C366FAA"/>
    <w:rsid w:val="5C3D6937"/>
    <w:rsid w:val="5C46432B"/>
    <w:rsid w:val="5C502193"/>
    <w:rsid w:val="5C5E240A"/>
    <w:rsid w:val="5C6C0FCA"/>
    <w:rsid w:val="5C7A1768"/>
    <w:rsid w:val="5C7A6342"/>
    <w:rsid w:val="5C7B371F"/>
    <w:rsid w:val="5C7C7666"/>
    <w:rsid w:val="5C841B60"/>
    <w:rsid w:val="5C8A1451"/>
    <w:rsid w:val="5C8A495A"/>
    <w:rsid w:val="5CA240BE"/>
    <w:rsid w:val="5CAE15E3"/>
    <w:rsid w:val="5CAF3AF1"/>
    <w:rsid w:val="5CB86E88"/>
    <w:rsid w:val="5CBA7F88"/>
    <w:rsid w:val="5CBE07F4"/>
    <w:rsid w:val="5CBE327B"/>
    <w:rsid w:val="5CC11316"/>
    <w:rsid w:val="5CCC1A69"/>
    <w:rsid w:val="5CD36FC3"/>
    <w:rsid w:val="5CD87476"/>
    <w:rsid w:val="5CDB3A5A"/>
    <w:rsid w:val="5CDD5A24"/>
    <w:rsid w:val="5CE60816"/>
    <w:rsid w:val="5CE60F57"/>
    <w:rsid w:val="5CE80A74"/>
    <w:rsid w:val="5CED68A4"/>
    <w:rsid w:val="5CF60894"/>
    <w:rsid w:val="5CF8285E"/>
    <w:rsid w:val="5CFB06F8"/>
    <w:rsid w:val="5CFF25FC"/>
    <w:rsid w:val="5D126A91"/>
    <w:rsid w:val="5D136050"/>
    <w:rsid w:val="5D1A77B1"/>
    <w:rsid w:val="5D21162B"/>
    <w:rsid w:val="5D213B7C"/>
    <w:rsid w:val="5D3E333B"/>
    <w:rsid w:val="5D414205"/>
    <w:rsid w:val="5D4B0BE0"/>
    <w:rsid w:val="5D4D3B1C"/>
    <w:rsid w:val="5D4F525F"/>
    <w:rsid w:val="5D5604BA"/>
    <w:rsid w:val="5D595968"/>
    <w:rsid w:val="5D5B1F15"/>
    <w:rsid w:val="5D5C7A80"/>
    <w:rsid w:val="5D5D0A92"/>
    <w:rsid w:val="5D610403"/>
    <w:rsid w:val="5D6D410D"/>
    <w:rsid w:val="5D7B6683"/>
    <w:rsid w:val="5D8130C8"/>
    <w:rsid w:val="5D872C34"/>
    <w:rsid w:val="5D881E34"/>
    <w:rsid w:val="5D9B0FFF"/>
    <w:rsid w:val="5DA30A1C"/>
    <w:rsid w:val="5DA872AE"/>
    <w:rsid w:val="5DA96B27"/>
    <w:rsid w:val="5DB26EB1"/>
    <w:rsid w:val="5DB86DDD"/>
    <w:rsid w:val="5DBB5D65"/>
    <w:rsid w:val="5DC400CB"/>
    <w:rsid w:val="5DD13A18"/>
    <w:rsid w:val="5DDF6561"/>
    <w:rsid w:val="5DE2248A"/>
    <w:rsid w:val="5DF04D4E"/>
    <w:rsid w:val="5DF52528"/>
    <w:rsid w:val="5E0038E7"/>
    <w:rsid w:val="5E036BBE"/>
    <w:rsid w:val="5E053485"/>
    <w:rsid w:val="5E086AD1"/>
    <w:rsid w:val="5E167440"/>
    <w:rsid w:val="5E1A6F32"/>
    <w:rsid w:val="5E211941"/>
    <w:rsid w:val="5E23397E"/>
    <w:rsid w:val="5E27164D"/>
    <w:rsid w:val="5E3653EC"/>
    <w:rsid w:val="5E3C3095"/>
    <w:rsid w:val="5E3D0154"/>
    <w:rsid w:val="5E40270F"/>
    <w:rsid w:val="5E412308"/>
    <w:rsid w:val="5E426035"/>
    <w:rsid w:val="5E483371"/>
    <w:rsid w:val="5E51556C"/>
    <w:rsid w:val="5E54611D"/>
    <w:rsid w:val="5E6035AC"/>
    <w:rsid w:val="5E6A32E8"/>
    <w:rsid w:val="5E6C7060"/>
    <w:rsid w:val="5E6D4A94"/>
    <w:rsid w:val="5E760319"/>
    <w:rsid w:val="5E7D486A"/>
    <w:rsid w:val="5E7E5A19"/>
    <w:rsid w:val="5E875C48"/>
    <w:rsid w:val="5E8C14B0"/>
    <w:rsid w:val="5E9513BD"/>
    <w:rsid w:val="5EA16336"/>
    <w:rsid w:val="5EAC1C1D"/>
    <w:rsid w:val="5EB366B7"/>
    <w:rsid w:val="5EB92998"/>
    <w:rsid w:val="5EBF4268"/>
    <w:rsid w:val="5EBF7C12"/>
    <w:rsid w:val="5ECA1FD8"/>
    <w:rsid w:val="5ECB7004"/>
    <w:rsid w:val="5ECC5D50"/>
    <w:rsid w:val="5ED05841"/>
    <w:rsid w:val="5ED12060"/>
    <w:rsid w:val="5ED13367"/>
    <w:rsid w:val="5EDA0F44"/>
    <w:rsid w:val="5EDC2437"/>
    <w:rsid w:val="5EDD6435"/>
    <w:rsid w:val="5EE96902"/>
    <w:rsid w:val="5F0E45BB"/>
    <w:rsid w:val="5F13572D"/>
    <w:rsid w:val="5F18390D"/>
    <w:rsid w:val="5F252A61"/>
    <w:rsid w:val="5F2B6F1B"/>
    <w:rsid w:val="5F2E68F6"/>
    <w:rsid w:val="5F2F1C7D"/>
    <w:rsid w:val="5F427DC1"/>
    <w:rsid w:val="5F4712CA"/>
    <w:rsid w:val="5F544E26"/>
    <w:rsid w:val="5F6D12E1"/>
    <w:rsid w:val="5F6E6E08"/>
    <w:rsid w:val="5F750196"/>
    <w:rsid w:val="5F7F2DC3"/>
    <w:rsid w:val="5F8108E9"/>
    <w:rsid w:val="5F832F4E"/>
    <w:rsid w:val="5F864151"/>
    <w:rsid w:val="5F8A1E93"/>
    <w:rsid w:val="5F9F3465"/>
    <w:rsid w:val="5FAB1E0A"/>
    <w:rsid w:val="5FAE4A45"/>
    <w:rsid w:val="5FB00B8B"/>
    <w:rsid w:val="5FBE38EB"/>
    <w:rsid w:val="5FC52ECB"/>
    <w:rsid w:val="5FC55CDC"/>
    <w:rsid w:val="5FCA380B"/>
    <w:rsid w:val="5FCD7FD2"/>
    <w:rsid w:val="5FD21144"/>
    <w:rsid w:val="5FDC6467"/>
    <w:rsid w:val="5FDF06F9"/>
    <w:rsid w:val="5FE405F8"/>
    <w:rsid w:val="5FED0411"/>
    <w:rsid w:val="6005151A"/>
    <w:rsid w:val="601249DE"/>
    <w:rsid w:val="60237BF2"/>
    <w:rsid w:val="602A2D2E"/>
    <w:rsid w:val="603E4A2C"/>
    <w:rsid w:val="604502E2"/>
    <w:rsid w:val="6051475F"/>
    <w:rsid w:val="60591866"/>
    <w:rsid w:val="605D3104"/>
    <w:rsid w:val="60687CFB"/>
    <w:rsid w:val="606E3563"/>
    <w:rsid w:val="607C7302"/>
    <w:rsid w:val="607E36A7"/>
    <w:rsid w:val="60830691"/>
    <w:rsid w:val="608A307B"/>
    <w:rsid w:val="608C1C3B"/>
    <w:rsid w:val="60915396"/>
    <w:rsid w:val="609B59DA"/>
    <w:rsid w:val="60BD0047"/>
    <w:rsid w:val="60C73D08"/>
    <w:rsid w:val="60CE7B5E"/>
    <w:rsid w:val="60D10B85"/>
    <w:rsid w:val="60D95C38"/>
    <w:rsid w:val="60DE061A"/>
    <w:rsid w:val="60DF7FBD"/>
    <w:rsid w:val="60E3072E"/>
    <w:rsid w:val="60EA4E32"/>
    <w:rsid w:val="60EC5B89"/>
    <w:rsid w:val="60ED46AB"/>
    <w:rsid w:val="60F03041"/>
    <w:rsid w:val="60FD0443"/>
    <w:rsid w:val="61004E5C"/>
    <w:rsid w:val="61005AF5"/>
    <w:rsid w:val="61050FC1"/>
    <w:rsid w:val="6108648F"/>
    <w:rsid w:val="6109503A"/>
    <w:rsid w:val="61113EEE"/>
    <w:rsid w:val="61247BC4"/>
    <w:rsid w:val="612956DC"/>
    <w:rsid w:val="613057B7"/>
    <w:rsid w:val="613259D3"/>
    <w:rsid w:val="61361924"/>
    <w:rsid w:val="6138147B"/>
    <w:rsid w:val="6141508A"/>
    <w:rsid w:val="61462F51"/>
    <w:rsid w:val="6148654C"/>
    <w:rsid w:val="61565DA5"/>
    <w:rsid w:val="61590C81"/>
    <w:rsid w:val="61596B36"/>
    <w:rsid w:val="615F10FE"/>
    <w:rsid w:val="616A2DCE"/>
    <w:rsid w:val="616B7AA3"/>
    <w:rsid w:val="617150E9"/>
    <w:rsid w:val="61783AE7"/>
    <w:rsid w:val="617E0DE9"/>
    <w:rsid w:val="61812E22"/>
    <w:rsid w:val="61860438"/>
    <w:rsid w:val="618777FF"/>
    <w:rsid w:val="61881C66"/>
    <w:rsid w:val="61961018"/>
    <w:rsid w:val="61994561"/>
    <w:rsid w:val="61AC3CD1"/>
    <w:rsid w:val="61AF5DE8"/>
    <w:rsid w:val="61B06C81"/>
    <w:rsid w:val="61B52ACC"/>
    <w:rsid w:val="61C104F5"/>
    <w:rsid w:val="61C70EBD"/>
    <w:rsid w:val="61C827FF"/>
    <w:rsid w:val="61E909C7"/>
    <w:rsid w:val="61EA24F2"/>
    <w:rsid w:val="62022090"/>
    <w:rsid w:val="620C77C4"/>
    <w:rsid w:val="62143C96"/>
    <w:rsid w:val="621C40C6"/>
    <w:rsid w:val="621D675B"/>
    <w:rsid w:val="62214605"/>
    <w:rsid w:val="622D4D58"/>
    <w:rsid w:val="622F0AD0"/>
    <w:rsid w:val="623F6839"/>
    <w:rsid w:val="62447573"/>
    <w:rsid w:val="62586279"/>
    <w:rsid w:val="625C254D"/>
    <w:rsid w:val="62740BD9"/>
    <w:rsid w:val="627666FF"/>
    <w:rsid w:val="627961EF"/>
    <w:rsid w:val="627C183B"/>
    <w:rsid w:val="6299419B"/>
    <w:rsid w:val="629E02F8"/>
    <w:rsid w:val="62BF19C5"/>
    <w:rsid w:val="62C21E48"/>
    <w:rsid w:val="62C40DFD"/>
    <w:rsid w:val="62CC27C3"/>
    <w:rsid w:val="62CF2550"/>
    <w:rsid w:val="62D0059F"/>
    <w:rsid w:val="62DB47B4"/>
    <w:rsid w:val="62DE42A4"/>
    <w:rsid w:val="62E278F0"/>
    <w:rsid w:val="62E328C2"/>
    <w:rsid w:val="630006BE"/>
    <w:rsid w:val="6302586E"/>
    <w:rsid w:val="63092BE9"/>
    <w:rsid w:val="630B0D25"/>
    <w:rsid w:val="631A352E"/>
    <w:rsid w:val="63200C00"/>
    <w:rsid w:val="632F30CD"/>
    <w:rsid w:val="633137E9"/>
    <w:rsid w:val="633345F0"/>
    <w:rsid w:val="63377A7A"/>
    <w:rsid w:val="63381C06"/>
    <w:rsid w:val="633D0FCB"/>
    <w:rsid w:val="633F4D43"/>
    <w:rsid w:val="63435BFE"/>
    <w:rsid w:val="63495BC1"/>
    <w:rsid w:val="63536A40"/>
    <w:rsid w:val="635602DE"/>
    <w:rsid w:val="63690012"/>
    <w:rsid w:val="63700796"/>
    <w:rsid w:val="637B1B68"/>
    <w:rsid w:val="638E5CCA"/>
    <w:rsid w:val="639F1128"/>
    <w:rsid w:val="63A64DC2"/>
    <w:rsid w:val="63AE3C76"/>
    <w:rsid w:val="63B70D7D"/>
    <w:rsid w:val="63B76FCF"/>
    <w:rsid w:val="63D95197"/>
    <w:rsid w:val="63DC6A36"/>
    <w:rsid w:val="63EF49BB"/>
    <w:rsid w:val="63F0428F"/>
    <w:rsid w:val="63F35EC1"/>
    <w:rsid w:val="64032DE5"/>
    <w:rsid w:val="64124205"/>
    <w:rsid w:val="64157DCB"/>
    <w:rsid w:val="641C5084"/>
    <w:rsid w:val="641F4B74"/>
    <w:rsid w:val="642B3D97"/>
    <w:rsid w:val="642C6F17"/>
    <w:rsid w:val="642D7291"/>
    <w:rsid w:val="643B31CD"/>
    <w:rsid w:val="643C1282"/>
    <w:rsid w:val="643E324C"/>
    <w:rsid w:val="64403E42"/>
    <w:rsid w:val="64432611"/>
    <w:rsid w:val="64520AA6"/>
    <w:rsid w:val="645412C6"/>
    <w:rsid w:val="645B2050"/>
    <w:rsid w:val="645D4770"/>
    <w:rsid w:val="64772CF6"/>
    <w:rsid w:val="647B383B"/>
    <w:rsid w:val="647C7B30"/>
    <w:rsid w:val="647D4422"/>
    <w:rsid w:val="64852C29"/>
    <w:rsid w:val="6488096B"/>
    <w:rsid w:val="648A6492"/>
    <w:rsid w:val="648C7EFE"/>
    <w:rsid w:val="648E040A"/>
    <w:rsid w:val="649015CE"/>
    <w:rsid w:val="64915201"/>
    <w:rsid w:val="64AA7AB7"/>
    <w:rsid w:val="64B4350F"/>
    <w:rsid w:val="64BA34FF"/>
    <w:rsid w:val="64DB4F3F"/>
    <w:rsid w:val="64DD4813"/>
    <w:rsid w:val="64E71F99"/>
    <w:rsid w:val="64F1206D"/>
    <w:rsid w:val="64F16511"/>
    <w:rsid w:val="64F35F97"/>
    <w:rsid w:val="65045E61"/>
    <w:rsid w:val="65055521"/>
    <w:rsid w:val="65077AE2"/>
    <w:rsid w:val="652705B3"/>
    <w:rsid w:val="652E32C1"/>
    <w:rsid w:val="65336B29"/>
    <w:rsid w:val="653463FD"/>
    <w:rsid w:val="65393A14"/>
    <w:rsid w:val="654C7BEB"/>
    <w:rsid w:val="654F52DD"/>
    <w:rsid w:val="655149D9"/>
    <w:rsid w:val="65646CE3"/>
    <w:rsid w:val="656A18C5"/>
    <w:rsid w:val="656D3445"/>
    <w:rsid w:val="656E4301"/>
    <w:rsid w:val="65795F18"/>
    <w:rsid w:val="657D1F2D"/>
    <w:rsid w:val="65812FCF"/>
    <w:rsid w:val="658D448B"/>
    <w:rsid w:val="65A74CE3"/>
    <w:rsid w:val="65A82571"/>
    <w:rsid w:val="65B337C6"/>
    <w:rsid w:val="65B437F8"/>
    <w:rsid w:val="65B704E0"/>
    <w:rsid w:val="65C40D88"/>
    <w:rsid w:val="65C77271"/>
    <w:rsid w:val="65DD02E0"/>
    <w:rsid w:val="65DF0783"/>
    <w:rsid w:val="65E240AB"/>
    <w:rsid w:val="65E75AA3"/>
    <w:rsid w:val="660316DA"/>
    <w:rsid w:val="66042274"/>
    <w:rsid w:val="66097C7D"/>
    <w:rsid w:val="660B3A10"/>
    <w:rsid w:val="660E41BF"/>
    <w:rsid w:val="66203063"/>
    <w:rsid w:val="66256DBE"/>
    <w:rsid w:val="663366B5"/>
    <w:rsid w:val="66344907"/>
    <w:rsid w:val="66486604"/>
    <w:rsid w:val="665E5BD6"/>
    <w:rsid w:val="665F7066"/>
    <w:rsid w:val="66636F9A"/>
    <w:rsid w:val="66664CDC"/>
    <w:rsid w:val="66686EF6"/>
    <w:rsid w:val="666909E2"/>
    <w:rsid w:val="666B5E4F"/>
    <w:rsid w:val="667E5B82"/>
    <w:rsid w:val="66847AD9"/>
    <w:rsid w:val="668B4BF2"/>
    <w:rsid w:val="66925AD1"/>
    <w:rsid w:val="66AD6727"/>
    <w:rsid w:val="66AF0431"/>
    <w:rsid w:val="66D234DE"/>
    <w:rsid w:val="66D470B2"/>
    <w:rsid w:val="66D87988"/>
    <w:rsid w:val="66D934A5"/>
    <w:rsid w:val="66DD08BE"/>
    <w:rsid w:val="66FE2E8C"/>
    <w:rsid w:val="67006EDF"/>
    <w:rsid w:val="67007834"/>
    <w:rsid w:val="670D457F"/>
    <w:rsid w:val="6712276E"/>
    <w:rsid w:val="67136C12"/>
    <w:rsid w:val="6723497B"/>
    <w:rsid w:val="672E75A8"/>
    <w:rsid w:val="67386679"/>
    <w:rsid w:val="673D3C8F"/>
    <w:rsid w:val="67492634"/>
    <w:rsid w:val="67530DBD"/>
    <w:rsid w:val="67535261"/>
    <w:rsid w:val="675B2367"/>
    <w:rsid w:val="67674868"/>
    <w:rsid w:val="67693477"/>
    <w:rsid w:val="676B07FC"/>
    <w:rsid w:val="676B5339"/>
    <w:rsid w:val="676E3E49"/>
    <w:rsid w:val="67746F85"/>
    <w:rsid w:val="67803B7C"/>
    <w:rsid w:val="67877656"/>
    <w:rsid w:val="678B49FB"/>
    <w:rsid w:val="67900263"/>
    <w:rsid w:val="67982DDE"/>
    <w:rsid w:val="679B01F2"/>
    <w:rsid w:val="67AD6DE0"/>
    <w:rsid w:val="67CF6087"/>
    <w:rsid w:val="67D11A02"/>
    <w:rsid w:val="67D85766"/>
    <w:rsid w:val="67DB34A1"/>
    <w:rsid w:val="67DB4029"/>
    <w:rsid w:val="67E16738"/>
    <w:rsid w:val="67F00D02"/>
    <w:rsid w:val="67F071BE"/>
    <w:rsid w:val="68150593"/>
    <w:rsid w:val="68191E64"/>
    <w:rsid w:val="681E586F"/>
    <w:rsid w:val="682A2E18"/>
    <w:rsid w:val="683010B1"/>
    <w:rsid w:val="68306927"/>
    <w:rsid w:val="68307350"/>
    <w:rsid w:val="68440261"/>
    <w:rsid w:val="68470119"/>
    <w:rsid w:val="68594AF9"/>
    <w:rsid w:val="687234C5"/>
    <w:rsid w:val="687A4A6F"/>
    <w:rsid w:val="689C2C37"/>
    <w:rsid w:val="689E075E"/>
    <w:rsid w:val="689E6FC8"/>
    <w:rsid w:val="68A33854"/>
    <w:rsid w:val="68B24209"/>
    <w:rsid w:val="68B65AA7"/>
    <w:rsid w:val="68CD2E71"/>
    <w:rsid w:val="68D128E1"/>
    <w:rsid w:val="68D75788"/>
    <w:rsid w:val="68F22857"/>
    <w:rsid w:val="68F44821"/>
    <w:rsid w:val="68F62348"/>
    <w:rsid w:val="68FB5BB0"/>
    <w:rsid w:val="690600B1"/>
    <w:rsid w:val="690A194F"/>
    <w:rsid w:val="690A5DF3"/>
    <w:rsid w:val="691068EE"/>
    <w:rsid w:val="691D5B26"/>
    <w:rsid w:val="692A2DBA"/>
    <w:rsid w:val="692D388F"/>
    <w:rsid w:val="694C640B"/>
    <w:rsid w:val="694F7CAA"/>
    <w:rsid w:val="69822B36"/>
    <w:rsid w:val="69831701"/>
    <w:rsid w:val="69861FB1"/>
    <w:rsid w:val="69894F6A"/>
    <w:rsid w:val="69917D90"/>
    <w:rsid w:val="699B2EEF"/>
    <w:rsid w:val="699B4C9D"/>
    <w:rsid w:val="699C03E1"/>
    <w:rsid w:val="699D5E77"/>
    <w:rsid w:val="69A0462D"/>
    <w:rsid w:val="69AA2958"/>
    <w:rsid w:val="69AF5265"/>
    <w:rsid w:val="69B53FB1"/>
    <w:rsid w:val="69BD4C13"/>
    <w:rsid w:val="69BF30D1"/>
    <w:rsid w:val="69C23689"/>
    <w:rsid w:val="69C500A1"/>
    <w:rsid w:val="69D00DEB"/>
    <w:rsid w:val="69D9675B"/>
    <w:rsid w:val="69DA57C5"/>
    <w:rsid w:val="69E00902"/>
    <w:rsid w:val="69E77EE2"/>
    <w:rsid w:val="69E9286E"/>
    <w:rsid w:val="69EC72A7"/>
    <w:rsid w:val="6A176822"/>
    <w:rsid w:val="6A1A2066"/>
    <w:rsid w:val="6A3273AF"/>
    <w:rsid w:val="6A366774"/>
    <w:rsid w:val="6A38073E"/>
    <w:rsid w:val="6A54480D"/>
    <w:rsid w:val="6A5A06B4"/>
    <w:rsid w:val="6A7604C3"/>
    <w:rsid w:val="6A787694"/>
    <w:rsid w:val="6A876FCF"/>
    <w:rsid w:val="6A90057A"/>
    <w:rsid w:val="6A927E4E"/>
    <w:rsid w:val="6A9B49DC"/>
    <w:rsid w:val="6AA85E77"/>
    <w:rsid w:val="6AAD425D"/>
    <w:rsid w:val="6AB26742"/>
    <w:rsid w:val="6AB72338"/>
    <w:rsid w:val="6ADE7048"/>
    <w:rsid w:val="6AF428B7"/>
    <w:rsid w:val="6AF65B34"/>
    <w:rsid w:val="6B076001"/>
    <w:rsid w:val="6B085760"/>
    <w:rsid w:val="6B105BD0"/>
    <w:rsid w:val="6B237606"/>
    <w:rsid w:val="6B4A2802"/>
    <w:rsid w:val="6B4D0219"/>
    <w:rsid w:val="6B560C49"/>
    <w:rsid w:val="6B63067C"/>
    <w:rsid w:val="6B6C069F"/>
    <w:rsid w:val="6B6D2669"/>
    <w:rsid w:val="6B6F4633"/>
    <w:rsid w:val="6B712159"/>
    <w:rsid w:val="6B7C465A"/>
    <w:rsid w:val="6B7D0D0B"/>
    <w:rsid w:val="6B882FFF"/>
    <w:rsid w:val="6B930BEB"/>
    <w:rsid w:val="6B973A42"/>
    <w:rsid w:val="6B982677"/>
    <w:rsid w:val="6B982F93"/>
    <w:rsid w:val="6BA3608B"/>
    <w:rsid w:val="6BAD0172"/>
    <w:rsid w:val="6BBE4C73"/>
    <w:rsid w:val="6BCC32A4"/>
    <w:rsid w:val="6BDB5825"/>
    <w:rsid w:val="6BDD159D"/>
    <w:rsid w:val="6BE47003"/>
    <w:rsid w:val="6BEC6D2D"/>
    <w:rsid w:val="6C064576"/>
    <w:rsid w:val="6C066099"/>
    <w:rsid w:val="6C1A00FB"/>
    <w:rsid w:val="6C225864"/>
    <w:rsid w:val="6C2B3D10"/>
    <w:rsid w:val="6C3118E9"/>
    <w:rsid w:val="6C313697"/>
    <w:rsid w:val="6C3220D6"/>
    <w:rsid w:val="6C411B2C"/>
    <w:rsid w:val="6C4505D6"/>
    <w:rsid w:val="6C5B1DE5"/>
    <w:rsid w:val="6C5B6EDA"/>
    <w:rsid w:val="6C7C7008"/>
    <w:rsid w:val="6C880260"/>
    <w:rsid w:val="6C9D0D2C"/>
    <w:rsid w:val="6CAA6B4F"/>
    <w:rsid w:val="6CAE2F39"/>
    <w:rsid w:val="6CB70040"/>
    <w:rsid w:val="6CB86921"/>
    <w:rsid w:val="6CC0466F"/>
    <w:rsid w:val="6CCA0E2A"/>
    <w:rsid w:val="6CCD403F"/>
    <w:rsid w:val="6CCE11F6"/>
    <w:rsid w:val="6CF05300"/>
    <w:rsid w:val="6CF546C4"/>
    <w:rsid w:val="6CFC7733"/>
    <w:rsid w:val="6D062D75"/>
    <w:rsid w:val="6D0770B7"/>
    <w:rsid w:val="6D0A6AB5"/>
    <w:rsid w:val="6D105AC9"/>
    <w:rsid w:val="6D15191A"/>
    <w:rsid w:val="6D176091"/>
    <w:rsid w:val="6D32233D"/>
    <w:rsid w:val="6D5533B5"/>
    <w:rsid w:val="6D5C369D"/>
    <w:rsid w:val="6D69748F"/>
    <w:rsid w:val="6D6C2BD8"/>
    <w:rsid w:val="6D6E7C26"/>
    <w:rsid w:val="6D77332B"/>
    <w:rsid w:val="6D7915E1"/>
    <w:rsid w:val="6D836174"/>
    <w:rsid w:val="6D84731B"/>
    <w:rsid w:val="6D8C09C0"/>
    <w:rsid w:val="6D91263F"/>
    <w:rsid w:val="6DA2484C"/>
    <w:rsid w:val="6DB602F7"/>
    <w:rsid w:val="6DB8568D"/>
    <w:rsid w:val="6DC41C0E"/>
    <w:rsid w:val="6DC731BA"/>
    <w:rsid w:val="6DC87FAF"/>
    <w:rsid w:val="6DD62748"/>
    <w:rsid w:val="6DF242FF"/>
    <w:rsid w:val="6E087D8C"/>
    <w:rsid w:val="6E146DCC"/>
    <w:rsid w:val="6E1F7C4B"/>
    <w:rsid w:val="6E2434B3"/>
    <w:rsid w:val="6E4B4EE4"/>
    <w:rsid w:val="6E4F6F25"/>
    <w:rsid w:val="6E6637E5"/>
    <w:rsid w:val="6E7736BC"/>
    <w:rsid w:val="6E79786D"/>
    <w:rsid w:val="6E867CCA"/>
    <w:rsid w:val="6E8B7A90"/>
    <w:rsid w:val="6E934195"/>
    <w:rsid w:val="6E95615F"/>
    <w:rsid w:val="6E9B3E8E"/>
    <w:rsid w:val="6E9E7C3E"/>
    <w:rsid w:val="6E9F1BFD"/>
    <w:rsid w:val="6EA04641"/>
    <w:rsid w:val="6EA31E03"/>
    <w:rsid w:val="6EB862D1"/>
    <w:rsid w:val="6EBF1B48"/>
    <w:rsid w:val="6EC1122A"/>
    <w:rsid w:val="6ECB1B80"/>
    <w:rsid w:val="6ECB392F"/>
    <w:rsid w:val="6ECD58F9"/>
    <w:rsid w:val="6ED8429D"/>
    <w:rsid w:val="6EE40F43"/>
    <w:rsid w:val="6EE70B67"/>
    <w:rsid w:val="6EE8016F"/>
    <w:rsid w:val="6EED7D49"/>
    <w:rsid w:val="6F0118FB"/>
    <w:rsid w:val="6F0230C8"/>
    <w:rsid w:val="6F0C33FE"/>
    <w:rsid w:val="6F0F5F11"/>
    <w:rsid w:val="6F2614AD"/>
    <w:rsid w:val="6F3C482C"/>
    <w:rsid w:val="6F5F0E86"/>
    <w:rsid w:val="6F614293"/>
    <w:rsid w:val="6F665DDE"/>
    <w:rsid w:val="6F743FC6"/>
    <w:rsid w:val="6F7929D2"/>
    <w:rsid w:val="6F831499"/>
    <w:rsid w:val="6F854425"/>
    <w:rsid w:val="6F863CF9"/>
    <w:rsid w:val="6FA05DF8"/>
    <w:rsid w:val="6FB4736E"/>
    <w:rsid w:val="6FB62831"/>
    <w:rsid w:val="6FC860C0"/>
    <w:rsid w:val="6FCE2DCE"/>
    <w:rsid w:val="6FDB2297"/>
    <w:rsid w:val="6FDC440C"/>
    <w:rsid w:val="6FDE58E3"/>
    <w:rsid w:val="6FE27182"/>
    <w:rsid w:val="7004359C"/>
    <w:rsid w:val="70046504"/>
    <w:rsid w:val="700D5A81"/>
    <w:rsid w:val="700E23C0"/>
    <w:rsid w:val="701A4658"/>
    <w:rsid w:val="701A591C"/>
    <w:rsid w:val="701B08E6"/>
    <w:rsid w:val="701B6B38"/>
    <w:rsid w:val="701D5EDE"/>
    <w:rsid w:val="703379DD"/>
    <w:rsid w:val="703E3AEF"/>
    <w:rsid w:val="704600CC"/>
    <w:rsid w:val="705369C0"/>
    <w:rsid w:val="70585696"/>
    <w:rsid w:val="706E6C67"/>
    <w:rsid w:val="70781894"/>
    <w:rsid w:val="707B068D"/>
    <w:rsid w:val="708D1203"/>
    <w:rsid w:val="708E73B5"/>
    <w:rsid w:val="70965851"/>
    <w:rsid w:val="709B37D5"/>
    <w:rsid w:val="709D7C3C"/>
    <w:rsid w:val="709F41D3"/>
    <w:rsid w:val="70BD1377"/>
    <w:rsid w:val="70BF5715"/>
    <w:rsid w:val="70C94159"/>
    <w:rsid w:val="70D8386D"/>
    <w:rsid w:val="70DA254F"/>
    <w:rsid w:val="70DF5DB7"/>
    <w:rsid w:val="70E150EF"/>
    <w:rsid w:val="70EB3C4B"/>
    <w:rsid w:val="70EE7DA8"/>
    <w:rsid w:val="70F13180"/>
    <w:rsid w:val="70F353BF"/>
    <w:rsid w:val="70F62876"/>
    <w:rsid w:val="70FA3707"/>
    <w:rsid w:val="70FA674D"/>
    <w:rsid w:val="71022798"/>
    <w:rsid w:val="710D46D2"/>
    <w:rsid w:val="711956AF"/>
    <w:rsid w:val="711C01E4"/>
    <w:rsid w:val="713F03F8"/>
    <w:rsid w:val="71584194"/>
    <w:rsid w:val="716772D6"/>
    <w:rsid w:val="716E50CF"/>
    <w:rsid w:val="7174037B"/>
    <w:rsid w:val="717F0411"/>
    <w:rsid w:val="71840FD7"/>
    <w:rsid w:val="7198719C"/>
    <w:rsid w:val="71A51BFD"/>
    <w:rsid w:val="71B05D95"/>
    <w:rsid w:val="71C32B41"/>
    <w:rsid w:val="71CA4348"/>
    <w:rsid w:val="71CB0A21"/>
    <w:rsid w:val="71D60F68"/>
    <w:rsid w:val="71E80C9B"/>
    <w:rsid w:val="7206464C"/>
    <w:rsid w:val="72096764"/>
    <w:rsid w:val="720A0BFF"/>
    <w:rsid w:val="72141A90"/>
    <w:rsid w:val="721F4258"/>
    <w:rsid w:val="721F50FA"/>
    <w:rsid w:val="72225F5B"/>
    <w:rsid w:val="722577FA"/>
    <w:rsid w:val="72281098"/>
    <w:rsid w:val="722A4E10"/>
    <w:rsid w:val="722B7184"/>
    <w:rsid w:val="72335600"/>
    <w:rsid w:val="72365EE2"/>
    <w:rsid w:val="723B4E5B"/>
    <w:rsid w:val="72411410"/>
    <w:rsid w:val="724F0D1A"/>
    <w:rsid w:val="72715F72"/>
    <w:rsid w:val="727D13E4"/>
    <w:rsid w:val="727F074F"/>
    <w:rsid w:val="72895FDA"/>
    <w:rsid w:val="72897D89"/>
    <w:rsid w:val="728A160C"/>
    <w:rsid w:val="72A00075"/>
    <w:rsid w:val="72A20E4A"/>
    <w:rsid w:val="72AB41A3"/>
    <w:rsid w:val="72AE3C93"/>
    <w:rsid w:val="72B166D3"/>
    <w:rsid w:val="72B40078"/>
    <w:rsid w:val="72D07765"/>
    <w:rsid w:val="72DF6BA5"/>
    <w:rsid w:val="72E2406D"/>
    <w:rsid w:val="72E94696"/>
    <w:rsid w:val="72FA6ED8"/>
    <w:rsid w:val="72FD42D3"/>
    <w:rsid w:val="73155AC0"/>
    <w:rsid w:val="731623B9"/>
    <w:rsid w:val="73184C9C"/>
    <w:rsid w:val="731E2BC7"/>
    <w:rsid w:val="7327134F"/>
    <w:rsid w:val="73271FB1"/>
    <w:rsid w:val="732912C4"/>
    <w:rsid w:val="73342A8E"/>
    <w:rsid w:val="73426189"/>
    <w:rsid w:val="73441CC9"/>
    <w:rsid w:val="7358775B"/>
    <w:rsid w:val="737605AD"/>
    <w:rsid w:val="737F73DD"/>
    <w:rsid w:val="73841D2D"/>
    <w:rsid w:val="738520BE"/>
    <w:rsid w:val="738812FC"/>
    <w:rsid w:val="73892FCE"/>
    <w:rsid w:val="738F520D"/>
    <w:rsid w:val="73A27457"/>
    <w:rsid w:val="73A711B1"/>
    <w:rsid w:val="73AB01D2"/>
    <w:rsid w:val="73B07F67"/>
    <w:rsid w:val="73B250BD"/>
    <w:rsid w:val="73B276C6"/>
    <w:rsid w:val="73BC06F6"/>
    <w:rsid w:val="73BC23E0"/>
    <w:rsid w:val="73D74B24"/>
    <w:rsid w:val="73DB2866"/>
    <w:rsid w:val="73E125D2"/>
    <w:rsid w:val="73E410C3"/>
    <w:rsid w:val="73EA0CFB"/>
    <w:rsid w:val="73F47EB1"/>
    <w:rsid w:val="741369A5"/>
    <w:rsid w:val="7425388F"/>
    <w:rsid w:val="74253AE1"/>
    <w:rsid w:val="742779EC"/>
    <w:rsid w:val="7431488C"/>
    <w:rsid w:val="7434641A"/>
    <w:rsid w:val="74373814"/>
    <w:rsid w:val="74397A00"/>
    <w:rsid w:val="743A61F2"/>
    <w:rsid w:val="74420D55"/>
    <w:rsid w:val="745F6056"/>
    <w:rsid w:val="74643D95"/>
    <w:rsid w:val="7465798E"/>
    <w:rsid w:val="746B68D6"/>
    <w:rsid w:val="746F1200"/>
    <w:rsid w:val="7477436F"/>
    <w:rsid w:val="747D1B6F"/>
    <w:rsid w:val="74814CEA"/>
    <w:rsid w:val="748501F3"/>
    <w:rsid w:val="7487654A"/>
    <w:rsid w:val="748E5B2A"/>
    <w:rsid w:val="74A164A0"/>
    <w:rsid w:val="74B3733F"/>
    <w:rsid w:val="74C72DEA"/>
    <w:rsid w:val="74CB4853"/>
    <w:rsid w:val="74E53270"/>
    <w:rsid w:val="74E72327"/>
    <w:rsid w:val="74EF59B8"/>
    <w:rsid w:val="75004B37"/>
    <w:rsid w:val="750162FC"/>
    <w:rsid w:val="750232A8"/>
    <w:rsid w:val="751122B7"/>
    <w:rsid w:val="75153B55"/>
    <w:rsid w:val="7516167C"/>
    <w:rsid w:val="751678CE"/>
    <w:rsid w:val="75263FB5"/>
    <w:rsid w:val="752C70F1"/>
    <w:rsid w:val="752E2E69"/>
    <w:rsid w:val="7535244A"/>
    <w:rsid w:val="753C2032"/>
    <w:rsid w:val="753D428C"/>
    <w:rsid w:val="754825D6"/>
    <w:rsid w:val="75531CD2"/>
    <w:rsid w:val="75562657"/>
    <w:rsid w:val="756215FB"/>
    <w:rsid w:val="75632B54"/>
    <w:rsid w:val="756D0C75"/>
    <w:rsid w:val="7579628B"/>
    <w:rsid w:val="757D42F0"/>
    <w:rsid w:val="75856E04"/>
    <w:rsid w:val="758D1214"/>
    <w:rsid w:val="758D1F43"/>
    <w:rsid w:val="75940859"/>
    <w:rsid w:val="759E7FEF"/>
    <w:rsid w:val="75A90742"/>
    <w:rsid w:val="75B30FC4"/>
    <w:rsid w:val="75C01CB5"/>
    <w:rsid w:val="75C12BF5"/>
    <w:rsid w:val="75CB690A"/>
    <w:rsid w:val="75EA0EF3"/>
    <w:rsid w:val="75F06371"/>
    <w:rsid w:val="75FB611F"/>
    <w:rsid w:val="760140DA"/>
    <w:rsid w:val="7608669F"/>
    <w:rsid w:val="761D53B8"/>
    <w:rsid w:val="76393874"/>
    <w:rsid w:val="763A339C"/>
    <w:rsid w:val="7645046A"/>
    <w:rsid w:val="764F753B"/>
    <w:rsid w:val="76516E0F"/>
    <w:rsid w:val="76656375"/>
    <w:rsid w:val="76684159"/>
    <w:rsid w:val="767103C8"/>
    <w:rsid w:val="767962A9"/>
    <w:rsid w:val="767E572A"/>
    <w:rsid w:val="767F5940"/>
    <w:rsid w:val="76867A1D"/>
    <w:rsid w:val="768F7AA6"/>
    <w:rsid w:val="769D02A6"/>
    <w:rsid w:val="76A258BD"/>
    <w:rsid w:val="76AC04E9"/>
    <w:rsid w:val="76AE24B4"/>
    <w:rsid w:val="76B163FD"/>
    <w:rsid w:val="76B40FB3"/>
    <w:rsid w:val="76B61368"/>
    <w:rsid w:val="76C56CE8"/>
    <w:rsid w:val="76D417EE"/>
    <w:rsid w:val="76E4458B"/>
    <w:rsid w:val="76E94B77"/>
    <w:rsid w:val="76E9529A"/>
    <w:rsid w:val="76EE58B6"/>
    <w:rsid w:val="76F01A11"/>
    <w:rsid w:val="770937D2"/>
    <w:rsid w:val="77112A42"/>
    <w:rsid w:val="77195203"/>
    <w:rsid w:val="77200574"/>
    <w:rsid w:val="77204A34"/>
    <w:rsid w:val="77262EE7"/>
    <w:rsid w:val="774B1AB0"/>
    <w:rsid w:val="774B4EF3"/>
    <w:rsid w:val="776E39F1"/>
    <w:rsid w:val="77752FD1"/>
    <w:rsid w:val="77825766"/>
    <w:rsid w:val="778B39A8"/>
    <w:rsid w:val="779C1699"/>
    <w:rsid w:val="779F004E"/>
    <w:rsid w:val="77A13FE0"/>
    <w:rsid w:val="77BF249E"/>
    <w:rsid w:val="77C11D73"/>
    <w:rsid w:val="77C35511"/>
    <w:rsid w:val="77C74EAF"/>
    <w:rsid w:val="77CD0717"/>
    <w:rsid w:val="77DC2E91"/>
    <w:rsid w:val="77E54CD2"/>
    <w:rsid w:val="77F008AA"/>
    <w:rsid w:val="77F113EF"/>
    <w:rsid w:val="77F474AF"/>
    <w:rsid w:val="77F500A3"/>
    <w:rsid w:val="780305DD"/>
    <w:rsid w:val="78083F5D"/>
    <w:rsid w:val="780F0D30"/>
    <w:rsid w:val="7810498A"/>
    <w:rsid w:val="781A214F"/>
    <w:rsid w:val="781A76D5"/>
    <w:rsid w:val="78283BA0"/>
    <w:rsid w:val="78411105"/>
    <w:rsid w:val="784C0892"/>
    <w:rsid w:val="78570929"/>
    <w:rsid w:val="785C1A9B"/>
    <w:rsid w:val="78774CA7"/>
    <w:rsid w:val="78830A28"/>
    <w:rsid w:val="78947487"/>
    <w:rsid w:val="789703AF"/>
    <w:rsid w:val="78A551F0"/>
    <w:rsid w:val="78AE3973"/>
    <w:rsid w:val="78AF2513"/>
    <w:rsid w:val="78B05DDA"/>
    <w:rsid w:val="78BB0EB8"/>
    <w:rsid w:val="78D51BF0"/>
    <w:rsid w:val="78DC19AA"/>
    <w:rsid w:val="78E14659"/>
    <w:rsid w:val="78F56340"/>
    <w:rsid w:val="78F65A4C"/>
    <w:rsid w:val="78FA3446"/>
    <w:rsid w:val="7915026D"/>
    <w:rsid w:val="7917715F"/>
    <w:rsid w:val="79181E66"/>
    <w:rsid w:val="79187B3A"/>
    <w:rsid w:val="791A766E"/>
    <w:rsid w:val="79314CD6"/>
    <w:rsid w:val="79336CA0"/>
    <w:rsid w:val="79393B8B"/>
    <w:rsid w:val="794669D3"/>
    <w:rsid w:val="79496B3A"/>
    <w:rsid w:val="795073E0"/>
    <w:rsid w:val="79554E68"/>
    <w:rsid w:val="795F1843"/>
    <w:rsid w:val="795F67B2"/>
    <w:rsid w:val="79661644"/>
    <w:rsid w:val="79676C9F"/>
    <w:rsid w:val="79685B6D"/>
    <w:rsid w:val="796D3E79"/>
    <w:rsid w:val="79787359"/>
    <w:rsid w:val="79876FEC"/>
    <w:rsid w:val="79982FA7"/>
    <w:rsid w:val="799834CF"/>
    <w:rsid w:val="79A2404B"/>
    <w:rsid w:val="79B20979"/>
    <w:rsid w:val="79B576B5"/>
    <w:rsid w:val="79BA6C6F"/>
    <w:rsid w:val="79C426D1"/>
    <w:rsid w:val="79C8156A"/>
    <w:rsid w:val="79D20267"/>
    <w:rsid w:val="79E174D6"/>
    <w:rsid w:val="79F309DD"/>
    <w:rsid w:val="79FC32F6"/>
    <w:rsid w:val="79FC7092"/>
    <w:rsid w:val="79FF1DDE"/>
    <w:rsid w:val="7A0B2C16"/>
    <w:rsid w:val="7A1C7585"/>
    <w:rsid w:val="7A1F0FD2"/>
    <w:rsid w:val="7A3C3932"/>
    <w:rsid w:val="7A543372"/>
    <w:rsid w:val="7A5E1AFB"/>
    <w:rsid w:val="7A65732D"/>
    <w:rsid w:val="7A765096"/>
    <w:rsid w:val="7A8D6A7B"/>
    <w:rsid w:val="7A90282B"/>
    <w:rsid w:val="7AA17C39"/>
    <w:rsid w:val="7AA716F4"/>
    <w:rsid w:val="7AA747D5"/>
    <w:rsid w:val="7ABB26E4"/>
    <w:rsid w:val="7AC878BC"/>
    <w:rsid w:val="7ACB6060"/>
    <w:rsid w:val="7AD54F24"/>
    <w:rsid w:val="7AD75DC5"/>
    <w:rsid w:val="7ADC6EC3"/>
    <w:rsid w:val="7AE71AF0"/>
    <w:rsid w:val="7AF1296F"/>
    <w:rsid w:val="7AF4420D"/>
    <w:rsid w:val="7AFD1314"/>
    <w:rsid w:val="7AFD7566"/>
    <w:rsid w:val="7B175F8C"/>
    <w:rsid w:val="7B187EFC"/>
    <w:rsid w:val="7B2F2FAE"/>
    <w:rsid w:val="7B3D2312"/>
    <w:rsid w:val="7B452056"/>
    <w:rsid w:val="7B47340A"/>
    <w:rsid w:val="7B4A207F"/>
    <w:rsid w:val="7B551150"/>
    <w:rsid w:val="7B5A48E1"/>
    <w:rsid w:val="7B6303E0"/>
    <w:rsid w:val="7B6C26A0"/>
    <w:rsid w:val="7B6C46EB"/>
    <w:rsid w:val="7B754C8D"/>
    <w:rsid w:val="7B7F441F"/>
    <w:rsid w:val="7B821819"/>
    <w:rsid w:val="7B8657AD"/>
    <w:rsid w:val="7B9309F9"/>
    <w:rsid w:val="7B9B19E6"/>
    <w:rsid w:val="7B9C1B1E"/>
    <w:rsid w:val="7BA47964"/>
    <w:rsid w:val="7BAC4AE8"/>
    <w:rsid w:val="7BB25888"/>
    <w:rsid w:val="7BB340C8"/>
    <w:rsid w:val="7BBA7205"/>
    <w:rsid w:val="7BC12D50"/>
    <w:rsid w:val="7BC22AEF"/>
    <w:rsid w:val="7BCF3A79"/>
    <w:rsid w:val="7BE81EEB"/>
    <w:rsid w:val="7BEC339E"/>
    <w:rsid w:val="7BFB7CB5"/>
    <w:rsid w:val="7C060FC3"/>
    <w:rsid w:val="7C080BE5"/>
    <w:rsid w:val="7C122B9D"/>
    <w:rsid w:val="7C142300"/>
    <w:rsid w:val="7C191192"/>
    <w:rsid w:val="7C1C080B"/>
    <w:rsid w:val="7C217284"/>
    <w:rsid w:val="7C280612"/>
    <w:rsid w:val="7C2F624D"/>
    <w:rsid w:val="7C3228BB"/>
    <w:rsid w:val="7C336FB7"/>
    <w:rsid w:val="7C372603"/>
    <w:rsid w:val="7C376AA7"/>
    <w:rsid w:val="7C38443E"/>
    <w:rsid w:val="7C4111CA"/>
    <w:rsid w:val="7C5331B5"/>
    <w:rsid w:val="7C59267A"/>
    <w:rsid w:val="7C596A1E"/>
    <w:rsid w:val="7C5D2607"/>
    <w:rsid w:val="7C63164A"/>
    <w:rsid w:val="7C686C61"/>
    <w:rsid w:val="7C6F4493"/>
    <w:rsid w:val="7C700F5A"/>
    <w:rsid w:val="7C707314"/>
    <w:rsid w:val="7C8D3F62"/>
    <w:rsid w:val="7C964821"/>
    <w:rsid w:val="7C975798"/>
    <w:rsid w:val="7C986FF0"/>
    <w:rsid w:val="7C9E7D0F"/>
    <w:rsid w:val="7CAD6D69"/>
    <w:rsid w:val="7CB749C7"/>
    <w:rsid w:val="7CB91DAA"/>
    <w:rsid w:val="7CD9190C"/>
    <w:rsid w:val="7CDA3A4F"/>
    <w:rsid w:val="7CE113BB"/>
    <w:rsid w:val="7CEC7892"/>
    <w:rsid w:val="7CF143EF"/>
    <w:rsid w:val="7CF60710"/>
    <w:rsid w:val="7D064A03"/>
    <w:rsid w:val="7D0A41BC"/>
    <w:rsid w:val="7D0E5A5A"/>
    <w:rsid w:val="7D112B19"/>
    <w:rsid w:val="7D126BCC"/>
    <w:rsid w:val="7D13776F"/>
    <w:rsid w:val="7D16490F"/>
    <w:rsid w:val="7D1D472F"/>
    <w:rsid w:val="7D1F7212"/>
    <w:rsid w:val="7D266C3C"/>
    <w:rsid w:val="7D2E7EAA"/>
    <w:rsid w:val="7D3B2F9B"/>
    <w:rsid w:val="7D44147C"/>
    <w:rsid w:val="7D453655"/>
    <w:rsid w:val="7D454F7B"/>
    <w:rsid w:val="7D480840"/>
    <w:rsid w:val="7D493439"/>
    <w:rsid w:val="7D5A0C9F"/>
    <w:rsid w:val="7D5E0064"/>
    <w:rsid w:val="7D625DA6"/>
    <w:rsid w:val="7D6C41BD"/>
    <w:rsid w:val="7D7341E9"/>
    <w:rsid w:val="7D7F0706"/>
    <w:rsid w:val="7D845D1C"/>
    <w:rsid w:val="7D957F29"/>
    <w:rsid w:val="7D9C5773"/>
    <w:rsid w:val="7DA8331F"/>
    <w:rsid w:val="7DB77972"/>
    <w:rsid w:val="7DB95832"/>
    <w:rsid w:val="7DBE266C"/>
    <w:rsid w:val="7DC06A52"/>
    <w:rsid w:val="7DC7444F"/>
    <w:rsid w:val="7DD26AD6"/>
    <w:rsid w:val="7DD802F3"/>
    <w:rsid w:val="7DEB18F7"/>
    <w:rsid w:val="7DEB5D9B"/>
    <w:rsid w:val="7DEB799B"/>
    <w:rsid w:val="7DEC5016"/>
    <w:rsid w:val="7DEE13E8"/>
    <w:rsid w:val="7DF06F0E"/>
    <w:rsid w:val="7DF80E09"/>
    <w:rsid w:val="7DFC74C0"/>
    <w:rsid w:val="7E0B4B47"/>
    <w:rsid w:val="7E0E3838"/>
    <w:rsid w:val="7E130E4E"/>
    <w:rsid w:val="7E181A9E"/>
    <w:rsid w:val="7E1B5545"/>
    <w:rsid w:val="7E26070B"/>
    <w:rsid w:val="7E33504C"/>
    <w:rsid w:val="7E4C288C"/>
    <w:rsid w:val="7E4F5233"/>
    <w:rsid w:val="7E525FBB"/>
    <w:rsid w:val="7E584F14"/>
    <w:rsid w:val="7E5E2B88"/>
    <w:rsid w:val="7E5F22E5"/>
    <w:rsid w:val="7E6F61AB"/>
    <w:rsid w:val="7E754DAE"/>
    <w:rsid w:val="7E7C2E97"/>
    <w:rsid w:val="7E7F0292"/>
    <w:rsid w:val="7E9755DB"/>
    <w:rsid w:val="7E997ECF"/>
    <w:rsid w:val="7E9A3702"/>
    <w:rsid w:val="7EA128FE"/>
    <w:rsid w:val="7EA37E2C"/>
    <w:rsid w:val="7EAA39ED"/>
    <w:rsid w:val="7EB42631"/>
    <w:rsid w:val="7EB63CCD"/>
    <w:rsid w:val="7EB937A4"/>
    <w:rsid w:val="7EC02D84"/>
    <w:rsid w:val="7EC564AB"/>
    <w:rsid w:val="7EC62364"/>
    <w:rsid w:val="7ECC585B"/>
    <w:rsid w:val="7EE16E0C"/>
    <w:rsid w:val="7EE822DB"/>
    <w:rsid w:val="7EEF372E"/>
    <w:rsid w:val="7EF221E3"/>
    <w:rsid w:val="7EF95DA4"/>
    <w:rsid w:val="7EFB200E"/>
    <w:rsid w:val="7EFB2A23"/>
    <w:rsid w:val="7F06137B"/>
    <w:rsid w:val="7F076C05"/>
    <w:rsid w:val="7F1C3D32"/>
    <w:rsid w:val="7F1C4477"/>
    <w:rsid w:val="7F201A75"/>
    <w:rsid w:val="7F264BB1"/>
    <w:rsid w:val="7F2826D7"/>
    <w:rsid w:val="7F2F0CF5"/>
    <w:rsid w:val="7F3217A8"/>
    <w:rsid w:val="7F345520"/>
    <w:rsid w:val="7F4642E4"/>
    <w:rsid w:val="7F4F5EB6"/>
    <w:rsid w:val="7F5F6693"/>
    <w:rsid w:val="7F607432"/>
    <w:rsid w:val="7F6D0B47"/>
    <w:rsid w:val="7F7678E7"/>
    <w:rsid w:val="7F792F33"/>
    <w:rsid w:val="7F8244DD"/>
    <w:rsid w:val="7F8802FE"/>
    <w:rsid w:val="7F945FBF"/>
    <w:rsid w:val="7F9F23E4"/>
    <w:rsid w:val="7FA67DD4"/>
    <w:rsid w:val="7FB15F3A"/>
    <w:rsid w:val="7FD236A1"/>
    <w:rsid w:val="7FD80881"/>
    <w:rsid w:val="7FE203C1"/>
    <w:rsid w:val="7FF13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adjustRightInd w:val="0"/>
      <w:snapToGrid w:val="0"/>
      <w:spacing w:beforeAutospacing="1" w:afterAutospacing="1"/>
      <w:ind w:firstLine="0" w:firstLineChars="0"/>
      <w:jc w:val="center"/>
      <w:outlineLvl w:val="0"/>
    </w:pPr>
    <w:rPr>
      <w:rFonts w:eastAsia="黑体"/>
      <w:bCs/>
      <w:kern w:val="44"/>
      <w:sz w:val="30"/>
      <w:szCs w:val="30"/>
    </w:rPr>
  </w:style>
  <w:style w:type="paragraph" w:styleId="3">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4">
    <w:name w:val="heading 4"/>
    <w:basedOn w:val="5"/>
    <w:next w:val="6"/>
    <w:autoRedefine/>
    <w:qFormat/>
    <w:uiPriority w:val="0"/>
    <w:pPr>
      <w:tabs>
        <w:tab w:val="left" w:pos="360"/>
        <w:tab w:val="left" w:pos="2207"/>
      </w:tabs>
      <w:ind w:firstLine="0" w:firstLineChars="0"/>
      <w:outlineLvl w:val="3"/>
    </w:pPr>
    <w:rPr>
      <w:rFonts w:ascii="宋体" w:hAnsi="宋体"/>
      <w:b/>
      <w:color w:val="000000"/>
    </w:rPr>
  </w:style>
  <w:style w:type="paragraph" w:styleId="8">
    <w:name w:val="heading 5"/>
    <w:basedOn w:val="1"/>
    <w:next w:val="1"/>
    <w:autoRedefine/>
    <w:unhideWhenUsed/>
    <w:qFormat/>
    <w:uiPriority w:val="0"/>
    <w:pPr>
      <w:adjustRightInd w:val="0"/>
      <w:snapToGrid w:val="0"/>
      <w:spacing w:line="240" w:lineRule="auto"/>
      <w:ind w:firstLine="0" w:firstLineChars="0"/>
      <w:jc w:val="center"/>
      <w:outlineLvl w:val="4"/>
    </w:pPr>
    <w:rPr>
      <w:b/>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4"/>
    <w:basedOn w:val="1"/>
    <w:next w:val="1"/>
    <w:autoRedefine/>
    <w:qFormat/>
    <w:uiPriority w:val="39"/>
    <w:pPr>
      <w:ind w:left="1260" w:leftChars="600"/>
    </w:pPr>
    <w:rPr>
      <w:szCs w:val="20"/>
    </w:rPr>
  </w:style>
  <w:style w:type="paragraph" w:styleId="6">
    <w:name w:val="Normal Indent"/>
    <w:basedOn w:val="1"/>
    <w:next w:val="7"/>
    <w:autoRedefine/>
    <w:qFormat/>
    <w:uiPriority w:val="0"/>
    <w:pPr>
      <w:ind w:firstLine="420"/>
    </w:pPr>
  </w:style>
  <w:style w:type="paragraph" w:styleId="7">
    <w:name w:val="toc 1"/>
    <w:basedOn w:val="1"/>
    <w:next w:val="1"/>
    <w:autoRedefine/>
    <w:qFormat/>
    <w:uiPriority w:val="39"/>
    <w:pPr>
      <w:spacing w:line="440" w:lineRule="exact"/>
      <w:ind w:firstLine="0" w:firstLineChars="0"/>
      <w:jc w:val="left"/>
    </w:pPr>
    <w:rPr>
      <w:bCs/>
      <w:caps/>
    </w:rPr>
  </w:style>
  <w:style w:type="paragraph" w:styleId="9">
    <w:name w:val="caption"/>
    <w:basedOn w:val="1"/>
    <w:next w:val="1"/>
    <w:autoRedefine/>
    <w:qFormat/>
    <w:uiPriority w:val="35"/>
    <w:pPr>
      <w:spacing w:before="120" w:after="120"/>
      <w:ind w:firstLine="688"/>
      <w:jc w:val="center"/>
    </w:pPr>
    <w:rPr>
      <w:rFonts w:eastAsia="Arial" w:cs="黑体"/>
    </w:rPr>
  </w:style>
  <w:style w:type="paragraph" w:styleId="10">
    <w:name w:val="index 5"/>
    <w:basedOn w:val="1"/>
    <w:next w:val="1"/>
    <w:qFormat/>
    <w:uiPriority w:val="0"/>
    <w:pPr>
      <w:ind w:left="800" w:leftChars="800"/>
    </w:pPr>
  </w:style>
  <w:style w:type="paragraph" w:styleId="11">
    <w:name w:val="annotation text"/>
    <w:basedOn w:val="1"/>
    <w:autoRedefine/>
    <w:qFormat/>
    <w:uiPriority w:val="0"/>
    <w:pPr>
      <w:jc w:val="left"/>
    </w:pPr>
  </w:style>
  <w:style w:type="paragraph" w:styleId="12">
    <w:name w:val="Body Text"/>
    <w:basedOn w:val="1"/>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autoRedefine/>
    <w:qFormat/>
    <w:uiPriority w:val="0"/>
    <w:pPr>
      <w:spacing w:after="120"/>
      <w:ind w:left="420" w:leftChars="200"/>
    </w:pPr>
    <w:rPr>
      <w:kern w:val="0"/>
      <w:szCs w:val="20"/>
    </w:rPr>
  </w:style>
  <w:style w:type="paragraph" w:styleId="14">
    <w:name w:val="Body Text Indent 2"/>
    <w:basedOn w:val="1"/>
    <w:autoRedefine/>
    <w:qFormat/>
    <w:uiPriority w:val="0"/>
    <w:pPr>
      <w:ind w:right="113" w:firstLine="570"/>
    </w:pPr>
    <w:rPr>
      <w:kern w:val="24"/>
      <w:sz w:val="28"/>
      <w:szCs w:val="20"/>
    </w:rPr>
  </w:style>
  <w:style w:type="paragraph" w:styleId="15">
    <w:name w:val="Block Text"/>
    <w:basedOn w:val="1"/>
    <w:next w:val="1"/>
    <w:autoRedefine/>
    <w:unhideWhenUsed/>
    <w:qFormat/>
    <w:uiPriority w:val="0"/>
    <w:pPr>
      <w:spacing w:after="120"/>
      <w:ind w:left="1440" w:leftChars="700" w:right="1440" w:rightChars="700"/>
    </w:pPr>
  </w:style>
  <w:style w:type="paragraph" w:styleId="16">
    <w:name w:val="footer"/>
    <w:basedOn w:val="1"/>
    <w:autoRedefine/>
    <w:qFormat/>
    <w:uiPriority w:val="99"/>
    <w:pPr>
      <w:tabs>
        <w:tab w:val="center" w:pos="4153"/>
        <w:tab w:val="right" w:pos="8306"/>
      </w:tabs>
      <w:snapToGrid w:val="0"/>
      <w:ind w:firstLine="0" w:firstLineChars="0"/>
      <w:jc w:val="left"/>
    </w:pPr>
    <w:rPr>
      <w:kern w:val="0"/>
      <w:sz w:val="18"/>
      <w:szCs w:val="20"/>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Subtitle"/>
    <w:basedOn w:val="1"/>
    <w:next w:val="1"/>
    <w:autoRedefine/>
    <w:qFormat/>
    <w:uiPriority w:val="0"/>
    <w:pPr>
      <w:ind w:firstLine="0" w:firstLineChars="0"/>
      <w:jc w:val="center"/>
    </w:pPr>
    <w:rPr>
      <w:b/>
      <w:sz w:val="21"/>
    </w:rPr>
  </w:style>
  <w:style w:type="paragraph" w:styleId="19">
    <w:name w:val="List"/>
    <w:basedOn w:val="1"/>
    <w:qFormat/>
    <w:uiPriority w:val="99"/>
    <w:pPr>
      <w:ind w:left="200" w:hanging="200" w:hangingChars="200"/>
    </w:pPr>
  </w:style>
  <w:style w:type="paragraph" w:styleId="20">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Cs w:val="20"/>
    </w:rPr>
  </w:style>
  <w:style w:type="paragraph" w:styleId="22">
    <w:name w:val="Body Text First Indent"/>
    <w:basedOn w:val="12"/>
    <w:autoRedefine/>
    <w:qFormat/>
    <w:uiPriority w:val="0"/>
    <w:pPr>
      <w:ind w:firstLine="420" w:firstLineChars="100"/>
    </w:pPr>
    <w:rPr>
      <w:szCs w:val="24"/>
    </w:rPr>
  </w:style>
  <w:style w:type="paragraph" w:styleId="23">
    <w:name w:val="Body Text First Indent 2"/>
    <w:basedOn w:val="13"/>
    <w:next w:val="1"/>
    <w:autoRedefine/>
    <w:qFormat/>
    <w:uiPriority w:val="0"/>
    <w:pPr>
      <w:spacing w:after="0"/>
      <w:ind w:left="0" w:firstLine="420"/>
    </w:pPr>
    <w:rPr>
      <w:kern w:val="2"/>
      <w:sz w:val="21"/>
      <w:szCs w:val="24"/>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autoRedefine/>
    <w:qFormat/>
    <w:uiPriority w:val="0"/>
  </w:style>
  <w:style w:type="character" w:styleId="29">
    <w:name w:val="Emphasis"/>
    <w:basedOn w:val="26"/>
    <w:autoRedefine/>
    <w:qFormat/>
    <w:uiPriority w:val="0"/>
    <w:rPr>
      <w:i/>
    </w:rPr>
  </w:style>
  <w:style w:type="character" w:styleId="30">
    <w:name w:val="Hyperlink"/>
    <w:basedOn w:val="26"/>
    <w:autoRedefine/>
    <w:qFormat/>
    <w:uiPriority w:val="0"/>
    <w:rPr>
      <w:color w:val="0000FF"/>
      <w:u w:val="single"/>
    </w:rPr>
  </w:style>
  <w:style w:type="paragraph" w:customStyle="1" w:styleId="31">
    <w:name w:val="样式 样式 样式 四号 左侧:  1.53 厘米 + 首行缩进:  2 字符 + 居中 左侧:  2 字符 首行缩进:  2..."/>
    <w:basedOn w:val="32"/>
    <w:qFormat/>
    <w:uiPriority w:val="0"/>
    <w:pPr>
      <w:adjustRightInd w:val="0"/>
      <w:jc w:val="center"/>
    </w:pPr>
    <w:rPr>
      <w:kern w:val="0"/>
    </w:rPr>
  </w:style>
  <w:style w:type="paragraph" w:customStyle="1" w:styleId="32">
    <w:name w:val="样式 样式 四号 左侧:  1.53 厘米 + 首行缩进:  2 字符"/>
    <w:basedOn w:val="33"/>
    <w:qFormat/>
    <w:uiPriority w:val="99"/>
    <w:pPr>
      <w:ind w:left="200" w:leftChars="200"/>
    </w:pPr>
    <w:rPr>
      <w:szCs w:val="20"/>
    </w:rPr>
  </w:style>
  <w:style w:type="paragraph" w:customStyle="1" w:styleId="33">
    <w:name w:val="样式 四号 左侧:  1.53 厘米"/>
    <w:basedOn w:val="1"/>
    <w:qFormat/>
    <w:uiPriority w:val="99"/>
    <w:rPr>
      <w:w w:val="90"/>
      <w:sz w:val="28"/>
      <w:szCs w:val="28"/>
    </w:rPr>
  </w:style>
  <w:style w:type="paragraph" w:customStyle="1" w:styleId="34">
    <w:name w:val="表头"/>
    <w:basedOn w:val="1"/>
    <w:next w:val="1"/>
    <w:link w:val="53"/>
    <w:autoRedefine/>
    <w:qFormat/>
    <w:uiPriority w:val="0"/>
    <w:pPr>
      <w:ind w:firstLine="0" w:firstLineChars="0"/>
      <w:jc w:val="center"/>
    </w:pPr>
    <w:rPr>
      <w:b/>
      <w:sz w:val="21"/>
      <w:szCs w:val="21"/>
    </w:rPr>
  </w:style>
  <w:style w:type="paragraph" w:customStyle="1" w:styleId="35">
    <w:name w:val="表格"/>
    <w:basedOn w:val="36"/>
    <w:next w:val="1"/>
    <w:link w:val="60"/>
    <w:autoRedefine/>
    <w:qFormat/>
    <w:uiPriority w:val="0"/>
    <w:pPr>
      <w:spacing w:before="0" w:after="0" w:line="240" w:lineRule="auto"/>
      <w:ind w:left="-48" w:leftChars="-20" w:right="-48" w:rightChars="-20" w:firstLine="0" w:firstLineChars="0"/>
      <w:jc w:val="center"/>
    </w:pPr>
    <w:rPr>
      <w:sz w:val="21"/>
      <w:szCs w:val="21"/>
    </w:rPr>
  </w:style>
  <w:style w:type="paragraph" w:customStyle="1" w:styleId="36">
    <w:name w:val="正文1"/>
    <w:basedOn w:val="1"/>
    <w:next w:val="1"/>
    <w:autoRedefine/>
    <w:qFormat/>
    <w:uiPriority w:val="0"/>
    <w:pPr>
      <w:spacing w:before="78" w:after="78" w:line="360" w:lineRule="auto"/>
      <w:ind w:firstLine="480"/>
    </w:pPr>
    <w:rPr>
      <w:kern w:val="1"/>
    </w:rPr>
  </w:style>
  <w:style w:type="paragraph" w:customStyle="1" w:styleId="37">
    <w:name w:val="Default"/>
    <w:basedOn w:val="38"/>
    <w:autoRedefine/>
    <w:qFormat/>
    <w:uiPriority w:val="0"/>
    <w:rPr>
      <w:rFonts w:ascii="黑体" w:eastAsia="黑体"/>
      <w:color w:val="000000"/>
    </w:rPr>
  </w:style>
  <w:style w:type="paragraph" w:customStyle="1" w:styleId="38">
    <w:name w:val="纯文本1"/>
    <w:basedOn w:val="1"/>
    <w:autoRedefine/>
    <w:qFormat/>
    <w:uiPriority w:val="99"/>
    <w:pPr>
      <w:autoSpaceDE w:val="0"/>
      <w:autoSpaceDN w:val="0"/>
      <w:adjustRightInd w:val="0"/>
      <w:textAlignment w:val="baseline"/>
    </w:pPr>
    <w:rPr>
      <w:rFonts w:ascii="宋体"/>
      <w:szCs w:val="20"/>
    </w:rPr>
  </w:style>
  <w:style w:type="paragraph" w:customStyle="1" w:styleId="39">
    <w:name w:val="正常格式"/>
    <w:basedOn w:val="40"/>
    <w:autoRedefine/>
    <w:qFormat/>
    <w:uiPriority w:val="0"/>
    <w:pPr>
      <w:snapToGrid w:val="0"/>
      <w:spacing w:line="480" w:lineRule="exact"/>
      <w:ind w:firstLine="602"/>
    </w:pPr>
    <w:rPr>
      <w:rFonts w:ascii="Times New Roman" w:hAnsi="Times New Roman"/>
      <w:kern w:val="0"/>
      <w:szCs w:val="20"/>
    </w:rPr>
  </w:style>
  <w:style w:type="paragraph" w:customStyle="1" w:styleId="40">
    <w:name w:val="正文2"/>
    <w:basedOn w:val="41"/>
    <w:autoRedefine/>
    <w:qFormat/>
    <w:uiPriority w:val="0"/>
    <w:pPr>
      <w:spacing w:line="360" w:lineRule="auto"/>
      <w:ind w:firstLineChars="200"/>
    </w:pPr>
    <w:rPr>
      <w:rFonts w:ascii="宋体" w:hAnsi="宋体"/>
    </w:rPr>
  </w:style>
  <w:style w:type="paragraph" w:customStyle="1" w:styleId="41">
    <w:name w:val="Body Text 22"/>
    <w:autoRedefine/>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42">
    <w:name w:val="封皮"/>
    <w:basedOn w:val="1"/>
    <w:autoRedefine/>
    <w:qFormat/>
    <w:uiPriority w:val="0"/>
    <w:pPr>
      <w:spacing w:line="240" w:lineRule="auto"/>
      <w:ind w:firstLine="0" w:firstLineChars="0"/>
      <w:jc w:val="center"/>
    </w:pPr>
    <w:rPr>
      <w:b/>
      <w:sz w:val="72"/>
    </w:rPr>
  </w:style>
  <w:style w:type="paragraph" w:customStyle="1" w:styleId="43">
    <w:name w:val="Table Paragraph"/>
    <w:basedOn w:val="1"/>
    <w:autoRedefine/>
    <w:qFormat/>
    <w:uiPriority w:val="1"/>
    <w:pPr>
      <w:autoSpaceDE w:val="0"/>
      <w:autoSpaceDN w:val="0"/>
      <w:adjustRightInd w:val="0"/>
      <w:jc w:val="left"/>
    </w:pPr>
    <w:rPr>
      <w:kern w:val="0"/>
    </w:rPr>
  </w:style>
  <w:style w:type="paragraph" w:styleId="44">
    <w:name w:val="List Paragraph"/>
    <w:basedOn w:val="1"/>
    <w:autoRedefine/>
    <w:qFormat/>
    <w:uiPriority w:val="34"/>
    <w:pPr>
      <w:adjustRightInd w:val="0"/>
      <w:spacing w:line="360" w:lineRule="atLeast"/>
      <w:ind w:firstLine="420"/>
      <w:jc w:val="left"/>
      <w:textAlignment w:val="baseline"/>
    </w:pPr>
    <w:rPr>
      <w:kern w:val="0"/>
      <w:szCs w:val="20"/>
    </w:rPr>
  </w:style>
  <w:style w:type="character" w:customStyle="1" w:styleId="45">
    <w:name w:val="正文文本 (2) + 9.5 pt"/>
    <w:autoRedefine/>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46">
    <w:name w:val="正文文本 (2) + AngsanaUPC"/>
    <w:autoRedefine/>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47">
    <w:name w:val="font31"/>
    <w:basedOn w:val="26"/>
    <w:autoRedefine/>
    <w:qFormat/>
    <w:uiPriority w:val="0"/>
    <w:rPr>
      <w:rFonts w:hint="eastAsia" w:ascii="宋体" w:hAnsi="宋体" w:eastAsia="宋体" w:cs="宋体"/>
      <w:color w:val="000000"/>
      <w:sz w:val="24"/>
      <w:szCs w:val="24"/>
      <w:u w:val="none"/>
    </w:rPr>
  </w:style>
  <w:style w:type="paragraph" w:customStyle="1" w:styleId="48">
    <w:name w:val="列出段落1"/>
    <w:basedOn w:val="1"/>
    <w:autoRedefine/>
    <w:qFormat/>
    <w:uiPriority w:val="0"/>
    <w:pPr>
      <w:ind w:firstLine="420"/>
    </w:pPr>
    <w:rPr>
      <w:rFonts w:ascii="Calibri" w:hAnsi="Calibri"/>
    </w:rPr>
  </w:style>
  <w:style w:type="paragraph" w:customStyle="1" w:styleId="49">
    <w:name w:val="(.a表格内容"/>
    <w:basedOn w:val="50"/>
    <w:autoRedefine/>
    <w:qFormat/>
    <w:uiPriority w:val="0"/>
    <w:pPr>
      <w:spacing w:line="0" w:lineRule="atLeast"/>
      <w:jc w:val="center"/>
    </w:pPr>
    <w:rPr>
      <w:sz w:val="21"/>
    </w:rPr>
  </w:style>
  <w:style w:type="paragraph" w:customStyle="1" w:styleId="50">
    <w:name w:val="（.a正文"/>
    <w:autoRedefine/>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51">
    <w:name w:val="我的表格"/>
    <w:basedOn w:val="39"/>
    <w:autoRedefine/>
    <w:qFormat/>
    <w:uiPriority w:val="0"/>
    <w:pPr>
      <w:spacing w:line="240" w:lineRule="auto"/>
      <w:ind w:firstLine="0" w:firstLineChars="0"/>
      <w:jc w:val="center"/>
    </w:pPr>
    <w:rPr>
      <w:sz w:val="21"/>
      <w:szCs w:val="21"/>
    </w:rPr>
  </w:style>
  <w:style w:type="paragraph" w:customStyle="1" w:styleId="52">
    <w:name w:val="正文文本 (2)"/>
    <w:autoRedefine/>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character" w:customStyle="1" w:styleId="53">
    <w:name w:val="表头 Char"/>
    <w:link w:val="34"/>
    <w:autoRedefine/>
    <w:qFormat/>
    <w:uiPriority w:val="0"/>
    <w:rPr>
      <w:rFonts w:ascii="Times New Roman" w:hAnsi="Times New Roman" w:eastAsia="宋体"/>
      <w:b/>
      <w:sz w:val="21"/>
      <w:szCs w:val="21"/>
    </w:rPr>
  </w:style>
  <w:style w:type="paragraph" w:customStyle="1" w:styleId="54">
    <w:name w:val="样式10"/>
    <w:basedOn w:val="40"/>
    <w:autoRedefine/>
    <w:qFormat/>
    <w:uiPriority w:val="0"/>
    <w:pPr>
      <w:spacing w:line="480" w:lineRule="exact"/>
      <w:ind w:firstLine="600"/>
    </w:pPr>
  </w:style>
  <w:style w:type="paragraph" w:customStyle="1" w:styleId="55">
    <w:name w:val="样式 正文文字 + 首行缩进:  2 字符 行距: 最小值 24 磅"/>
    <w:basedOn w:val="1"/>
    <w:autoRedefine/>
    <w:qFormat/>
    <w:uiPriority w:val="0"/>
    <w:pPr>
      <w:adjustRightInd w:val="0"/>
      <w:snapToGrid w:val="0"/>
      <w:spacing w:line="480" w:lineRule="atLeast"/>
      <w:ind w:firstLine="480"/>
    </w:pPr>
    <w:rPr>
      <w:rFonts w:cs="宋体"/>
      <w:szCs w:val="20"/>
    </w:rPr>
  </w:style>
  <w:style w:type="paragraph" w:customStyle="1" w:styleId="56">
    <w:name w:val="正"/>
    <w:basedOn w:val="1"/>
    <w:autoRedefine/>
    <w:qFormat/>
    <w:uiPriority w:val="0"/>
    <w:pPr>
      <w:ind w:firstLine="200"/>
    </w:pPr>
  </w:style>
  <w:style w:type="table" w:customStyle="1" w:styleId="57">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58">
    <w:name w:val="河南表内"/>
    <w:basedOn w:val="1"/>
    <w:autoRedefine/>
    <w:qFormat/>
    <w:uiPriority w:val="0"/>
    <w:pPr>
      <w:spacing w:line="360" w:lineRule="exact"/>
      <w:jc w:val="center"/>
    </w:pPr>
    <w:rPr>
      <w:color w:val="000000"/>
      <w:szCs w:val="21"/>
    </w:rPr>
  </w:style>
  <w:style w:type="paragraph" w:customStyle="1" w:styleId="59">
    <w:name w:val="WPSOffice手动目录 1"/>
    <w:autoRedefine/>
    <w:qFormat/>
    <w:uiPriority w:val="0"/>
    <w:rPr>
      <w:rFonts w:ascii="Times New Roman" w:hAnsi="Times New Roman" w:eastAsia="宋体" w:cs="Times New Roman"/>
      <w:lang w:val="en-US" w:eastAsia="zh-CN" w:bidi="ar-SA"/>
    </w:rPr>
  </w:style>
  <w:style w:type="character" w:customStyle="1" w:styleId="60">
    <w:name w:val="表格 Char"/>
    <w:link w:val="35"/>
    <w:autoRedefine/>
    <w:qFormat/>
    <w:uiPriority w:val="0"/>
    <w:rPr>
      <w:rFonts w:ascii="Times New Roman" w:hAnsi="Times New Roman" w:eastAsia="宋体" w:cs="Times New Roman"/>
      <w:color w:val="auto"/>
      <w:kern w:val="1"/>
      <w:sz w:val="21"/>
      <w:szCs w:val="21"/>
      <w:highlight w:val="none"/>
      <w:lang w:val="en-US" w:eastAsia="zh-CN" w:bidi="ar-SA"/>
    </w:rPr>
  </w:style>
  <w:style w:type="character" w:customStyle="1" w:styleId="61">
    <w:name w:val="font11"/>
    <w:basedOn w:val="26"/>
    <w:autoRedefine/>
    <w:qFormat/>
    <w:uiPriority w:val="0"/>
    <w:rPr>
      <w:rFonts w:hint="eastAsia" w:ascii="宋体" w:hAnsi="宋体" w:eastAsia="宋体" w:cs="宋体"/>
      <w:color w:val="000000"/>
      <w:sz w:val="21"/>
      <w:szCs w:val="21"/>
      <w:u w:val="none"/>
    </w:rPr>
  </w:style>
  <w:style w:type="paragraph" w:customStyle="1" w:styleId="62">
    <w:name w:val="图图"/>
    <w:basedOn w:val="1"/>
    <w:autoRedefine/>
    <w:qFormat/>
    <w:uiPriority w:val="0"/>
    <w:pPr>
      <w:spacing w:line="240" w:lineRule="auto"/>
      <w:ind w:firstLine="0" w:firstLineChars="0"/>
      <w:jc w:val="center"/>
    </w:pPr>
    <w:rPr>
      <w:sz w:val="21"/>
    </w:rPr>
  </w:style>
  <w:style w:type="paragraph" w:customStyle="1" w:styleId="63">
    <w:name w:val="2.1.1"/>
    <w:basedOn w:val="1"/>
    <w:autoRedefine/>
    <w:qFormat/>
    <w:uiPriority w:val="0"/>
  </w:style>
  <w:style w:type="paragraph" w:customStyle="1" w:styleId="64">
    <w:name w:val="【表格】1"/>
    <w:next w:val="22"/>
    <w:autoRedefine/>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65">
    <w:name w:val="Table Text"/>
    <w:basedOn w:val="1"/>
    <w:semiHidden/>
    <w:qFormat/>
    <w:uiPriority w:val="0"/>
    <w:rPr>
      <w:rFonts w:ascii="宋体" w:hAnsi="宋体" w:cs="宋体"/>
      <w:sz w:val="20"/>
      <w:szCs w:val="20"/>
      <w:lang w:eastAsia="en-US"/>
    </w:rPr>
  </w:style>
  <w:style w:type="paragraph" w:customStyle="1" w:styleId="66">
    <w:name w:val="表格样式文化"/>
    <w:basedOn w:val="1"/>
    <w:qFormat/>
    <w:uiPriority w:val="0"/>
    <w:pPr>
      <w:ind w:left="51" w:right="51"/>
      <w:jc w:val="center"/>
    </w:pPr>
    <w:rPr>
      <w:snapToGrid w:val="0"/>
      <w:kern w:val="0"/>
      <w:szCs w:val="21"/>
    </w:rPr>
  </w:style>
  <w:style w:type="paragraph" w:customStyle="1" w:styleId="67">
    <w:name w:val="表 格"/>
    <w:basedOn w:val="1"/>
    <w:next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microsoft.com/office/2006/relationships/keyMapCustomizations" Target="customizations.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pn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image" Target="media/image7.png"/><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emf"/><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89"/>
    <customShpInfo spid="_x0000_s1080"/>
    <customShpInfo spid="_x0000_s1078"/>
    <customShpInfo spid="_x0000_s10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123</Pages>
  <Words>10563</Words>
  <Characters>11105</Characters>
  <Lines>662</Lines>
  <Paragraphs>186</Paragraphs>
  <TotalTime>7</TotalTime>
  <ScaleCrop>false</ScaleCrop>
  <LinksUpToDate>false</LinksUpToDate>
  <CharactersWithSpaces>11232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2021-09-02T07:13:00Z</dcterms:created>
  <dc:creator>Administrator</dc:creator>
  <cp:lastModifiedBy>张家铭</cp:lastModifiedBy>
  <cp:lastPrinted>2025-04-16T00:03:00Z</cp:lastPrinted>
  <dcterms:modified xsi:type="dcterms:W3CDTF">2025-05-22T07:34:27Z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C7EED3EE4D3649718DF5ABC97934AD7B_13</vt:lpwstr>
  </property>
  <property fmtid="{D5CDD505-2E9C-101B-9397-08002B2CF9AE}" pid="4" name="commondata">
    <vt:lpwstr>eyJoZGlkIjoiMzA2ZWRmNjk0ODg1ZWNjODdiZDc1Nzk3YWZjMjJjYjQifQ==</vt:lpwstr>
  </property>
  <property fmtid="{D5CDD505-2E9C-101B-9397-08002B2CF9AE}" pid="5" name="KSOTemplateDocerSaveRecord">
    <vt:lpwstr>eyJoZGlkIjoiM2NiMDMwY2JhOTU3YWM4NTAyMDM5ZWU1NTA3MWE2NDkiLCJ1c2VySWQiOiIxMDY5MjY3MDk2In0=</vt:lpwstr>
  </property>
</Properties>
</file>