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9A1A3">
      <w:pPr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C0C0C"/>
          <w:kern w:val="0"/>
          <w:sz w:val="44"/>
          <w:szCs w:val="44"/>
          <w:shd w:val="clear" w:color="auto" w:fill="FFFFFF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C0C0C"/>
          <w:kern w:val="0"/>
          <w:sz w:val="44"/>
          <w:szCs w:val="44"/>
          <w:shd w:val="clear" w:color="auto" w:fill="FFFFFF"/>
          <w:lang w:val="en-US" w:eastAsia="zh-CN"/>
        </w:rPr>
        <w:t>唐山市曹妃甸区第五次全国经济普查公报</w:t>
      </w:r>
    </w:p>
    <w:p w14:paraId="79D61D7F">
      <w:pPr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C0C0C"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C0C0C"/>
          <w:kern w:val="0"/>
          <w:sz w:val="44"/>
          <w:szCs w:val="44"/>
          <w:shd w:val="clear" w:color="auto" w:fill="FFFFFF"/>
          <w:lang w:val="en-US" w:eastAsia="zh-CN"/>
        </w:rPr>
        <w:t>（第四号）</w:t>
      </w:r>
    </w:p>
    <w:p w14:paraId="3A995573">
      <w:pPr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C0C0C"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C0C0C"/>
          <w:kern w:val="0"/>
          <w:sz w:val="44"/>
          <w:szCs w:val="44"/>
          <w:shd w:val="clear" w:color="auto" w:fill="FFFFFF"/>
          <w:lang w:val="en-US" w:eastAsia="zh-CN"/>
        </w:rPr>
        <w:t>——第三产业基本情况之一</w:t>
      </w:r>
    </w:p>
    <w:bookmarkEnd w:id="0"/>
    <w:p w14:paraId="4A1D3A15">
      <w:pPr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方正楷体简体" w:hAnsi="方正楷体简体" w:eastAsia="方正楷体简体" w:cs="方正楷体简体"/>
          <w:color w:val="0C0C0C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color w:val="0C0C0C"/>
          <w:sz w:val="32"/>
          <w:szCs w:val="32"/>
        </w:rPr>
        <w:t>唐山市曹妃甸区统计局</w:t>
      </w:r>
    </w:p>
    <w:p w14:paraId="278E44B2">
      <w:pPr>
        <w:adjustRightInd w:val="0"/>
        <w:snapToGrid w:val="0"/>
        <w:spacing w:line="600" w:lineRule="exact"/>
        <w:ind w:firstLine="0" w:firstLineChars="0"/>
        <w:jc w:val="center"/>
        <w:textAlignment w:val="auto"/>
        <w:rPr>
          <w:rFonts w:hint="eastAsia" w:ascii="方正楷体简体" w:hAnsi="方正楷体简体" w:eastAsia="方正楷体简体" w:cs="方正楷体简体"/>
          <w:color w:val="0C0C0C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color w:val="0C0C0C"/>
          <w:sz w:val="32"/>
          <w:szCs w:val="32"/>
        </w:rPr>
        <w:t>唐山市曹妃甸区第五次全国经济普查领导小组办公室</w:t>
      </w:r>
    </w:p>
    <w:p w14:paraId="1771E5BC">
      <w:pPr>
        <w:pStyle w:val="5"/>
        <w:spacing w:line="600" w:lineRule="exact"/>
        <w:ind w:firstLine="0" w:firstLineChars="0"/>
        <w:jc w:val="center"/>
        <w:textAlignment w:val="baseline"/>
        <w:rPr>
          <w:rFonts w:hint="eastAsia" w:ascii="方正楷体简体" w:hAnsi="方正楷体简体" w:eastAsia="方正楷体简体" w:cs="方正楷体简体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（</w:t>
      </w:r>
      <w:r>
        <w:rPr>
          <w:rFonts w:hint="default" w:ascii="Times New Roman" w:hAnsi="Times New Roman" w:eastAsia="方正楷体简体" w:cs="Times New Roman"/>
          <w:sz w:val="32"/>
          <w:szCs w:val="32"/>
        </w:rPr>
        <w:t>2025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年</w:t>
      </w: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5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月</w:t>
      </w:r>
      <w:r>
        <w:rPr>
          <w:rFonts w:hint="eastAsia" w:ascii="Times New Roman" w:hAnsi="Times New Roman" w:eastAsia="方正楷体简体" w:cs="Times New Roman"/>
          <w:sz w:val="32"/>
          <w:szCs w:val="32"/>
          <w:lang w:val="en-US" w:eastAsia="zh-CN"/>
        </w:rPr>
        <w:t>28</w:t>
      </w:r>
      <w:r>
        <w:rPr>
          <w:rFonts w:hint="eastAsia" w:ascii="方正楷体简体" w:hAnsi="方正楷体简体" w:eastAsia="方正楷体简体" w:cs="方正楷体简体"/>
          <w:sz w:val="32"/>
          <w:szCs w:val="32"/>
        </w:rPr>
        <w:t>日）</w:t>
      </w:r>
    </w:p>
    <w:p w14:paraId="4E94B351">
      <w:pPr>
        <w:pStyle w:val="17"/>
        <w:adjustRightInd/>
        <w:spacing w:line="600" w:lineRule="exact"/>
        <w:ind w:firstLine="640"/>
        <w:textAlignment w:val="center"/>
        <w:rPr>
          <w:rFonts w:hint="eastAsia" w:ascii="方正仿宋简体" w:hAnsi="方正仿宋简体" w:eastAsia="方正仿宋简体" w:cs="方正仿宋简体"/>
          <w:color w:val="0C0C0C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z w:val="32"/>
          <w:szCs w:val="32"/>
        </w:rPr>
        <w:t>根据第五次全国经济普查结果，现将全区第三产业中批发和零售业，交通运输、仓储和邮政业，住宿和餐饮业，信息传输、软件和信息技术服务业，金融业，房地产业，租赁和商务服务业的主要数据公布如下：</w:t>
      </w:r>
    </w:p>
    <w:p w14:paraId="082AF43B">
      <w:pPr>
        <w:spacing w:line="600" w:lineRule="exact"/>
        <w:ind w:firstLine="640"/>
        <w:textAlignment w:val="auto"/>
        <w:rPr>
          <w:rFonts w:hint="eastAsia" w:ascii="黑体" w:hAnsi="黑体" w:eastAsia="黑体" w:cs="黑体"/>
          <w:color w:val="0C0C0C"/>
          <w:sz w:val="32"/>
          <w:szCs w:val="32"/>
        </w:rPr>
      </w:pPr>
      <w:r>
        <w:rPr>
          <w:rFonts w:hint="eastAsia" w:ascii="黑体" w:hAnsi="黑体" w:eastAsia="黑体" w:cs="黑体"/>
          <w:color w:val="0C0C0C"/>
          <w:kern w:val="0"/>
          <w:sz w:val="32"/>
          <w:szCs w:val="32"/>
        </w:rPr>
        <w:t>一、批发和零售业</w:t>
      </w:r>
    </w:p>
    <w:p w14:paraId="6AD20E06">
      <w:pPr>
        <w:adjustRightInd w:val="0"/>
        <w:snapToGrid w:val="0"/>
        <w:spacing w:line="600" w:lineRule="exact"/>
        <w:ind w:firstLine="640"/>
        <w:textAlignment w:val="auto"/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（一）企业法人单位数和从业人员</w:t>
      </w:r>
    </w:p>
    <w:p w14:paraId="0DB07314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年末，全区共有批发和零售业企业法人单位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4009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个，从业人员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24607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人，分别比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79.3%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和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271.5%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0C431FA2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在批发和零售业企业法人单位中，批发业占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74.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，零售业占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25.1%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。在批发和零售业企业法人单位从业人员中，批发业占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80.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，零售业占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19.7%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4-1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24E958D7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56E98176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5E13B7FD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6C3B49C0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7B58BEB4">
      <w:pPr>
        <w:spacing w:line="600" w:lineRule="exact"/>
        <w:ind w:right="6" w:firstLine="0" w:firstLineChars="0"/>
        <w:jc w:val="both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 w14:paraId="0DBEA749">
      <w:pPr>
        <w:spacing w:line="600" w:lineRule="exact"/>
        <w:ind w:right="6" w:firstLine="0" w:firstLineChars="0"/>
        <w:jc w:val="center"/>
        <w:textAlignment w:val="auto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kern w:val="0"/>
          <w:sz w:val="24"/>
          <w:szCs w:val="24"/>
        </w:rPr>
        <w:t>4-1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　按行业中类分组的批发和零售业企业法人单位数和从业人员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81"/>
        <w:gridCol w:w="1780"/>
        <w:gridCol w:w="1310"/>
      </w:tblGrid>
      <w:tr w14:paraId="0D799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3218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34E7E2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　</w:t>
            </w:r>
          </w:p>
        </w:tc>
        <w:tc>
          <w:tcPr>
            <w:tcW w:w="102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FB6D9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21103FB7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75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0D18E31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从业人员</w:t>
            </w:r>
          </w:p>
          <w:p w14:paraId="6BE8C7AD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499DD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218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4F824528">
            <w:pPr>
              <w:spacing w:line="30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102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661A97">
            <w:pPr>
              <w:keepNext w:val="0"/>
              <w:keepLines w:val="0"/>
              <w:pageBreakBefore w:val="0"/>
              <w:widowControl w:val="0"/>
              <w:tabs>
                <w:tab w:val="left" w:pos="4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4009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138E8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24607</w:t>
            </w:r>
          </w:p>
        </w:tc>
      </w:tr>
      <w:tr w14:paraId="374F5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21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24D9078">
            <w:pPr>
              <w:spacing w:line="30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批发业</w:t>
            </w:r>
          </w:p>
        </w:tc>
        <w:tc>
          <w:tcPr>
            <w:tcW w:w="1026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8CA24DA">
            <w:pPr>
              <w:keepNext w:val="0"/>
              <w:keepLines w:val="0"/>
              <w:pageBreakBefore w:val="0"/>
              <w:widowControl w:val="0"/>
              <w:tabs>
                <w:tab w:val="left" w:pos="5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3001</w:t>
            </w:r>
          </w:p>
        </w:tc>
        <w:tc>
          <w:tcPr>
            <w:tcW w:w="755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699E2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19748</w:t>
            </w:r>
          </w:p>
        </w:tc>
      </w:tr>
      <w:tr w14:paraId="4F186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21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C60AF80">
            <w:pPr>
              <w:spacing w:line="30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农、林、牧、渔产品批发</w:t>
            </w:r>
          </w:p>
        </w:tc>
        <w:tc>
          <w:tcPr>
            <w:tcW w:w="1026" w:type="pct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62479EF1">
            <w:pPr>
              <w:keepNext w:val="0"/>
              <w:keepLines w:val="0"/>
              <w:pageBreakBefore w:val="0"/>
              <w:widowControl w:val="0"/>
              <w:tabs>
                <w:tab w:val="left" w:pos="4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52</w:t>
            </w:r>
          </w:p>
        </w:tc>
        <w:tc>
          <w:tcPr>
            <w:tcW w:w="755" w:type="pct"/>
            <w:tcBorders>
              <w:top w:val="nil"/>
              <w:left w:val="single" w:color="000000" w:sz="4" w:space="0"/>
              <w:bottom w:val="nil"/>
              <w:right w:val="nil"/>
            </w:tcBorders>
            <w:vAlign w:val="center"/>
          </w:tcPr>
          <w:p w14:paraId="0755D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361</w:t>
            </w:r>
          </w:p>
        </w:tc>
      </w:tr>
      <w:tr w14:paraId="25340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218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DE4B13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食品、饮料及烟草制品批发</w:t>
            </w:r>
          </w:p>
        </w:tc>
        <w:tc>
          <w:tcPr>
            <w:tcW w:w="1026" w:type="pc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965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124</w:t>
            </w:r>
          </w:p>
        </w:tc>
        <w:tc>
          <w:tcPr>
            <w:tcW w:w="755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346EE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793</w:t>
            </w:r>
          </w:p>
        </w:tc>
      </w:tr>
      <w:tr w14:paraId="7EDE3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BDE3C4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纺织、服装及家庭用品批发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A59124">
            <w:pPr>
              <w:keepNext w:val="0"/>
              <w:keepLines w:val="0"/>
              <w:pageBreakBefore w:val="0"/>
              <w:widowControl w:val="0"/>
              <w:tabs>
                <w:tab w:val="left" w:pos="5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73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70031C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729</w:t>
            </w:r>
          </w:p>
        </w:tc>
      </w:tr>
      <w:tr w14:paraId="4757F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D89110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文化、体育用品及器材批发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DB0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7B47BC08">
            <w:pPr>
              <w:keepNext w:val="0"/>
              <w:keepLines w:val="0"/>
              <w:pageBreakBefore w:val="0"/>
              <w:widowControl w:val="0"/>
              <w:tabs>
                <w:tab w:val="left" w:pos="41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200</w:t>
            </w:r>
          </w:p>
        </w:tc>
      </w:tr>
      <w:tr w14:paraId="794AA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1CC5B2A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医药及医疗器材批发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B16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1C7B7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174</w:t>
            </w:r>
          </w:p>
        </w:tc>
      </w:tr>
      <w:tr w14:paraId="7DB79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9C063F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矿产品、建材及化工产品批发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046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2060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31E62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13600</w:t>
            </w:r>
          </w:p>
        </w:tc>
      </w:tr>
      <w:tr w14:paraId="6CE2B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9F860D7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机械设备、五金产品及电子产品批发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183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426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6ECD4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2725</w:t>
            </w:r>
          </w:p>
        </w:tc>
      </w:tr>
      <w:tr w14:paraId="5C3229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DC14F79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贸易经纪与代理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61BC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24C0B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98</w:t>
            </w:r>
          </w:p>
        </w:tc>
      </w:tr>
      <w:tr w14:paraId="07006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0D24DF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其他批发业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E7F520">
            <w:pPr>
              <w:keepNext w:val="0"/>
              <w:keepLines w:val="0"/>
              <w:pageBreakBefore w:val="0"/>
              <w:widowControl w:val="0"/>
              <w:tabs>
                <w:tab w:val="left" w:pos="2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186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39C1A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1068</w:t>
            </w:r>
          </w:p>
        </w:tc>
      </w:tr>
      <w:tr w14:paraId="50785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641F4A">
            <w:pPr>
              <w:spacing w:line="300" w:lineRule="exact"/>
              <w:ind w:right="57" w:righ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零售业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E4B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1008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66CE3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4859</w:t>
            </w:r>
          </w:p>
        </w:tc>
      </w:tr>
      <w:tr w14:paraId="7D925B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7D25AD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综合零售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DF58A5">
            <w:pPr>
              <w:keepNext w:val="0"/>
              <w:keepLines w:val="0"/>
              <w:pageBreakBefore w:val="0"/>
              <w:widowControl w:val="0"/>
              <w:tabs>
                <w:tab w:val="left" w:pos="4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446D7F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233</w:t>
            </w:r>
          </w:p>
        </w:tc>
      </w:tr>
      <w:tr w14:paraId="02183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34C238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食品、饮料及烟草制品专门零售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04F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102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5A895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558</w:t>
            </w:r>
          </w:p>
        </w:tc>
      </w:tr>
      <w:tr w14:paraId="591A15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9723E2D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纺织、服装及日用品专门零售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007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101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009AF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489</w:t>
            </w:r>
          </w:p>
        </w:tc>
      </w:tr>
      <w:tr w14:paraId="5BF20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D7FB54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文化、体育用品及器材专门零售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EBA2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2F31B4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190</w:t>
            </w:r>
          </w:p>
        </w:tc>
      </w:tr>
      <w:tr w14:paraId="37E02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553656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医药及医疗器材专门零售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230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173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3E078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755</w:t>
            </w:r>
          </w:p>
        </w:tc>
      </w:tr>
      <w:tr w14:paraId="739C8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9118A1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汽车、摩托车、零配件和燃料及其他动力销售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E34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05882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807</w:t>
            </w:r>
          </w:p>
        </w:tc>
      </w:tr>
      <w:tr w14:paraId="7FFD7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D54CF72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家用电器及电子产品专门零售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62F4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7388F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300</w:t>
            </w:r>
          </w:p>
        </w:tc>
      </w:tr>
      <w:tr w14:paraId="6B35A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CA16704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五金、家具及室内装饰材料专门零售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2226B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328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</w:tcBorders>
            <w:shd w:val="clear" w:color="auto" w:fill="auto"/>
            <w:vAlign w:val="center"/>
          </w:tcPr>
          <w:p w14:paraId="2D8EB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1330</w:t>
            </w:r>
          </w:p>
        </w:tc>
      </w:tr>
      <w:tr w14:paraId="39777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0" w:type="auto"/>
            <w:tcBorders>
              <w:top w:val="nil"/>
              <w:bottom w:val="single" w:color="auto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1152914E">
            <w:pPr>
              <w:spacing w:line="300" w:lineRule="exact"/>
              <w:ind w:right="57" w:rightChars="0" w:firstLine="420" w:firstLineChars="200"/>
              <w:jc w:val="left"/>
              <w:textAlignment w:val="auto"/>
              <w:rPr>
                <w:rFonts w:hint="eastAsia" w:ascii="宋体" w:hAnsi="宋体" w:eastAsia="宋体" w:cs="宋体"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货摊、无店铺及其他零售业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auto"/>
            <w:vAlign w:val="center"/>
          </w:tcPr>
          <w:p w14:paraId="2F0E5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auto" w:sz="12" w:space="0"/>
            </w:tcBorders>
            <w:shd w:val="clear" w:color="auto" w:fill="auto"/>
            <w:vAlign w:val="center"/>
          </w:tcPr>
          <w:p w14:paraId="22943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197</w:t>
            </w:r>
          </w:p>
        </w:tc>
      </w:tr>
    </w:tbl>
    <w:p w14:paraId="71CF1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616" w:firstLineChars="200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1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在批发和零售业企业法人单位中</w:t>
      </w:r>
      <w:r>
        <w:rPr>
          <w:rFonts w:hint="eastAsia" w:ascii="方正仿宋简体" w:hAnsi="方正仿宋简体" w:eastAsia="方正仿宋简体" w:cs="方正仿宋简体"/>
          <w:color w:val="0C0C0C"/>
          <w:spacing w:val="-10"/>
          <w:sz w:val="32"/>
          <w:szCs w:val="32"/>
        </w:rPr>
        <w:t>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99.3%</w:t>
      </w:r>
      <w:r>
        <w:rPr>
          <w:rFonts w:hint="eastAsia" w:ascii="方正仿宋简体" w:hAnsi="方正仿宋简体" w:eastAsia="方正仿宋简体" w:cs="方正仿宋简体"/>
          <w:color w:val="0C0C0C"/>
          <w:spacing w:val="-10"/>
          <w:sz w:val="32"/>
          <w:szCs w:val="32"/>
        </w:rPr>
        <w:t>，港澳台投资企业占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10"/>
          <w:sz w:val="32"/>
          <w:szCs w:val="32"/>
        </w:rPr>
        <w:t>，外商投资企业占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10"/>
          <w:sz w:val="32"/>
          <w:szCs w:val="32"/>
        </w:rPr>
        <w:t>，其他统计类别占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10"/>
          <w:sz w:val="32"/>
          <w:szCs w:val="32"/>
        </w:rPr>
        <w:t>。</w:t>
      </w:r>
    </w:p>
    <w:p w14:paraId="5EEBB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在批发和零售业企业法人单位从业人员中，内资企业占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62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，港澳台投资企业占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16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，外商投资企业占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0.19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，其他统计类别占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0.0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4-2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7393F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</w:p>
    <w:p w14:paraId="43DBF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</w:p>
    <w:p w14:paraId="1CFAB4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</w:p>
    <w:p w14:paraId="5FBCA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</w:p>
    <w:p w14:paraId="1700F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</w:p>
    <w:p w14:paraId="2AD59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4"/>
        </w:rPr>
        <w:t>4-2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按登记注册统计类别分组的批发和零售业</w:t>
      </w:r>
    </w:p>
    <w:p w14:paraId="5D7E7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企业法人单位数和从业人员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86"/>
        <w:gridCol w:w="2689"/>
        <w:gridCol w:w="2296"/>
      </w:tblGrid>
      <w:tr w14:paraId="5BE212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25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3E687">
            <w:pPr>
              <w:spacing w:line="320" w:lineRule="exact"/>
              <w:ind w:left="57" w:right="57" w:firstLine="50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　</w:t>
            </w:r>
          </w:p>
        </w:tc>
        <w:tc>
          <w:tcPr>
            <w:tcW w:w="155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1E79B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28F11FCD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32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6F2CE18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从业人员</w:t>
            </w:r>
          </w:p>
          <w:p w14:paraId="1D94A93B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06EB25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125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2B9C06D">
            <w:pPr>
              <w:spacing w:line="32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257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096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4009</w:t>
            </w:r>
          </w:p>
        </w:tc>
        <w:tc>
          <w:tcPr>
            <w:tcW w:w="2198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455B2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24607</w:t>
            </w:r>
          </w:p>
        </w:tc>
      </w:tr>
      <w:tr w14:paraId="040AA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125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890957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内资企业</w:t>
            </w:r>
          </w:p>
        </w:tc>
        <w:tc>
          <w:tcPr>
            <w:tcW w:w="25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C49E05">
            <w:pPr>
              <w:keepNext w:val="0"/>
              <w:keepLines w:val="0"/>
              <w:pageBreakBefore w:val="0"/>
              <w:widowControl w:val="0"/>
              <w:tabs>
                <w:tab w:val="left" w:pos="5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3982</w:t>
            </w:r>
          </w:p>
        </w:tc>
        <w:tc>
          <w:tcPr>
            <w:tcW w:w="219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8D07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24516</w:t>
            </w:r>
          </w:p>
        </w:tc>
      </w:tr>
      <w:tr w14:paraId="0C86F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125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9D28D09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港澳台投资企业</w:t>
            </w:r>
          </w:p>
        </w:tc>
        <w:tc>
          <w:tcPr>
            <w:tcW w:w="25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5F7E91">
            <w:pPr>
              <w:keepNext w:val="0"/>
              <w:keepLines w:val="0"/>
              <w:pageBreakBefore w:val="0"/>
              <w:widowControl w:val="0"/>
              <w:tabs>
                <w:tab w:val="left" w:pos="6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8</w:t>
            </w:r>
          </w:p>
        </w:tc>
        <w:tc>
          <w:tcPr>
            <w:tcW w:w="219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0A10A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39</w:t>
            </w:r>
          </w:p>
        </w:tc>
      </w:tr>
      <w:tr w14:paraId="22957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125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36C46D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外商投资企业</w:t>
            </w:r>
          </w:p>
        </w:tc>
        <w:tc>
          <w:tcPr>
            <w:tcW w:w="257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1AEB3A">
            <w:pPr>
              <w:keepNext w:val="0"/>
              <w:keepLines w:val="0"/>
              <w:pageBreakBefore w:val="0"/>
              <w:widowControl w:val="0"/>
              <w:tabs>
                <w:tab w:val="left" w:pos="5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8</w:t>
            </w:r>
          </w:p>
        </w:tc>
        <w:tc>
          <w:tcPr>
            <w:tcW w:w="2198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7FC90B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45</w:t>
            </w:r>
          </w:p>
        </w:tc>
      </w:tr>
      <w:tr w14:paraId="03263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125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7A9BF967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其他统计类别</w:t>
            </w:r>
          </w:p>
        </w:tc>
        <w:tc>
          <w:tcPr>
            <w:tcW w:w="2575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BE36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11</w:t>
            </w:r>
          </w:p>
        </w:tc>
        <w:tc>
          <w:tcPr>
            <w:tcW w:w="2198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56ECD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7</w:t>
            </w:r>
          </w:p>
        </w:tc>
      </w:tr>
    </w:tbl>
    <w:p w14:paraId="023B590E">
      <w:pPr>
        <w:adjustRightInd w:val="0"/>
        <w:snapToGrid w:val="0"/>
        <w:spacing w:line="600" w:lineRule="exact"/>
        <w:ind w:firstLine="640"/>
        <w:textAlignment w:val="auto"/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（二）主要经济指标</w:t>
      </w:r>
    </w:p>
    <w:p w14:paraId="4993B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年末，批发和零售业企业法人单位资产总计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935.4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446.7%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；负债合计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712.9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628.9%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588410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b/>
          <w:color w:val="0C0C0C"/>
          <w:ker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年，批发和零售业企业法人单位全年实现营业收入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3076.8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14.2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倍（详见表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485FA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4"/>
        </w:rPr>
        <w:t>4-3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按行业中类分组的批发和零售业</w:t>
      </w:r>
    </w:p>
    <w:p w14:paraId="20D3A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企业法人单位主要经济指标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81"/>
        <w:gridCol w:w="1230"/>
        <w:gridCol w:w="1230"/>
        <w:gridCol w:w="1330"/>
      </w:tblGrid>
      <w:tr w14:paraId="0A4F2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920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E3AF7">
            <w:pPr>
              <w:spacing w:line="320" w:lineRule="exact"/>
              <w:ind w:left="57" w:right="57" w:firstLine="50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　</w:t>
            </w:r>
          </w:p>
        </w:tc>
        <w:tc>
          <w:tcPr>
            <w:tcW w:w="68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A61A5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资产总计</w:t>
            </w:r>
          </w:p>
          <w:p w14:paraId="0C4E1532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68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D8027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负债合计</w:t>
            </w:r>
          </w:p>
          <w:p w14:paraId="36E3ED81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71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E81A472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营业收入</w:t>
            </w:r>
          </w:p>
          <w:p w14:paraId="07E50583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（亿元）</w:t>
            </w:r>
          </w:p>
        </w:tc>
      </w:tr>
      <w:tr w14:paraId="3E080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6D154F7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68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3F180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2"/>
              <w:jc w:val="right"/>
              <w:textAlignment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935.4</w:t>
            </w:r>
          </w:p>
        </w:tc>
        <w:tc>
          <w:tcPr>
            <w:tcW w:w="68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960C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2"/>
              <w:jc w:val="right"/>
              <w:textAlignment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712.9</w:t>
            </w:r>
          </w:p>
        </w:tc>
        <w:tc>
          <w:tcPr>
            <w:tcW w:w="71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</w:tcPr>
          <w:p w14:paraId="4261A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2"/>
              <w:jc w:val="right"/>
              <w:textAlignment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3076.8</w:t>
            </w:r>
          </w:p>
        </w:tc>
      </w:tr>
      <w:tr w14:paraId="63632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2F01F2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批发业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44131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2"/>
              <w:jc w:val="right"/>
              <w:textAlignment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903.1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87AD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2"/>
              <w:jc w:val="right"/>
              <w:textAlignment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695.9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459D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2"/>
              <w:jc w:val="right"/>
              <w:textAlignment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3018.0</w:t>
            </w:r>
          </w:p>
        </w:tc>
      </w:tr>
      <w:tr w14:paraId="43B63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CB4A55C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农、林、牧、渔产品批发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C802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15.0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C60E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7.4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236DF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26.9</w:t>
            </w:r>
          </w:p>
        </w:tc>
      </w:tr>
      <w:tr w14:paraId="1196C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E4D8C6E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食品、饮料及烟草制品批发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7484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40.1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AE24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31.2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269A9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29.2</w:t>
            </w:r>
          </w:p>
        </w:tc>
      </w:tr>
      <w:tr w14:paraId="109CF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1F84534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纺织、服装及家庭用品批发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9DFB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10.0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A6E96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7.5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B716A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16.7</w:t>
            </w:r>
          </w:p>
        </w:tc>
      </w:tr>
      <w:tr w14:paraId="6DCA1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FD63848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文化、体育用品及器材批发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8632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1.7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24E6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1.8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283548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3.6</w:t>
            </w:r>
          </w:p>
        </w:tc>
      </w:tr>
      <w:tr w14:paraId="76E36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427ECE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医药及医疗器材批发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5B7A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1.7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807E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1.3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D2A0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4.0</w:t>
            </w:r>
          </w:p>
        </w:tc>
      </w:tr>
      <w:tr w14:paraId="761F7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548D370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矿产品、建材及化工产品批发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110E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745.1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DEC5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579.2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A202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2784.0</w:t>
            </w:r>
          </w:p>
        </w:tc>
      </w:tr>
      <w:tr w14:paraId="57483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4E73B66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机械设备、五金产品及电子产品批发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D5DF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81.9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67EB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63.6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FC2B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130.9</w:t>
            </w:r>
          </w:p>
        </w:tc>
      </w:tr>
      <w:tr w14:paraId="5DAD8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EE7DF8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贸易经纪与代理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4B211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0.5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DD9B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0.4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A431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1.2</w:t>
            </w:r>
          </w:p>
        </w:tc>
      </w:tr>
      <w:tr w14:paraId="42E43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AF2F33A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其他批发业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12F0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7.1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8AEC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3.5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52D2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21.5</w:t>
            </w:r>
          </w:p>
        </w:tc>
      </w:tr>
      <w:tr w14:paraId="4AF6C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ACFAC3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零售业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CD52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2"/>
              <w:jc w:val="right"/>
              <w:textAlignment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32.3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7C7A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2"/>
              <w:jc w:val="right"/>
              <w:textAlignment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17.0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8691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2"/>
              <w:jc w:val="right"/>
              <w:textAlignment w:val="center"/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58.8</w:t>
            </w:r>
          </w:p>
        </w:tc>
      </w:tr>
      <w:tr w14:paraId="6BD46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7CE0CE1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综合零售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F849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1.5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22F10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0.9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EE10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2.0</w:t>
            </w:r>
          </w:p>
        </w:tc>
      </w:tr>
      <w:tr w14:paraId="47B31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88D8A6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食品、饮料及烟草制品专门零售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2934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2.4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63E15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1.1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4035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4.8</w:t>
            </w:r>
          </w:p>
        </w:tc>
      </w:tr>
      <w:tr w14:paraId="502DF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48A4780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纺织、服装及日用品专门零售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4DC23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1.7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4B425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0.7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3654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4.3</w:t>
            </w:r>
          </w:p>
        </w:tc>
      </w:tr>
      <w:tr w14:paraId="62DC1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D09DF22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文化、体育用品及器材专门零售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1F9B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1.5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3395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1.2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5AD3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1.9</w:t>
            </w:r>
          </w:p>
        </w:tc>
      </w:tr>
      <w:tr w14:paraId="29BAC5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B7FD94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医药及医疗器材专门零售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FB65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2.2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03053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0.8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46A7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6.6</w:t>
            </w:r>
          </w:p>
        </w:tc>
      </w:tr>
      <w:tr w14:paraId="2F895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B33B174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汽车、摩托车、零配件和燃料及其他动力销售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D901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12.4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D7AED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7.2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A72A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17.6</w:t>
            </w:r>
          </w:p>
        </w:tc>
      </w:tr>
      <w:tr w14:paraId="5C02A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88D831E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家用电器及电子产品专门零售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2ECF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1.7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C305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0.9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935F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3.4</w:t>
            </w:r>
          </w:p>
        </w:tc>
      </w:tr>
      <w:tr w14:paraId="32FA3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0CC086D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五金、家具及室内装饰材料专门零售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E9C0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8.0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4C7BF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3.9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502F5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16.1</w:t>
            </w:r>
          </w:p>
        </w:tc>
      </w:tr>
      <w:tr w14:paraId="5F697B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920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052749E6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货摊、无店铺及其他零售业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0B4E64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0.9</w:t>
            </w:r>
          </w:p>
        </w:tc>
        <w:tc>
          <w:tcPr>
            <w:tcW w:w="682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5A8DC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0.3</w:t>
            </w:r>
          </w:p>
        </w:tc>
        <w:tc>
          <w:tcPr>
            <w:tcW w:w="715" w:type="pct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</w:tcPr>
          <w:p w14:paraId="5EDDB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420"/>
              <w:jc w:val="right"/>
              <w:textAlignment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2.1</w:t>
            </w:r>
          </w:p>
        </w:tc>
      </w:tr>
    </w:tbl>
    <w:p w14:paraId="2E6D0CFB">
      <w:pPr>
        <w:spacing w:line="600" w:lineRule="exact"/>
        <w:ind w:firstLine="640"/>
        <w:textAlignment w:val="auto"/>
        <w:rPr>
          <w:rFonts w:hint="eastAsia" w:ascii="黑体" w:hAnsi="黑体" w:eastAsia="黑体" w:cs="黑体"/>
          <w:color w:val="0C0C0C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C0C0C"/>
          <w:kern w:val="0"/>
          <w:sz w:val="32"/>
          <w:szCs w:val="32"/>
        </w:rPr>
        <w:t>二、交通运输、仓储和邮政业</w:t>
      </w:r>
    </w:p>
    <w:p w14:paraId="7BB39429">
      <w:pPr>
        <w:adjustRightInd w:val="0"/>
        <w:snapToGrid w:val="0"/>
        <w:spacing w:line="600" w:lineRule="exact"/>
        <w:ind w:firstLine="640"/>
        <w:textAlignment w:val="auto"/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（一）企业法人单位数和从业人员</w:t>
      </w:r>
    </w:p>
    <w:p w14:paraId="42CB02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b/>
          <w:color w:val="0C0C0C"/>
          <w:ker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年末，全区共有交通运输、仓储和邮政业企业法人单位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10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21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个，从业人员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21213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人，分别比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9.1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</w:rPr>
        <w:t>和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42.4%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4-4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34E5E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4-4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按行业大类分组的交通运输、仓储和邮政业</w:t>
      </w:r>
    </w:p>
    <w:p w14:paraId="16E89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企业法人单位数和从业人员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57"/>
        <w:gridCol w:w="2434"/>
        <w:gridCol w:w="2480"/>
      </w:tblGrid>
      <w:tr w14:paraId="78851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66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D77D5">
            <w:pPr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　</w:t>
            </w:r>
          </w:p>
        </w:tc>
        <w:tc>
          <w:tcPr>
            <w:tcW w:w="140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95818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0647F510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43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4389487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从业人员</w:t>
            </w:r>
          </w:p>
          <w:p w14:paraId="50476F0A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0F63F2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66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75A16A3">
            <w:pPr>
              <w:spacing w:line="32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140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8A37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hint="default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430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4676C8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21213</w:t>
            </w:r>
          </w:p>
        </w:tc>
      </w:tr>
      <w:tr w14:paraId="46802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66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0EB34DE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铁路运输业</w:t>
            </w:r>
          </w:p>
        </w:tc>
        <w:tc>
          <w:tcPr>
            <w:tcW w:w="140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CB2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color w:val="0C0C0C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30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05CA6B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hint="default" w:ascii="宋体" w:hAnsi="宋体" w:eastAsia="宋体" w:cs="宋体"/>
                <w:color w:val="0C0C0C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  <w:lang w:val="en-US" w:eastAsia="zh-CN"/>
              </w:rPr>
              <w:t>482</w:t>
            </w:r>
          </w:p>
        </w:tc>
      </w:tr>
      <w:tr w14:paraId="2CEDE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66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ACCDD9C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道路运输业</w:t>
            </w:r>
          </w:p>
        </w:tc>
        <w:tc>
          <w:tcPr>
            <w:tcW w:w="140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CDF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585</w:t>
            </w:r>
          </w:p>
        </w:tc>
        <w:tc>
          <w:tcPr>
            <w:tcW w:w="1430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737CB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hint="default" w:ascii="宋体" w:hAnsi="宋体" w:eastAsia="宋体" w:cs="宋体"/>
                <w:color w:val="0C0C0C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  <w:lang w:val="en-US" w:eastAsia="zh-CN"/>
              </w:rPr>
              <w:t>9726</w:t>
            </w:r>
          </w:p>
        </w:tc>
      </w:tr>
      <w:tr w14:paraId="567C8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66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F93A586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水上运输业</w:t>
            </w:r>
          </w:p>
        </w:tc>
        <w:tc>
          <w:tcPr>
            <w:tcW w:w="140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797C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96</w:t>
            </w:r>
          </w:p>
        </w:tc>
        <w:tc>
          <w:tcPr>
            <w:tcW w:w="1430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6F27D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5054</w:t>
            </w:r>
          </w:p>
        </w:tc>
      </w:tr>
      <w:tr w14:paraId="57F18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66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CC4BBF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航空运输业</w:t>
            </w:r>
          </w:p>
        </w:tc>
        <w:tc>
          <w:tcPr>
            <w:tcW w:w="140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E22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1430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4BA9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0</w:t>
            </w:r>
          </w:p>
        </w:tc>
      </w:tr>
      <w:tr w14:paraId="18925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66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51A778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管道运输业</w:t>
            </w:r>
          </w:p>
        </w:tc>
        <w:tc>
          <w:tcPr>
            <w:tcW w:w="140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90E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</w:t>
            </w:r>
          </w:p>
        </w:tc>
        <w:tc>
          <w:tcPr>
            <w:tcW w:w="1430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0412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21</w:t>
            </w:r>
          </w:p>
        </w:tc>
      </w:tr>
      <w:tr w14:paraId="57CE0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66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B2A62F1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多式联运和运输代理业</w:t>
            </w:r>
          </w:p>
        </w:tc>
        <w:tc>
          <w:tcPr>
            <w:tcW w:w="140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68D7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182</w:t>
            </w:r>
          </w:p>
        </w:tc>
        <w:tc>
          <w:tcPr>
            <w:tcW w:w="1430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54107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hint="default" w:ascii="宋体" w:hAnsi="宋体" w:eastAsia="宋体" w:cs="宋体"/>
                <w:color w:val="0C0C0C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  <w:lang w:val="en-US" w:eastAsia="zh-CN"/>
              </w:rPr>
              <w:t>091</w:t>
            </w:r>
          </w:p>
        </w:tc>
      </w:tr>
      <w:tr w14:paraId="3ED33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66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D3CFAF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装卸搬运和仓储业</w:t>
            </w:r>
          </w:p>
        </w:tc>
        <w:tc>
          <w:tcPr>
            <w:tcW w:w="140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01DE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155</w:t>
            </w:r>
          </w:p>
        </w:tc>
        <w:tc>
          <w:tcPr>
            <w:tcW w:w="1430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A4D7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hint="default" w:ascii="宋体" w:hAnsi="宋体" w:eastAsia="宋体" w:cs="宋体"/>
                <w:color w:val="0C0C0C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  <w:lang w:val="en-US" w:eastAsia="zh-CN"/>
              </w:rPr>
              <w:t>839</w:t>
            </w:r>
          </w:p>
        </w:tc>
      </w:tr>
      <w:tr w14:paraId="0A889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66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0C6C0020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邮政业</w:t>
            </w:r>
          </w:p>
        </w:tc>
        <w:tc>
          <w:tcPr>
            <w:tcW w:w="1403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EE6B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1430" w:type="pct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76D96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0</w:t>
            </w:r>
          </w:p>
        </w:tc>
      </w:tr>
    </w:tbl>
    <w:p w14:paraId="292DB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在交通运输、仓储和邮政业企业法人单位中，内资企业占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99.80%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，港澳台投资企业占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0.10%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，外商投资企业占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0.10%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74C2C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b/>
          <w:color w:val="0C0C0C"/>
          <w:kern w:val="0"/>
          <w:sz w:val="24"/>
          <w:szCs w:val="24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在交通运输、仓储和邮政业企业法人单位从业人员中，内资企业占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99.67%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，港澳台投资企业占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0.25%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，外商投资企业占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0.08%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4-5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015B4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</w:p>
    <w:p w14:paraId="1792C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4-5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按登记注册统计类别分组的交通运输、仓储和邮政业</w:t>
      </w:r>
    </w:p>
    <w:p w14:paraId="5E971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企业法人单位数和从业人员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30"/>
        <w:gridCol w:w="2416"/>
        <w:gridCol w:w="2425"/>
      </w:tblGrid>
      <w:tr w14:paraId="4ADB4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08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82A42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</w:p>
        </w:tc>
        <w:tc>
          <w:tcPr>
            <w:tcW w:w="139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4BC8D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4C973A17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39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0A53F40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从业人员</w:t>
            </w:r>
          </w:p>
          <w:p w14:paraId="6B653960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73036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8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704AF138">
            <w:pPr>
              <w:spacing w:line="32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1393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1839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hint="default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7348A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21213</w:t>
            </w:r>
          </w:p>
        </w:tc>
      </w:tr>
      <w:tr w14:paraId="7404D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8E1974E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内资企业</w:t>
            </w:r>
          </w:p>
        </w:tc>
        <w:tc>
          <w:tcPr>
            <w:tcW w:w="1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3AC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0C0C0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101</w:t>
            </w: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44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E419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21144</w:t>
            </w:r>
          </w:p>
        </w:tc>
      </w:tr>
      <w:tr w14:paraId="558DD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3D5FB5E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港澳台投资企业</w:t>
            </w:r>
          </w:p>
        </w:tc>
        <w:tc>
          <w:tcPr>
            <w:tcW w:w="1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695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</w:t>
            </w:r>
          </w:p>
        </w:tc>
        <w:tc>
          <w:tcPr>
            <w:tcW w:w="244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4D94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52</w:t>
            </w:r>
          </w:p>
        </w:tc>
      </w:tr>
      <w:tr w14:paraId="554F9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163BD0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外商投资企业</w:t>
            </w:r>
          </w:p>
        </w:tc>
        <w:tc>
          <w:tcPr>
            <w:tcW w:w="1393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633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</w:t>
            </w:r>
          </w:p>
        </w:tc>
        <w:tc>
          <w:tcPr>
            <w:tcW w:w="244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2A0A3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17</w:t>
            </w:r>
          </w:p>
        </w:tc>
      </w:tr>
      <w:tr w14:paraId="507EC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8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32E23CAF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其他统计类别</w:t>
            </w:r>
          </w:p>
        </w:tc>
        <w:tc>
          <w:tcPr>
            <w:tcW w:w="1393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0907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0</w:t>
            </w:r>
          </w:p>
        </w:tc>
        <w:tc>
          <w:tcPr>
            <w:tcW w:w="2441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03676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0</w:t>
            </w:r>
          </w:p>
        </w:tc>
      </w:tr>
    </w:tbl>
    <w:p w14:paraId="0CB82E0F">
      <w:pPr>
        <w:adjustRightInd w:val="0"/>
        <w:snapToGrid w:val="0"/>
        <w:spacing w:line="600" w:lineRule="exact"/>
        <w:ind w:firstLine="640"/>
        <w:textAlignment w:val="auto"/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（二）主要经济指标</w:t>
      </w:r>
    </w:p>
    <w:p w14:paraId="3A498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000FF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年末，交通运输、仓储和邮政业企业法人单位资产总计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1154.1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</w:rPr>
        <w:t>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</w:rPr>
        <w:t>年末下降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25.4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00000" w:themeColor="text1"/>
          <w:spacing w:val="-6"/>
          <w:sz w:val="32"/>
          <w:szCs w:val="32"/>
        </w:rPr>
        <w:t>；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负债合计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5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60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</w:rPr>
        <w:t>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</w:rPr>
        <w:t>年末下降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0.6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</w:rPr>
        <w:t>。</w:t>
      </w:r>
    </w:p>
    <w:p w14:paraId="5DF51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b/>
          <w:color w:val="0C0C0C"/>
          <w:kern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年，交通运输、仓储和邮政业企业法人单位全年实现营业收入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9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</w:t>
      </w:r>
      <w:r>
        <w:rPr>
          <w:rFonts w:hint="eastAsia" w:ascii="方正仿宋简体" w:hAnsi="方正仿宋简体" w:eastAsia="方正仿宋简体" w:cs="方正仿宋简体"/>
          <w:color w:val="000000" w:themeColor="text1"/>
          <w:spacing w:val="-6"/>
          <w:sz w:val="32"/>
          <w:szCs w:val="32"/>
        </w:rPr>
        <w:t>，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</w:rPr>
        <w:t>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</w:rPr>
        <w:t>年</w:t>
      </w:r>
      <w:r>
        <w:rPr>
          <w:rFonts w:hint="eastAsia" w:ascii="方正仿宋简体" w:hAnsi="方正仿宋简体" w:eastAsia="方正仿宋简体" w:cs="方正仿宋简体"/>
          <w:spacing w:val="-6"/>
          <w:sz w:val="32"/>
          <w:szCs w:val="32"/>
          <w:lang w:eastAsia="zh-CN"/>
        </w:rPr>
        <w:t>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  <w:lang w:val="en-US" w:eastAsia="zh-CN"/>
        </w:rPr>
        <w:t>15.5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4-6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19F68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4-6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按行业大类分组的交通运输、仓储和邮政业</w:t>
      </w:r>
    </w:p>
    <w:p w14:paraId="47265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企业法人单位主要经济指标</w:t>
      </w:r>
    </w:p>
    <w:tbl>
      <w:tblPr>
        <w:tblStyle w:val="18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28"/>
        <w:gridCol w:w="1647"/>
        <w:gridCol w:w="1647"/>
        <w:gridCol w:w="1652"/>
      </w:tblGrid>
      <w:tr w14:paraId="7FB0B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48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36D3D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66A9F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资产总计</w:t>
            </w:r>
          </w:p>
          <w:p w14:paraId="0BDE7507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0E41B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负债合计</w:t>
            </w:r>
          </w:p>
          <w:p w14:paraId="42E8F822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95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AE6DECB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营业收入</w:t>
            </w:r>
          </w:p>
          <w:p w14:paraId="363111B7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（亿元）</w:t>
            </w:r>
          </w:p>
        </w:tc>
      </w:tr>
      <w:tr w14:paraId="72806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48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4CD8A00">
            <w:pPr>
              <w:spacing w:line="34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25DEB68">
            <w:pPr>
              <w:spacing w:line="340" w:lineRule="exact"/>
              <w:ind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  <w:t>1154.1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19908DA">
            <w:pPr>
              <w:spacing w:line="340" w:lineRule="exact"/>
              <w:ind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  <w:t>560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0C63C775">
            <w:pPr>
              <w:spacing w:line="340" w:lineRule="exact"/>
              <w:ind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7.</w:t>
            </w: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  <w:t>9</w:t>
            </w:r>
          </w:p>
        </w:tc>
      </w:tr>
      <w:tr w14:paraId="5A5B13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14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D80199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铁路运输业</w:t>
            </w:r>
          </w:p>
        </w:tc>
        <w:tc>
          <w:tcPr>
            <w:tcW w:w="16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2E8BAE">
            <w:pPr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  <w:lang w:val="en-US" w:eastAsia="zh-CN"/>
              </w:rPr>
              <w:t xml:space="preserve">          223.5</w:t>
            </w:r>
          </w:p>
        </w:tc>
        <w:tc>
          <w:tcPr>
            <w:tcW w:w="164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FD50EC">
            <w:pPr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  <w:lang w:val="en-US" w:eastAsia="zh-CN"/>
              </w:rPr>
              <w:t xml:space="preserve">           75.5</w:t>
            </w:r>
          </w:p>
        </w:tc>
        <w:tc>
          <w:tcPr>
            <w:tcW w:w="1652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5600484F">
            <w:pPr>
              <w:spacing w:line="34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  <w:lang w:val="en-US" w:eastAsia="zh-CN"/>
              </w:rPr>
              <w:t xml:space="preserve">           60.6</w:t>
            </w:r>
          </w:p>
        </w:tc>
      </w:tr>
      <w:tr w14:paraId="4BCE2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4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931CFB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道路运输业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A49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184.0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C836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95.5</w:t>
            </w:r>
          </w:p>
        </w:tc>
        <w:tc>
          <w:tcPr>
            <w:tcW w:w="951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9232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66.4</w:t>
            </w:r>
          </w:p>
        </w:tc>
      </w:tr>
      <w:tr w14:paraId="5A122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4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B1598DD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水上运输业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B40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468.2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698B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241.1</w:t>
            </w:r>
          </w:p>
        </w:tc>
        <w:tc>
          <w:tcPr>
            <w:tcW w:w="951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4687F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89.2</w:t>
            </w:r>
          </w:p>
        </w:tc>
      </w:tr>
      <w:tr w14:paraId="36877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4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9915A01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航空运输业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0110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0CD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951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754E3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</w:tr>
      <w:tr w14:paraId="28B0F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4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F2D671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管道运输业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DDDE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20.9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9EE0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17.4</w:t>
            </w:r>
          </w:p>
        </w:tc>
        <w:tc>
          <w:tcPr>
            <w:tcW w:w="951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3F16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</w:tr>
      <w:tr w14:paraId="6E52FD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4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CA3BC9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多式联运和运输代理业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93F6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16.4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83F9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6.0</w:t>
            </w:r>
          </w:p>
        </w:tc>
        <w:tc>
          <w:tcPr>
            <w:tcW w:w="951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49E2A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29.2</w:t>
            </w:r>
          </w:p>
        </w:tc>
      </w:tr>
      <w:tr w14:paraId="6F4869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48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613CCFF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装卸搬运和仓储业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F3C4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241.1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B87F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124.5</w:t>
            </w:r>
          </w:p>
        </w:tc>
        <w:tc>
          <w:tcPr>
            <w:tcW w:w="951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61F33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42.5</w:t>
            </w:r>
          </w:p>
        </w:tc>
      </w:tr>
      <w:tr w14:paraId="20A1A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48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59C720CE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邮政业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3FA93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949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B8A5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951" w:type="pct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633F91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</w:tr>
    </w:tbl>
    <w:p w14:paraId="55170D20">
      <w:pPr>
        <w:adjustRightInd w:val="0"/>
        <w:snapToGrid w:val="0"/>
        <w:spacing w:line="600" w:lineRule="exact"/>
        <w:ind w:firstLine="640"/>
        <w:textAlignment w:val="auto"/>
        <w:rPr>
          <w:rFonts w:hint="eastAsia" w:ascii="黑体" w:hAnsi="黑体" w:eastAsia="黑体" w:cs="黑体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三、住宿和餐饮业</w:t>
      </w:r>
    </w:p>
    <w:p w14:paraId="14D66E41">
      <w:pPr>
        <w:adjustRightInd w:val="0"/>
        <w:snapToGrid w:val="0"/>
        <w:spacing w:line="600" w:lineRule="exact"/>
        <w:ind w:firstLine="640"/>
        <w:textAlignment w:val="auto"/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（一）企业法人单位数和从业人员</w:t>
      </w:r>
    </w:p>
    <w:p w14:paraId="726AF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年末，全区共有住宿和餐饮业企业法人单位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16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4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个，从业人员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1744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人，分别比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49.5%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和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120.4%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6E840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在住宿和餐饮业企业法人单位中，住宿业占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40.5%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，餐饮业占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59.5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。在住宿和餐饮业企业法人单位从业人员中，住宿业占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40.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，餐饮业占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59.7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4-7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2CB62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表4-7　按行业中类分组的住宿和餐饮业</w:t>
      </w:r>
    </w:p>
    <w:p w14:paraId="2E809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企业法人单位数和从业人员</w:t>
      </w:r>
    </w:p>
    <w:tbl>
      <w:tblPr>
        <w:tblStyle w:val="1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43"/>
        <w:gridCol w:w="2654"/>
        <w:gridCol w:w="1951"/>
      </w:tblGrid>
      <w:tr w14:paraId="7B767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3743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CAC461">
            <w:pPr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</w:p>
        </w:tc>
        <w:tc>
          <w:tcPr>
            <w:tcW w:w="265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A5C46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20545CB1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9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888EAEB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从业人员</w:t>
            </w:r>
          </w:p>
          <w:p w14:paraId="549EBE00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5555A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50A5AC2">
            <w:pPr>
              <w:spacing w:line="34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265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1EE646">
            <w:pPr>
              <w:keepNext w:val="0"/>
              <w:keepLines w:val="0"/>
              <w:pageBreakBefore w:val="0"/>
              <w:widowControl w:val="0"/>
              <w:tabs>
                <w:tab w:val="left" w:pos="5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16</w:t>
            </w: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5076D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1744</w:t>
            </w:r>
          </w:p>
        </w:tc>
      </w:tr>
      <w:tr w14:paraId="36DF9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1DA4CB1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住宿业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E742B8">
            <w:pPr>
              <w:keepNext w:val="0"/>
              <w:keepLines w:val="0"/>
              <w:pageBreakBefore w:val="0"/>
              <w:widowControl w:val="0"/>
              <w:tabs>
                <w:tab w:val="left" w:pos="743"/>
                <w:tab w:val="right" w:pos="288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66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25858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702</w:t>
            </w:r>
          </w:p>
        </w:tc>
      </w:tr>
      <w:tr w14:paraId="39C60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7DC5D2D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旅游饭店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997A0C">
            <w:pPr>
              <w:keepNext w:val="0"/>
              <w:keepLines w:val="0"/>
              <w:pageBreakBefore w:val="0"/>
              <w:widowControl w:val="0"/>
              <w:tabs>
                <w:tab w:val="center" w:pos="1383"/>
                <w:tab w:val="right" w:pos="288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01DA5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97</w:t>
            </w:r>
          </w:p>
        </w:tc>
      </w:tr>
      <w:tr w14:paraId="628D9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F2FAE2F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一般旅馆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1B06C0F">
            <w:pPr>
              <w:keepNext w:val="0"/>
              <w:keepLines w:val="0"/>
              <w:pageBreakBefore w:val="0"/>
              <w:widowControl w:val="0"/>
              <w:tabs>
                <w:tab w:val="left" w:pos="6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59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5ECB5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598</w:t>
            </w:r>
          </w:p>
        </w:tc>
      </w:tr>
      <w:tr w14:paraId="5EC37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2C31373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民宿服务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DB64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B4A4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  <w:tr w14:paraId="65FBD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61DFDD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露营地服务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8E69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4E63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2</w:t>
            </w:r>
          </w:p>
        </w:tc>
      </w:tr>
      <w:tr w14:paraId="1E52B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882B438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其他住宿业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508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009E3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5</w:t>
            </w:r>
          </w:p>
        </w:tc>
      </w:tr>
      <w:tr w14:paraId="3CD435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5FE93FE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餐饮业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48106CC">
            <w:pPr>
              <w:keepNext w:val="0"/>
              <w:keepLines w:val="0"/>
              <w:pageBreakBefore w:val="0"/>
              <w:widowControl w:val="0"/>
              <w:tabs>
                <w:tab w:val="left" w:pos="7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40558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1042</w:t>
            </w:r>
          </w:p>
        </w:tc>
      </w:tr>
      <w:tr w14:paraId="376F3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326C82D7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正餐服务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582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8</w:t>
            </w: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59213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968</w:t>
            </w:r>
          </w:p>
        </w:tc>
      </w:tr>
      <w:tr w14:paraId="5FB6D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839B29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快餐服务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08FA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7CF41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13</w:t>
            </w:r>
          </w:p>
        </w:tc>
      </w:tr>
      <w:tr w14:paraId="3F19C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1579B5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餐饮配送及外卖送餐服务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E8A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7E0AC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34</w:t>
            </w:r>
          </w:p>
        </w:tc>
      </w:tr>
      <w:tr w14:paraId="20691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743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18F548DA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其他餐饮业</w:t>
            </w:r>
          </w:p>
        </w:tc>
        <w:tc>
          <w:tcPr>
            <w:tcW w:w="2654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1524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</w:t>
            </w:r>
          </w:p>
        </w:tc>
        <w:tc>
          <w:tcPr>
            <w:tcW w:w="1951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2705EB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27</w:t>
            </w:r>
          </w:p>
        </w:tc>
      </w:tr>
    </w:tbl>
    <w:p w14:paraId="2E55073A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在住宿和餐饮业企业法人单位中，内资企业占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99.4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，外商投资企业占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0.6%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7FAE8FDC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在住宿和餐饮业企业法人单位从业人员中，内资企业占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，外商投资企业占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0.3%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343CBD8F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7D83C28F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680598EF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6B008F41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4FFB0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4-8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按登记注册统计类别分组的住宿和餐饮业</w:t>
      </w:r>
    </w:p>
    <w:p w14:paraId="37C49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企业法人单位数和从业人员</w:t>
      </w:r>
    </w:p>
    <w:tbl>
      <w:tblPr>
        <w:tblStyle w:val="18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69"/>
        <w:gridCol w:w="2759"/>
        <w:gridCol w:w="2146"/>
      </w:tblGrid>
      <w:tr w14:paraId="6C217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72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0DD6A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</w:p>
        </w:tc>
        <w:tc>
          <w:tcPr>
            <w:tcW w:w="159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BB2AE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28DA3C62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23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60D64EA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从业人员</w:t>
            </w:r>
          </w:p>
          <w:p w14:paraId="010B872A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19961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72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89042E7">
            <w:pPr>
              <w:spacing w:line="34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159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B1C80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16</w:t>
            </w: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37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77BD7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1744</w:t>
            </w:r>
          </w:p>
        </w:tc>
      </w:tr>
      <w:tr w14:paraId="0B4B2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72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0953D6B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内资企业</w:t>
            </w:r>
          </w:p>
        </w:tc>
        <w:tc>
          <w:tcPr>
            <w:tcW w:w="159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887C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16</w:t>
            </w: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37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AA24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1738</w:t>
            </w:r>
          </w:p>
        </w:tc>
      </w:tr>
      <w:tr w14:paraId="14A1A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72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3A4425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港澳台投资企业</w:t>
            </w:r>
          </w:p>
        </w:tc>
        <w:tc>
          <w:tcPr>
            <w:tcW w:w="159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73E7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37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61F60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val="en-US" w:eastAsia="zh-CN"/>
              </w:rPr>
              <w:t>0</w:t>
            </w:r>
          </w:p>
        </w:tc>
      </w:tr>
      <w:tr w14:paraId="51548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72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E59F2D8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外商投资企业</w:t>
            </w:r>
          </w:p>
        </w:tc>
        <w:tc>
          <w:tcPr>
            <w:tcW w:w="159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78DE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37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57EDD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  <w:lang w:val="en-US" w:eastAsia="zh-CN"/>
              </w:rPr>
              <w:t>6</w:t>
            </w:r>
          </w:p>
        </w:tc>
      </w:tr>
      <w:tr w14:paraId="04D51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72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1E459DA8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其他统计类别</w:t>
            </w:r>
          </w:p>
        </w:tc>
        <w:tc>
          <w:tcPr>
            <w:tcW w:w="1590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135B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1237" w:type="pct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37709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</w:tbl>
    <w:p w14:paraId="5ABC8B93">
      <w:pPr>
        <w:adjustRightInd w:val="0"/>
        <w:snapToGrid w:val="0"/>
        <w:spacing w:line="600" w:lineRule="exact"/>
        <w:ind w:firstLine="640"/>
        <w:textAlignment w:val="auto"/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（二）主要经济指标</w:t>
      </w:r>
    </w:p>
    <w:p w14:paraId="746D85D3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年末，住宿和餐饮业企业法人单位资产总计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3.4</w:t>
      </w:r>
      <w:r>
        <w:rPr>
          <w:rFonts w:hint="eastAsia" w:ascii="方正仿宋简体" w:hAnsi="方正仿宋简体" w:eastAsia="方正仿宋简体" w:cs="方正仿宋简体"/>
          <w:color w:val="0C0C0C"/>
          <w:sz w:val="32"/>
          <w:szCs w:val="32"/>
        </w:rPr>
        <w:t>亿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年末下降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52.1%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；负债合计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3.3</w:t>
      </w:r>
      <w:r>
        <w:rPr>
          <w:rFonts w:hint="eastAsia" w:ascii="方正仿宋简体" w:hAnsi="方正仿宋简体" w:eastAsia="方正仿宋简体" w:cs="方正仿宋简体"/>
          <w:color w:val="0C0C0C"/>
          <w:sz w:val="32"/>
          <w:szCs w:val="32"/>
        </w:rPr>
        <w:t>亿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22.2%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3E3DD424">
      <w:pPr>
        <w:spacing w:line="600" w:lineRule="exact"/>
        <w:ind w:firstLine="616"/>
        <w:textAlignment w:val="auto"/>
        <w:rPr>
          <w:rFonts w:ascii="宋体" w:hAnsi="宋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年，住宿和餐饮业企业法人单位全年实现营业收入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3.9</w:t>
      </w:r>
      <w:r>
        <w:rPr>
          <w:rFonts w:hint="eastAsia" w:ascii="方正仿宋简体" w:hAnsi="方正仿宋简体" w:eastAsia="方正仿宋简体" w:cs="方正仿宋简体"/>
          <w:color w:val="0C0C0C"/>
          <w:sz w:val="32"/>
          <w:szCs w:val="32"/>
        </w:rPr>
        <w:t>亿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160%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4-9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384EC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4-9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按行业中类分组的住宿和餐饮业</w:t>
      </w:r>
    </w:p>
    <w:p w14:paraId="5473D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企业法人单位主要经济指标</w:t>
      </w:r>
    </w:p>
    <w:tbl>
      <w:tblPr>
        <w:tblStyle w:val="18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84"/>
        <w:gridCol w:w="1630"/>
        <w:gridCol w:w="1630"/>
        <w:gridCol w:w="1630"/>
      </w:tblGrid>
      <w:tr w14:paraId="55F81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181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6842D">
            <w:pPr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　</w:t>
            </w:r>
          </w:p>
        </w:tc>
        <w:tc>
          <w:tcPr>
            <w:tcW w:w="9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11331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资产总计</w:t>
            </w:r>
          </w:p>
          <w:p w14:paraId="51A89F5C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9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CDFC2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负债合计</w:t>
            </w:r>
          </w:p>
          <w:p w14:paraId="173A81E5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9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6410FE0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营业收入</w:t>
            </w:r>
          </w:p>
          <w:p w14:paraId="6A15EFAD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</w:tr>
      <w:tr w14:paraId="46141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2257AEC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1C23B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3.4</w:t>
            </w: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2FE8A8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3.3</w:t>
            </w:r>
          </w:p>
        </w:tc>
        <w:tc>
          <w:tcPr>
            <w:tcW w:w="939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</w:tcPr>
          <w:p w14:paraId="479CC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3.9</w:t>
            </w:r>
          </w:p>
        </w:tc>
      </w:tr>
      <w:tr w14:paraId="55862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BB1B3D1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住宿业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63726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1.6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A486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2.1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F426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1.4</w:t>
            </w:r>
          </w:p>
        </w:tc>
      </w:tr>
      <w:tr w14:paraId="37508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1EE6F07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旅游饭店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0BDA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0.1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B5D0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0.4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0DFA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0.2</w:t>
            </w:r>
          </w:p>
        </w:tc>
      </w:tr>
      <w:tr w14:paraId="0F0871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5354EC4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一般旅馆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3C15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1.5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97E7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1.7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4EFF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1.2</w:t>
            </w:r>
          </w:p>
        </w:tc>
      </w:tr>
      <w:tr w14:paraId="59878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E29331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民宿服务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ED22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5A727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0333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  <w:tr w14:paraId="0A2D0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030B880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露营地服务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9FF9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3C6A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1EF1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  <w:tr w14:paraId="0205D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E6FD30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其他住宿业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CA26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2EE02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69E8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  <w:tr w14:paraId="27AA9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1F9C193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餐饮业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9EC5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1.8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4435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1.2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4BB6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2.5</w:t>
            </w:r>
          </w:p>
        </w:tc>
      </w:tr>
      <w:tr w14:paraId="096CC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D5021D4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正餐服务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33261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  <w:t>1.7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7556F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  <w:t>1.1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B657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2.3</w:t>
            </w:r>
          </w:p>
        </w:tc>
      </w:tr>
      <w:tr w14:paraId="1C5D9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7B8B21D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快餐服务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A1EE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A371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53437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  <w:tr w14:paraId="144A81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FFEB1C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餐饮配送及外卖送餐服务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0EF47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0.1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3D833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0.1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BCE5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0.1</w:t>
            </w:r>
          </w:p>
        </w:tc>
      </w:tr>
      <w:tr w14:paraId="2BAF5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81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5BCF5B83">
            <w:pPr>
              <w:spacing w:line="340" w:lineRule="exact"/>
              <w:ind w:right="57" w:firstLine="42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其他餐饮业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5606B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4338E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939" w:type="pct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</w:tcPr>
          <w:p w14:paraId="290E7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0.1</w:t>
            </w:r>
          </w:p>
        </w:tc>
      </w:tr>
    </w:tbl>
    <w:p w14:paraId="59329936">
      <w:pPr>
        <w:spacing w:line="600" w:lineRule="exact"/>
        <w:ind w:firstLine="640"/>
        <w:textAlignment w:val="auto"/>
        <w:rPr>
          <w:rFonts w:hint="eastAsia" w:ascii="黑体" w:hAnsi="黑体" w:eastAsia="黑体" w:cs="黑体"/>
          <w:color w:val="0C0C0C"/>
          <w:kern w:val="0"/>
          <w:sz w:val="32"/>
          <w:szCs w:val="32"/>
        </w:rPr>
      </w:pPr>
    </w:p>
    <w:p w14:paraId="2A2E4533">
      <w:pPr>
        <w:spacing w:line="600" w:lineRule="exact"/>
        <w:ind w:firstLine="640"/>
        <w:textAlignment w:val="auto"/>
        <w:rPr>
          <w:rFonts w:hint="eastAsia" w:ascii="黑体" w:hAnsi="黑体" w:eastAsia="黑体" w:cs="黑体"/>
          <w:color w:val="0C0C0C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C0C0C"/>
          <w:kern w:val="0"/>
          <w:sz w:val="32"/>
          <w:szCs w:val="32"/>
        </w:rPr>
        <w:t>四、信息传输、软件和信息技术服务业</w:t>
      </w:r>
    </w:p>
    <w:p w14:paraId="0F5C7A1F">
      <w:pPr>
        <w:adjustRightInd w:val="0"/>
        <w:snapToGrid w:val="0"/>
        <w:spacing w:line="600" w:lineRule="exact"/>
        <w:ind w:firstLine="640"/>
        <w:textAlignment w:val="auto"/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（一）企业法人单位数和从业人员</w:t>
      </w:r>
    </w:p>
    <w:p w14:paraId="543C4B3F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年末，全区共有信息传输、软件和信息技术服务业企业法人单位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390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个，从业人员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5676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人，分别比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57.3%</w:t>
      </w:r>
      <w:r>
        <w:rPr>
          <w:rFonts w:hint="eastAsia" w:ascii="方正仿宋简体" w:hAnsi="方正仿宋简体" w:eastAsia="方正仿宋简体" w:cs="方正仿宋简体"/>
          <w:color w:val="0C0C0C"/>
          <w:sz w:val="32"/>
          <w:szCs w:val="32"/>
        </w:rPr>
        <w:t>和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758.7%</w:t>
      </w:r>
      <w:r>
        <w:rPr>
          <w:rFonts w:hint="eastAsia" w:ascii="方正仿宋简体" w:hAnsi="方正仿宋简体" w:eastAsia="方正仿宋简体" w:cs="方正仿宋简体"/>
          <w:color w:val="0C0C0C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4-10</w:t>
      </w:r>
      <w:r>
        <w:rPr>
          <w:rFonts w:hint="eastAsia" w:ascii="方正仿宋简体" w:hAnsi="方正仿宋简体" w:eastAsia="方正仿宋简体" w:cs="方正仿宋简体"/>
          <w:color w:val="0C0C0C"/>
          <w:sz w:val="32"/>
          <w:szCs w:val="32"/>
        </w:rPr>
        <w:t>）。</w:t>
      </w:r>
    </w:p>
    <w:p w14:paraId="61B33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/>
          <w:b/>
          <w:color w:val="0C0C0C"/>
          <w:spacing w:val="-6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spacing w:val="-6"/>
          <w:sz w:val="24"/>
          <w:szCs w:val="24"/>
        </w:rPr>
        <w:t>4-10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按行业大类分组的信息传输、软件和信息技术服务业</w:t>
      </w:r>
    </w:p>
    <w:p w14:paraId="74A98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企业法人单位数和从业人员</w:t>
      </w:r>
    </w:p>
    <w:tbl>
      <w:tblPr>
        <w:tblStyle w:val="1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45"/>
        <w:gridCol w:w="2786"/>
        <w:gridCol w:w="2043"/>
      </w:tblGrid>
      <w:tr w14:paraId="64E5C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87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8DFC2">
            <w:pPr>
              <w:spacing w:line="320" w:lineRule="exact"/>
              <w:ind w:firstLine="48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</w:p>
        </w:tc>
        <w:tc>
          <w:tcPr>
            <w:tcW w:w="280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6A81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7DC4F78E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205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2D2E1E8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从业人员</w:t>
            </w:r>
          </w:p>
          <w:p w14:paraId="04604EC2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746E5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7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ACF0FD2">
            <w:pPr>
              <w:spacing w:line="34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ADEBF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right="170" w:firstLine="422" w:firstLineChars="20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390</w:t>
            </w:r>
          </w:p>
        </w:tc>
        <w:tc>
          <w:tcPr>
            <w:tcW w:w="205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103EA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right="170" w:firstLine="422" w:firstLineChars="200"/>
              <w:jc w:val="right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5676</w:t>
            </w:r>
          </w:p>
        </w:tc>
      </w:tr>
      <w:tr w14:paraId="00823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BCFCB84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电信、广播电视和卫星传输服务</w:t>
            </w:r>
          </w:p>
        </w:tc>
        <w:tc>
          <w:tcPr>
            <w:tcW w:w="280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FC61C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right="170" w:firstLine="420" w:firstLineChars="20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</w:t>
            </w:r>
          </w:p>
        </w:tc>
        <w:tc>
          <w:tcPr>
            <w:tcW w:w="20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58DF2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right="170" w:firstLine="420" w:firstLineChars="200"/>
              <w:jc w:val="right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9</w:t>
            </w:r>
          </w:p>
        </w:tc>
      </w:tr>
      <w:tr w14:paraId="55940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7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BE5A679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互联网和相关服务</w:t>
            </w:r>
          </w:p>
        </w:tc>
        <w:tc>
          <w:tcPr>
            <w:tcW w:w="280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424F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right="170" w:firstLine="420" w:firstLineChars="20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21</w:t>
            </w:r>
          </w:p>
        </w:tc>
        <w:tc>
          <w:tcPr>
            <w:tcW w:w="205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47F9B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right="170" w:firstLine="420" w:firstLineChars="200"/>
              <w:jc w:val="right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185</w:t>
            </w:r>
          </w:p>
        </w:tc>
      </w:tr>
      <w:tr w14:paraId="7D0D9E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7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4D4F1191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软件和信息技术服务业</w:t>
            </w:r>
          </w:p>
        </w:tc>
        <w:tc>
          <w:tcPr>
            <w:tcW w:w="2803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1C21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right="170" w:firstLine="420" w:firstLineChars="20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367</w:t>
            </w:r>
          </w:p>
        </w:tc>
        <w:tc>
          <w:tcPr>
            <w:tcW w:w="2051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38AB3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0" w:right="170" w:firstLine="420" w:firstLineChars="200"/>
              <w:jc w:val="right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5482</w:t>
            </w:r>
          </w:p>
        </w:tc>
      </w:tr>
    </w:tbl>
    <w:p w14:paraId="6FAC6FC5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在信息传输、软件和信息技术服务业企业法人单位中，内资企业占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99.74%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，港澳台投资企业占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0.26%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643C610C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在信息传输、软件和信息技术服务业企业法人单位从业人员中，内资企业占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99.93%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，港澳台投资企业占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0.07%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4-11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407EE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4-11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按登记注册统计类别分组的信息传输、软件和信息技术服务业</w:t>
      </w:r>
    </w:p>
    <w:p w14:paraId="37D53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企业法人单位数和从业人员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18"/>
        <w:gridCol w:w="2794"/>
        <w:gridCol w:w="2059"/>
      </w:tblGrid>
      <w:tr w14:paraId="47548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01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93E36">
            <w:pPr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</w:p>
        </w:tc>
        <w:tc>
          <w:tcPr>
            <w:tcW w:w="161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00F76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01C27ED3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18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A5E42DB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从业人员</w:t>
            </w:r>
          </w:p>
          <w:p w14:paraId="40EB26A9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23024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61A65A0">
            <w:pPr>
              <w:spacing w:line="34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161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FED7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390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6549F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5676</w:t>
            </w:r>
          </w:p>
        </w:tc>
      </w:tr>
      <w:tr w14:paraId="1A7AA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66BB8E1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内资企业</w:t>
            </w:r>
          </w:p>
        </w:tc>
        <w:tc>
          <w:tcPr>
            <w:tcW w:w="161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EDC2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389</w:t>
            </w:r>
          </w:p>
        </w:tc>
        <w:tc>
          <w:tcPr>
            <w:tcW w:w="207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53AD3D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5672</w:t>
            </w:r>
          </w:p>
        </w:tc>
      </w:tr>
      <w:tr w14:paraId="089A2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E101748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港澳台投资企业</w:t>
            </w:r>
          </w:p>
        </w:tc>
        <w:tc>
          <w:tcPr>
            <w:tcW w:w="161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C4D0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</w:t>
            </w:r>
          </w:p>
        </w:tc>
        <w:tc>
          <w:tcPr>
            <w:tcW w:w="207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6BFDD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</w:t>
            </w:r>
          </w:p>
        </w:tc>
      </w:tr>
      <w:tr w14:paraId="7697E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EF27E54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外商投资企业</w:t>
            </w:r>
          </w:p>
        </w:tc>
        <w:tc>
          <w:tcPr>
            <w:tcW w:w="1611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5502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207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7F3F1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  <w:tr w14:paraId="6E50FB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257BDC28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其他统计类别</w:t>
            </w:r>
          </w:p>
        </w:tc>
        <w:tc>
          <w:tcPr>
            <w:tcW w:w="1611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70B6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2073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1F00D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</w:tbl>
    <w:p w14:paraId="34BEE0D8">
      <w:pPr>
        <w:adjustRightInd w:val="0"/>
        <w:snapToGrid w:val="0"/>
        <w:spacing w:line="600" w:lineRule="exact"/>
        <w:ind w:firstLine="640"/>
        <w:textAlignment w:val="auto"/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（二）主要经济指标</w:t>
      </w:r>
    </w:p>
    <w:p w14:paraId="397CED5B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年末，信息传输、软件和信息技术服务业企业法人单位资产总计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26.8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76.4%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；负债合计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14.8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314.7%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52BB874D">
      <w:pPr>
        <w:spacing w:line="600" w:lineRule="exact"/>
        <w:ind w:firstLine="616"/>
        <w:textAlignment w:val="auto"/>
        <w:rPr>
          <w:rFonts w:hint="eastAsia" w:ascii="宋体" w:hAnsi="宋体" w:eastAsia="宋体" w:cs="宋体"/>
          <w:b/>
          <w:bCs/>
          <w:color w:val="0C0C0C"/>
          <w:spacing w:val="-6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年，信息传输、软件和信息技术服务业企业法人单位全年实现营业收入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20.6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</w:t>
      </w:r>
      <w:r>
        <w:rPr>
          <w:rFonts w:hint="eastAsia" w:ascii="方正仿宋简体" w:hAnsi="方正仿宋简体" w:eastAsia="方正仿宋简体" w:cs="方正仿宋简体"/>
          <w:color w:val="0C0C0C"/>
          <w:spacing w:val="0"/>
          <w:sz w:val="32"/>
          <w:szCs w:val="32"/>
        </w:rPr>
        <w:t>比</w:t>
      </w:r>
      <w:r>
        <w:rPr>
          <w:rFonts w:hint="eastAsia" w:ascii="Times New Roman" w:hAnsi="Times New Roman" w:eastAsia="方正仿宋简体" w:cs="Times New Roman"/>
          <w:color w:val="0C0C0C"/>
          <w:spacing w:val="0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0"/>
          <w:sz w:val="32"/>
          <w:szCs w:val="32"/>
        </w:rPr>
        <w:t>年增长</w:t>
      </w:r>
      <w:r>
        <w:rPr>
          <w:rFonts w:hint="eastAsia" w:ascii="Times New Roman" w:hAnsi="Times New Roman" w:eastAsia="方正仿宋简体" w:cs="Times New Roman"/>
          <w:color w:val="0C0C0C"/>
          <w:spacing w:val="0"/>
          <w:sz w:val="32"/>
          <w:szCs w:val="32"/>
        </w:rPr>
        <w:t>1177.6%</w:t>
      </w:r>
      <w:r>
        <w:rPr>
          <w:rFonts w:hint="eastAsia" w:ascii="方正仿宋简体" w:hAnsi="方正仿宋简体" w:eastAsia="方正仿宋简体" w:cs="方正仿宋简体"/>
          <w:color w:val="0C0C0C"/>
          <w:spacing w:val="0"/>
          <w:sz w:val="32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color w:val="0C0C0C"/>
          <w:spacing w:val="0"/>
          <w:sz w:val="32"/>
          <w:szCs w:val="32"/>
        </w:rPr>
        <w:t>详见表</w:t>
      </w:r>
      <w:r>
        <w:rPr>
          <w:rFonts w:hint="eastAsia" w:ascii="Times New Roman" w:hAnsi="Times New Roman" w:eastAsia="方正仿宋简体" w:cs="Times New Roman"/>
          <w:color w:val="0C0C0C"/>
          <w:spacing w:val="0"/>
          <w:sz w:val="32"/>
          <w:szCs w:val="32"/>
        </w:rPr>
        <w:t>4-12</w:t>
      </w:r>
      <w:r>
        <w:rPr>
          <w:rFonts w:hint="eastAsia" w:ascii="方正仿宋简体" w:hAnsi="方正仿宋简体" w:eastAsia="方正仿宋简体" w:cs="方正仿宋简体"/>
          <w:color w:val="0C0C0C"/>
          <w:spacing w:val="0"/>
          <w:sz w:val="32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color w:val="0C0C0C"/>
          <w:spacing w:val="0"/>
          <w:sz w:val="32"/>
          <w:szCs w:val="32"/>
        </w:rPr>
        <w:t>。</w:t>
      </w:r>
    </w:p>
    <w:p w14:paraId="728D3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C0C0C"/>
          <w:spacing w:val="-6"/>
          <w:sz w:val="24"/>
          <w:szCs w:val="24"/>
        </w:rPr>
        <w:t>表4-12　按行</w:t>
      </w:r>
      <w:r>
        <w:rPr>
          <w:rFonts w:hint="eastAsia" w:ascii="宋体" w:hAnsi="宋体" w:eastAsia="宋体" w:cs="宋体"/>
          <w:b/>
          <w:bCs/>
          <w:color w:val="0C0C0C"/>
          <w:kern w:val="0"/>
          <w:sz w:val="24"/>
          <w:szCs w:val="24"/>
        </w:rPr>
        <w:t>业大类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分组的信息传输、软件和信息技术服务业</w:t>
      </w:r>
    </w:p>
    <w:p w14:paraId="57C84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企业法人单位主要经济指标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85"/>
        <w:gridCol w:w="1561"/>
        <w:gridCol w:w="1561"/>
        <w:gridCol w:w="1564"/>
      </w:tblGrid>
      <w:tr w14:paraId="4B874F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97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4F285">
            <w:pPr>
              <w:spacing w:line="320" w:lineRule="exact"/>
              <w:ind w:left="57" w:right="57" w:firstLine="50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　</w:t>
            </w:r>
          </w:p>
        </w:tc>
        <w:tc>
          <w:tcPr>
            <w:tcW w:w="9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A3427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资产总计</w:t>
            </w:r>
          </w:p>
          <w:p w14:paraId="0575ACC3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9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C6E48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负债合计</w:t>
            </w:r>
          </w:p>
          <w:p w14:paraId="29A1D613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9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F3765DD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营业收入</w:t>
            </w:r>
          </w:p>
          <w:p w14:paraId="0F771BC2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</w:tr>
      <w:tr w14:paraId="0D216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297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0AABEB9">
            <w:pPr>
              <w:spacing w:line="32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E3C0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26.8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7E0B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14.8</w:t>
            </w:r>
          </w:p>
        </w:tc>
        <w:tc>
          <w:tcPr>
            <w:tcW w:w="901" w:type="pc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5C84C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20.6</w:t>
            </w:r>
          </w:p>
        </w:tc>
      </w:tr>
      <w:tr w14:paraId="72956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2297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1F72E0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电信、广播电视和卫星传输服务</w:t>
            </w:r>
          </w:p>
        </w:tc>
        <w:tc>
          <w:tcPr>
            <w:tcW w:w="90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B4D2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90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3641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901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13CF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0.2</w:t>
            </w:r>
          </w:p>
        </w:tc>
      </w:tr>
      <w:tr w14:paraId="68E23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97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7828969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互联网和相关服务</w:t>
            </w:r>
          </w:p>
        </w:tc>
        <w:tc>
          <w:tcPr>
            <w:tcW w:w="90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4687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1.2</w:t>
            </w:r>
          </w:p>
        </w:tc>
        <w:tc>
          <w:tcPr>
            <w:tcW w:w="900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2D63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1.0</w:t>
            </w:r>
          </w:p>
        </w:tc>
        <w:tc>
          <w:tcPr>
            <w:tcW w:w="901" w:type="pc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6642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0.7</w:t>
            </w:r>
          </w:p>
        </w:tc>
      </w:tr>
      <w:tr w14:paraId="5FE1E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97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0076B49D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软件和信息技术服务业</w:t>
            </w:r>
          </w:p>
        </w:tc>
        <w:tc>
          <w:tcPr>
            <w:tcW w:w="900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38803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25.6</w:t>
            </w:r>
          </w:p>
        </w:tc>
        <w:tc>
          <w:tcPr>
            <w:tcW w:w="900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2B0C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13.8</w:t>
            </w:r>
          </w:p>
        </w:tc>
        <w:tc>
          <w:tcPr>
            <w:tcW w:w="901" w:type="pct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4F2062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19.7</w:t>
            </w:r>
          </w:p>
        </w:tc>
      </w:tr>
    </w:tbl>
    <w:p w14:paraId="7E8D1688">
      <w:pPr>
        <w:spacing w:line="600" w:lineRule="exact"/>
        <w:ind w:firstLine="640"/>
        <w:textAlignment w:val="auto"/>
        <w:rPr>
          <w:rFonts w:hint="eastAsia" w:ascii="黑体" w:hAnsi="黑体" w:eastAsia="黑体" w:cs="黑体"/>
          <w:bCs/>
          <w:color w:val="0C0C0C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0C0C0C"/>
          <w:kern w:val="0"/>
          <w:sz w:val="32"/>
          <w:szCs w:val="32"/>
        </w:rPr>
        <w:t>五、金融业</w:t>
      </w:r>
    </w:p>
    <w:p w14:paraId="43810123">
      <w:pPr>
        <w:spacing w:line="600" w:lineRule="exact"/>
        <w:ind w:firstLine="616"/>
        <w:textAlignment w:val="auto"/>
        <w:rPr>
          <w:rFonts w:ascii="宋体" w:hAnsi="宋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年末，全区共有金融业法人单位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年末下降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8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.7%</w:t>
      </w:r>
      <w:r>
        <w:rPr>
          <w:rFonts w:hint="eastAsia" w:eastAsia="方正仿宋简体" w:cs="Times New Roman"/>
          <w:color w:val="0C0C0C"/>
          <w:spacing w:val="-6"/>
          <w:sz w:val="32"/>
          <w:szCs w:val="32"/>
          <w:lang w:eastAsia="zh-CN"/>
        </w:rPr>
        <w:t>；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从业人员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  <w:lang w:val="en-US" w:eastAsia="zh-CN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  <w:lang w:eastAsia="zh-CN"/>
        </w:rPr>
        <w:t>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  <w:lang w:val="en-US" w:eastAsia="zh-CN"/>
        </w:rPr>
        <w:t>447.7</w:t>
      </w:r>
      <w:r>
        <w:rPr>
          <w:rFonts w:hint="eastAsia" w:ascii="宋体" w:hAnsi="宋体"/>
          <w:color w:val="0C0C0C"/>
          <w:spacing w:val="-6"/>
          <w:sz w:val="32"/>
          <w:szCs w:val="32"/>
        </w:rPr>
        <w:t>%。</w:t>
      </w:r>
    </w:p>
    <w:p w14:paraId="4385FF46">
      <w:pPr>
        <w:spacing w:line="600" w:lineRule="exact"/>
        <w:ind w:firstLine="640"/>
        <w:textAlignment w:val="auto"/>
        <w:rPr>
          <w:rFonts w:hint="eastAsia" w:ascii="黑体" w:hAnsi="黑体" w:eastAsia="黑体" w:cs="黑体"/>
          <w:color w:val="0C0C0C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C0C0C"/>
          <w:kern w:val="0"/>
          <w:sz w:val="32"/>
          <w:szCs w:val="32"/>
        </w:rPr>
        <w:t>六、房地产业</w:t>
      </w:r>
    </w:p>
    <w:p w14:paraId="4B131D8F">
      <w:pPr>
        <w:spacing w:line="600" w:lineRule="exact"/>
        <w:ind w:firstLine="0" w:firstLineChars="0"/>
        <w:jc w:val="left"/>
        <w:textAlignment w:val="auto"/>
        <w:rPr>
          <w:rFonts w:ascii="宋体" w:hAnsi="宋体" w:eastAsia="方正楷体_GBK" w:cs="方正楷体_GBK"/>
          <w:color w:val="0C0C0C"/>
          <w:sz w:val="32"/>
          <w:szCs w:val="32"/>
        </w:rPr>
      </w:pPr>
      <w:r>
        <w:rPr>
          <w:rFonts w:hint="eastAsia" w:ascii="宋体" w:hAnsi="宋体" w:cs="仿宋_GB2312"/>
          <w:color w:val="0C0C0C"/>
          <w:kern w:val="0"/>
          <w:sz w:val="32"/>
          <w:szCs w:val="32"/>
        </w:rPr>
        <w:t>　　</w:t>
      </w: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（一）企业法人单位数和从业人员</w:t>
      </w:r>
    </w:p>
    <w:p w14:paraId="59CE6704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年末，全区共有房地产业企业法人单位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473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11.8%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。其中，房地产开发经营企业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135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个，物业管理企业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215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个，房地产中介服务企业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105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个。</w:t>
      </w:r>
    </w:p>
    <w:p w14:paraId="4CF4F536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年末，全区房地产业企业法人单位从业人员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6246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84.7%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。其中，房地产开发经营企业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1950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人，，物业管理企业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3267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人，房地产中介服务企业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734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4-13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100A0D19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7CB13BDA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</w:p>
    <w:p w14:paraId="132A3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600" w:lineRule="exact"/>
        <w:ind w:left="0" w:leftChars="0"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4-13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按行业中类分组的房地产业企业法人单位数和从业人员</w:t>
      </w:r>
    </w:p>
    <w:tbl>
      <w:tblPr>
        <w:tblStyle w:val="18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93"/>
        <w:gridCol w:w="2804"/>
        <w:gridCol w:w="2677"/>
      </w:tblGrid>
      <w:tr w14:paraId="7807C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tblHeader/>
          <w:jc w:val="center"/>
        </w:trPr>
        <w:tc>
          <w:tcPr>
            <w:tcW w:w="1840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2266B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</w:p>
        </w:tc>
        <w:tc>
          <w:tcPr>
            <w:tcW w:w="161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027FA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70403FB8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54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17EF36F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从业人员</w:t>
            </w:r>
          </w:p>
          <w:p w14:paraId="412E6883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24463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40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A0284A1">
            <w:pPr>
              <w:spacing w:line="32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F223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473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49E61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6246</w:t>
            </w:r>
          </w:p>
        </w:tc>
      </w:tr>
      <w:tr w14:paraId="3A801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4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8B4C121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房地产开发经营</w:t>
            </w:r>
          </w:p>
        </w:tc>
        <w:tc>
          <w:tcPr>
            <w:tcW w:w="280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DA76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135</w:t>
            </w:r>
          </w:p>
        </w:tc>
        <w:tc>
          <w:tcPr>
            <w:tcW w:w="269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EBD1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1950</w:t>
            </w:r>
          </w:p>
        </w:tc>
      </w:tr>
      <w:tr w14:paraId="4A324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4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7C0DE42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物业管理</w:t>
            </w:r>
          </w:p>
        </w:tc>
        <w:tc>
          <w:tcPr>
            <w:tcW w:w="280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7EEE6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215</w:t>
            </w:r>
          </w:p>
        </w:tc>
        <w:tc>
          <w:tcPr>
            <w:tcW w:w="269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4B4C4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3267</w:t>
            </w:r>
          </w:p>
        </w:tc>
      </w:tr>
      <w:tr w14:paraId="45E7C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4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858331F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房地产中介服务</w:t>
            </w:r>
          </w:p>
        </w:tc>
        <w:tc>
          <w:tcPr>
            <w:tcW w:w="280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F66D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105</w:t>
            </w:r>
          </w:p>
        </w:tc>
        <w:tc>
          <w:tcPr>
            <w:tcW w:w="269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65C4F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734</w:t>
            </w:r>
          </w:p>
        </w:tc>
      </w:tr>
      <w:tr w14:paraId="145569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40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C81F32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房地产租赁经营</w:t>
            </w:r>
          </w:p>
        </w:tc>
        <w:tc>
          <w:tcPr>
            <w:tcW w:w="280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2E84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18</w:t>
            </w:r>
          </w:p>
        </w:tc>
        <w:tc>
          <w:tcPr>
            <w:tcW w:w="2695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4C68F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295</w:t>
            </w:r>
          </w:p>
        </w:tc>
      </w:tr>
      <w:tr w14:paraId="72272A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840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44FE3895">
            <w:pPr>
              <w:spacing w:line="32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其他房地产业</w:t>
            </w:r>
          </w:p>
        </w:tc>
        <w:tc>
          <w:tcPr>
            <w:tcW w:w="1616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765AF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2695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2427E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</w:tr>
    </w:tbl>
    <w:p w14:paraId="3B52AECE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在房地产业企业法人单位中，内资企业占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100%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472A52F9">
      <w:pPr>
        <w:spacing w:line="600" w:lineRule="exact"/>
        <w:ind w:firstLine="616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在房地产业企业法人单位从业人员中，内资企业占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99.84%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，外商投资企业占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0.16%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4-14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25FFE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30" w:line="32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4-14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按登记注册统计类别分组的房地产业企业法人单位数和从业人员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18"/>
        <w:gridCol w:w="2794"/>
        <w:gridCol w:w="2059"/>
      </w:tblGrid>
      <w:tr w14:paraId="22E98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201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5B0CB">
            <w:pPr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</w:p>
        </w:tc>
        <w:tc>
          <w:tcPr>
            <w:tcW w:w="161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89B12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03F6DCCB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18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E4EE702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从业人员</w:t>
            </w:r>
          </w:p>
          <w:p w14:paraId="7702E359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67827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ED550D0">
            <w:pPr>
              <w:spacing w:line="34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7ACD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473</w:t>
            </w:r>
          </w:p>
        </w:tc>
        <w:tc>
          <w:tcPr>
            <w:tcW w:w="207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3451C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6246</w:t>
            </w:r>
          </w:p>
        </w:tc>
      </w:tr>
      <w:tr w14:paraId="03692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7585DA6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内资企业</w:t>
            </w:r>
          </w:p>
        </w:tc>
        <w:tc>
          <w:tcPr>
            <w:tcW w:w="281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DC01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473</w:t>
            </w:r>
          </w:p>
        </w:tc>
        <w:tc>
          <w:tcPr>
            <w:tcW w:w="207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025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6236</w:t>
            </w:r>
          </w:p>
        </w:tc>
      </w:tr>
      <w:tr w14:paraId="714044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F5AEF94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港澳台投资企业</w:t>
            </w:r>
          </w:p>
        </w:tc>
        <w:tc>
          <w:tcPr>
            <w:tcW w:w="281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6F3E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207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F164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  <w:tr w14:paraId="47663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3240161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外商投资企业</w:t>
            </w:r>
          </w:p>
        </w:tc>
        <w:tc>
          <w:tcPr>
            <w:tcW w:w="281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690B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207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4A49F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10</w:t>
            </w:r>
          </w:p>
        </w:tc>
      </w:tr>
      <w:tr w14:paraId="0AF812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201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7EE5DD5F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其他统计类别</w:t>
            </w:r>
          </w:p>
        </w:tc>
        <w:tc>
          <w:tcPr>
            <w:tcW w:w="2813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7F8C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  <w:tc>
          <w:tcPr>
            <w:tcW w:w="2073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27BE9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sz w:val="21"/>
                <w:szCs w:val="21"/>
              </w:rPr>
              <w:t>0</w:t>
            </w:r>
          </w:p>
        </w:tc>
      </w:tr>
    </w:tbl>
    <w:p w14:paraId="15E7C428">
      <w:pPr>
        <w:spacing w:line="600" w:lineRule="exact"/>
        <w:ind w:firstLine="0" w:firstLineChars="0"/>
        <w:jc w:val="left"/>
        <w:textAlignment w:val="auto"/>
        <w:rPr>
          <w:rFonts w:ascii="宋体" w:hAnsi="宋体" w:eastAsia="方正楷体_GBK" w:cs="方正楷体_GBK"/>
          <w:color w:val="0C0C0C"/>
          <w:sz w:val="32"/>
          <w:szCs w:val="32"/>
        </w:rPr>
      </w:pPr>
      <w:r>
        <w:rPr>
          <w:rFonts w:hint="eastAsia" w:ascii="宋体" w:hAnsi="宋体" w:eastAsia="楷体_GB2312" w:cs="楷体_GB2312"/>
          <w:color w:val="0C0C0C"/>
          <w:kern w:val="0"/>
          <w:sz w:val="32"/>
          <w:szCs w:val="32"/>
        </w:rPr>
        <w:t xml:space="preserve">   </w:t>
      </w: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 xml:space="preserve"> （二）主要经济指标</w:t>
      </w:r>
    </w:p>
    <w:p w14:paraId="2157EFA7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年末，全区房地产业企业法人单位资产总计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680.5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31.5%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。其中，房地产开发经营企业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445.4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亿元，物业管理企业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21.8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亿元，房地产中介服务企业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2.2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亿元，分别比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8.7%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、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518.7%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和下降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259.3%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。房地产业企业法人单位负债合计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402.0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92.2%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4056D8DB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年，房地产业企业法人单位全年实现营业收入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101.1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300.9%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4-15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086474AD">
      <w:pPr>
        <w:spacing w:line="600" w:lineRule="exact"/>
        <w:ind w:left="0" w:leftChars="0"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表4-15　按行业中类分组的房地产业企业法人单位主要经济指标</w:t>
      </w:r>
    </w:p>
    <w:tbl>
      <w:tblPr>
        <w:tblStyle w:val="1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6"/>
        <w:gridCol w:w="1632"/>
        <w:gridCol w:w="1632"/>
        <w:gridCol w:w="1634"/>
      </w:tblGrid>
      <w:tr w14:paraId="11688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807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2DA9E">
            <w:pPr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　</w:t>
            </w:r>
          </w:p>
        </w:tc>
        <w:tc>
          <w:tcPr>
            <w:tcW w:w="16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4957C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资产总计</w:t>
            </w:r>
          </w:p>
          <w:p w14:paraId="0FCB6014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16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6A1BA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负债合计</w:t>
            </w:r>
          </w:p>
          <w:p w14:paraId="3C1B567B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164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C8D17E7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营业收入</w:t>
            </w:r>
          </w:p>
          <w:p w14:paraId="4E5B3071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</w:tr>
      <w:tr w14:paraId="056AC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0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16134149">
            <w:pPr>
              <w:spacing w:line="34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06EA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680.5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14EC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402.0</w:t>
            </w:r>
          </w:p>
        </w:tc>
        <w:tc>
          <w:tcPr>
            <w:tcW w:w="164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718C6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kern w:val="0"/>
                <w:sz w:val="21"/>
                <w:szCs w:val="21"/>
              </w:rPr>
              <w:t>101.1</w:t>
            </w:r>
          </w:p>
        </w:tc>
      </w:tr>
      <w:tr w14:paraId="72490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0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C161290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房地产开发经营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CF5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445.4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BD49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322.0</w:t>
            </w:r>
          </w:p>
        </w:tc>
        <w:tc>
          <w:tcPr>
            <w:tcW w:w="164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6EA1F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82.1</w:t>
            </w:r>
          </w:p>
        </w:tc>
      </w:tr>
      <w:tr w14:paraId="161EE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0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4D400491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物业管理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270E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21.8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6E85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5.2</w:t>
            </w:r>
          </w:p>
        </w:tc>
        <w:tc>
          <w:tcPr>
            <w:tcW w:w="164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174F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13.0</w:t>
            </w:r>
          </w:p>
        </w:tc>
      </w:tr>
      <w:tr w14:paraId="708BB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  <w:jc w:val="center"/>
        </w:trPr>
        <w:tc>
          <w:tcPr>
            <w:tcW w:w="380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A0C9BD5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房地产中介服务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6AEF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2.2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B240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1.0</w:t>
            </w:r>
          </w:p>
        </w:tc>
        <w:tc>
          <w:tcPr>
            <w:tcW w:w="164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482E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3.8</w:t>
            </w:r>
          </w:p>
        </w:tc>
      </w:tr>
      <w:tr w14:paraId="1FA650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0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6E3CAED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房地产租赁经营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C77B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211.1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993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73.8</w:t>
            </w:r>
          </w:p>
        </w:tc>
        <w:tc>
          <w:tcPr>
            <w:tcW w:w="1643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9033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2.2</w:t>
            </w:r>
          </w:p>
        </w:tc>
      </w:tr>
      <w:tr w14:paraId="1E9E9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07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5A1D1E0F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其他房地产业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3D39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E468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  <w:tc>
          <w:tcPr>
            <w:tcW w:w="1643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75E28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0</w:t>
            </w:r>
          </w:p>
        </w:tc>
      </w:tr>
    </w:tbl>
    <w:p w14:paraId="43B7FCF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color w:val="0C0C0C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C0C0C"/>
          <w:kern w:val="0"/>
          <w:sz w:val="32"/>
          <w:szCs w:val="32"/>
        </w:rPr>
        <w:t>租赁和商务服务业</w:t>
      </w:r>
    </w:p>
    <w:p w14:paraId="4FAC9C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宋体" w:hAnsi="宋体" w:eastAsia="楷体_GB2312" w:cs="楷体_GB2312"/>
          <w:color w:val="0C0C0C"/>
          <w:kern w:val="0"/>
          <w:sz w:val="32"/>
          <w:szCs w:val="32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（一）企业法人单位数和从业人员</w:t>
      </w:r>
    </w:p>
    <w:p w14:paraId="18ADF3C3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年末，全区共有租赁和商务服务业企业法人单位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1296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个，从业人员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16119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人，分别比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41.3%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和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85.3%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5219666A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b/>
          <w:color w:val="0C0C0C"/>
          <w:kern w:val="0"/>
          <w:sz w:val="24"/>
          <w:szCs w:val="24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在租赁和商务服务业企业法人单位中，租赁业占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16.36%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，商务服务业占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83.64%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。在租赁和商务服务业企业法人单位从业人员中，租赁业占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14.12%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，商务服务业占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85.88%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4-16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3FD61C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表4-16　按行业大类分组的租赁和商务服务业</w:t>
      </w:r>
    </w:p>
    <w:p w14:paraId="75C1A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企业法人单位数和从业人员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97"/>
        <w:gridCol w:w="2685"/>
        <w:gridCol w:w="2489"/>
      </w:tblGrid>
      <w:tr w14:paraId="47EFE1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016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96DAD">
            <w:pPr>
              <w:spacing w:line="32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</w:p>
        </w:tc>
        <w:tc>
          <w:tcPr>
            <w:tcW w:w="15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D605B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1D35C90D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43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B2DDD71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从业人员</w:t>
            </w:r>
          </w:p>
          <w:p w14:paraId="46974D67">
            <w:pPr>
              <w:spacing w:line="32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1400A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016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94F93DB">
            <w:pPr>
              <w:spacing w:line="34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154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5EC66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1296</w:t>
            </w:r>
          </w:p>
        </w:tc>
        <w:tc>
          <w:tcPr>
            <w:tcW w:w="250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68FF1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16119</w:t>
            </w:r>
          </w:p>
        </w:tc>
      </w:tr>
      <w:tr w14:paraId="06090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016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766FA110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租赁业</w:t>
            </w:r>
          </w:p>
        </w:tc>
        <w:tc>
          <w:tcPr>
            <w:tcW w:w="154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B2A5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212</w:t>
            </w:r>
          </w:p>
        </w:tc>
        <w:tc>
          <w:tcPr>
            <w:tcW w:w="2506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3957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2276</w:t>
            </w:r>
          </w:p>
        </w:tc>
      </w:tr>
      <w:tr w14:paraId="0A5C0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016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2AD9DB7D">
            <w:pPr>
              <w:spacing w:line="34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商务服务业</w:t>
            </w:r>
          </w:p>
        </w:tc>
        <w:tc>
          <w:tcPr>
            <w:tcW w:w="1548" w:type="pct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C4BA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1084</w:t>
            </w:r>
          </w:p>
        </w:tc>
        <w:tc>
          <w:tcPr>
            <w:tcW w:w="250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23718B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90" w:rightChars="30" w:firstLine="0" w:firstLineChars="0"/>
              <w:jc w:val="right"/>
              <w:textAlignment w:val="center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13843</w:t>
            </w:r>
          </w:p>
        </w:tc>
      </w:tr>
    </w:tbl>
    <w:p w14:paraId="5DF74171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在租赁和商务服务业企业法人单位中，内资企业占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99.62%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，港澳台投资企业占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0.08%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，外商投资企业占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0.15%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，其他统计类别占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0.15%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6179A548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在租赁和商务服务业企业法人单位从业人员中，内资企业占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99.84%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，港澳台投资企业占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0.09%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，外商投资企业占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0.07%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4-17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6C8A4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4-17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按登记注册统计类别分组的租赁和商务服务业企业</w:t>
      </w:r>
    </w:p>
    <w:p w14:paraId="1612E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法人单位数和从业人员</w:t>
      </w:r>
    </w:p>
    <w:tbl>
      <w:tblPr>
        <w:tblStyle w:val="18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7"/>
        <w:gridCol w:w="2664"/>
        <w:gridCol w:w="2500"/>
      </w:tblGrid>
      <w:tr w14:paraId="72C24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022" w:type="pc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2BFBC9">
            <w:pPr>
              <w:spacing w:line="34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</w:p>
        </w:tc>
        <w:tc>
          <w:tcPr>
            <w:tcW w:w="153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17A5E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企业法人单位</w:t>
            </w:r>
          </w:p>
          <w:p w14:paraId="17A5CFB3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（个）</w:t>
            </w:r>
          </w:p>
        </w:tc>
        <w:tc>
          <w:tcPr>
            <w:tcW w:w="144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91DE143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从业人员</w:t>
            </w:r>
          </w:p>
          <w:p w14:paraId="493905BB">
            <w:pPr>
              <w:spacing w:line="34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（人）</w:t>
            </w:r>
          </w:p>
        </w:tc>
      </w:tr>
      <w:tr w14:paraId="57A49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022" w:type="pc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2239735D">
            <w:pPr>
              <w:spacing w:line="28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3A101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1296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5840C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16119</w:t>
            </w:r>
          </w:p>
        </w:tc>
      </w:tr>
      <w:tr w14:paraId="3DCD4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022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8587DB">
            <w:pPr>
              <w:spacing w:line="28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内资企业</w:t>
            </w:r>
          </w:p>
        </w:tc>
        <w:tc>
          <w:tcPr>
            <w:tcW w:w="268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718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  <w:t>1291</w:t>
            </w:r>
          </w:p>
        </w:tc>
        <w:tc>
          <w:tcPr>
            <w:tcW w:w="2516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6F17B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  <w:t>16092</w:t>
            </w:r>
          </w:p>
        </w:tc>
      </w:tr>
      <w:tr w14:paraId="43E6AB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022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743C41">
            <w:pPr>
              <w:spacing w:line="28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港澳台投资企业</w:t>
            </w:r>
          </w:p>
        </w:tc>
        <w:tc>
          <w:tcPr>
            <w:tcW w:w="268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D902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  <w:t>1</w:t>
            </w:r>
          </w:p>
        </w:tc>
        <w:tc>
          <w:tcPr>
            <w:tcW w:w="2516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3D7008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  <w:t>15</w:t>
            </w:r>
          </w:p>
        </w:tc>
      </w:tr>
      <w:tr w14:paraId="13F9B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022" w:type="pc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591D01B5">
            <w:pPr>
              <w:spacing w:line="28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外商投资企业</w:t>
            </w:r>
          </w:p>
        </w:tc>
        <w:tc>
          <w:tcPr>
            <w:tcW w:w="268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212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  <w:t>2</w:t>
            </w:r>
          </w:p>
        </w:tc>
        <w:tc>
          <w:tcPr>
            <w:tcW w:w="2516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1B596C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  <w:t>12</w:t>
            </w:r>
          </w:p>
        </w:tc>
      </w:tr>
      <w:tr w14:paraId="023AB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022" w:type="pc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229B9275">
            <w:pPr>
              <w:spacing w:line="28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其他统计类别</w:t>
            </w:r>
          </w:p>
        </w:tc>
        <w:tc>
          <w:tcPr>
            <w:tcW w:w="2682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96B0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  <w:t>2</w:t>
            </w:r>
          </w:p>
        </w:tc>
        <w:tc>
          <w:tcPr>
            <w:tcW w:w="2516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4DC8B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C0C0C"/>
                <w:sz w:val="21"/>
                <w:szCs w:val="21"/>
              </w:rPr>
              <w:t>0</w:t>
            </w:r>
          </w:p>
        </w:tc>
      </w:tr>
    </w:tbl>
    <w:p w14:paraId="08F95FAB">
      <w:pPr>
        <w:spacing w:line="600" w:lineRule="exact"/>
        <w:ind w:firstLine="0" w:firstLineChars="0"/>
        <w:jc w:val="left"/>
        <w:textAlignment w:val="auto"/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Times New Roman" w:hAnsi="Times New Roman" w:eastAsia="楷体_GB2312" w:cs="楷体_GB2312"/>
          <w:i w:val="0"/>
          <w:caps w:val="0"/>
          <w:color w:val="0C0C0C"/>
          <w:spacing w:val="0"/>
          <w:kern w:val="0"/>
          <w:sz w:val="32"/>
          <w:szCs w:val="32"/>
          <w:highlight w:val="none"/>
          <w:lang w:val="en-US" w:eastAsia="zh-CN" w:bidi="ar"/>
        </w:rPr>
        <w:t>（二）主要经济指标</w:t>
      </w:r>
    </w:p>
    <w:p w14:paraId="266BE052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年末，租赁和商务服务业企业法人单位资产总计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723.6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年末下降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77.6%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。其中，租赁业企业法人单位资产总计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8.7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亿元，商务服务业企业法人单位资产总计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714.8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亿元，分别比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249.2%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和下降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78.1%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。租赁和商务服务业企业法人单位负债合计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520.4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年末下降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76.8%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。</w:t>
      </w:r>
    </w:p>
    <w:p w14:paraId="0B58AF0A">
      <w:pPr>
        <w:spacing w:line="600" w:lineRule="exact"/>
        <w:ind w:firstLine="616"/>
        <w:textAlignment w:val="auto"/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年，租赁和商务服务业企业法人单位全年实现营业收入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70.1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亿元，比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年增长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228.4%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（详见表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4-18</w:t>
      </w:r>
      <w:r>
        <w:rPr>
          <w:rFonts w:hint="eastAsia" w:ascii="方正仿宋简体" w:hAnsi="方正仿宋简体" w:eastAsia="方正仿宋简体" w:cs="方正仿宋简体"/>
          <w:color w:val="0C0C0C"/>
          <w:spacing w:val="-6"/>
          <w:sz w:val="32"/>
          <w:szCs w:val="32"/>
        </w:rPr>
        <w:t>）。</w:t>
      </w:r>
    </w:p>
    <w:p w14:paraId="55387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beforeLines="30" w:line="3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表</w:t>
      </w:r>
      <w:r>
        <w:rPr>
          <w:rFonts w:hint="default" w:ascii="Times New Roman" w:hAnsi="Times New Roman" w:eastAsia="宋体" w:cs="Times New Roman"/>
          <w:b/>
          <w:color w:val="0C0C0C"/>
          <w:kern w:val="0"/>
          <w:sz w:val="24"/>
          <w:szCs w:val="24"/>
        </w:rPr>
        <w:t>4-18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　按行业大类分组的租赁和商务服务业</w:t>
      </w:r>
    </w:p>
    <w:p w14:paraId="5A7D6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ascii="宋体" w:hAnsi="宋体" w:eastAsia="宋体" w:cs="宋体"/>
          <w:b/>
          <w:color w:val="0C0C0C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color w:val="0C0C0C"/>
          <w:kern w:val="0"/>
          <w:sz w:val="24"/>
          <w:szCs w:val="24"/>
        </w:rPr>
        <w:t>企业法人单位主要经济指标</w:t>
      </w:r>
    </w:p>
    <w:tbl>
      <w:tblPr>
        <w:tblStyle w:val="1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6"/>
        <w:gridCol w:w="1633"/>
        <w:gridCol w:w="1633"/>
        <w:gridCol w:w="1632"/>
      </w:tblGrid>
      <w:tr w14:paraId="7BC4A2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807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30730">
            <w:pPr>
              <w:spacing w:line="28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C0C0C"/>
                <w:kern w:val="0"/>
                <w:sz w:val="21"/>
                <w:szCs w:val="21"/>
              </w:rPr>
              <w:t>　</w:t>
            </w:r>
          </w:p>
        </w:tc>
        <w:tc>
          <w:tcPr>
            <w:tcW w:w="16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DD20A">
            <w:pPr>
              <w:spacing w:line="28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资产总计</w:t>
            </w:r>
          </w:p>
          <w:p w14:paraId="282DFD29">
            <w:pPr>
              <w:spacing w:line="28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16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1B091">
            <w:pPr>
              <w:spacing w:line="28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负债合计</w:t>
            </w:r>
          </w:p>
          <w:p w14:paraId="188E4667">
            <w:pPr>
              <w:spacing w:line="28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  <w:tc>
          <w:tcPr>
            <w:tcW w:w="16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10BE4EB">
            <w:pPr>
              <w:spacing w:line="28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营业收入</w:t>
            </w:r>
          </w:p>
          <w:p w14:paraId="094D8718">
            <w:pPr>
              <w:spacing w:line="280" w:lineRule="exact"/>
              <w:ind w:left="57" w:right="57"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 w:val="0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C0C0C"/>
                <w:kern w:val="0"/>
                <w:sz w:val="21"/>
                <w:szCs w:val="21"/>
              </w:rPr>
              <w:t>（亿元）</w:t>
            </w:r>
          </w:p>
        </w:tc>
      </w:tr>
      <w:tr w14:paraId="6EFFC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0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393DABF4">
            <w:pPr>
              <w:spacing w:line="280" w:lineRule="exact"/>
              <w:ind w:right="57" w:firstLine="0" w:firstLineChars="0"/>
              <w:jc w:val="center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C0C0C"/>
                <w:kern w:val="0"/>
                <w:sz w:val="21"/>
                <w:szCs w:val="21"/>
              </w:rPr>
              <w:t>合　计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3BF1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723.6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15EB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520.4</w:t>
            </w:r>
          </w:p>
        </w:tc>
        <w:tc>
          <w:tcPr>
            <w:tcW w:w="164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 w14:paraId="6AB66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b/>
                <w:bCs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C0C0C"/>
                <w:sz w:val="21"/>
                <w:szCs w:val="21"/>
              </w:rPr>
              <w:t>70.1</w:t>
            </w:r>
          </w:p>
        </w:tc>
      </w:tr>
      <w:tr w14:paraId="610B5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0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146A15">
            <w:pPr>
              <w:spacing w:line="28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租赁业</w:t>
            </w:r>
          </w:p>
        </w:tc>
        <w:tc>
          <w:tcPr>
            <w:tcW w:w="164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0AD2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8.7</w:t>
            </w:r>
          </w:p>
        </w:tc>
        <w:tc>
          <w:tcPr>
            <w:tcW w:w="164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D3E4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5.9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 w14:paraId="7B195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7.5</w:t>
            </w:r>
          </w:p>
        </w:tc>
      </w:tr>
      <w:tr w14:paraId="22200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807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42F1E628">
            <w:pPr>
              <w:spacing w:line="280" w:lineRule="exact"/>
              <w:ind w:right="57" w:firstLine="0" w:firstLineChars="0"/>
              <w:jc w:val="lef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kern w:val="0"/>
                <w:sz w:val="21"/>
                <w:szCs w:val="21"/>
              </w:rPr>
              <w:t>商务服务业</w:t>
            </w:r>
          </w:p>
        </w:tc>
        <w:tc>
          <w:tcPr>
            <w:tcW w:w="1642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9D72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714.9</w:t>
            </w:r>
          </w:p>
        </w:tc>
        <w:tc>
          <w:tcPr>
            <w:tcW w:w="1642" w:type="dxa"/>
            <w:tcBorders>
              <w:top w:val="nil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3975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514.5</w:t>
            </w:r>
          </w:p>
        </w:tc>
        <w:tc>
          <w:tcPr>
            <w:tcW w:w="1641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vAlign w:val="center"/>
          </w:tcPr>
          <w:p w14:paraId="679C56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90" w:rightChars="30" w:firstLine="0" w:firstLineChars="0"/>
              <w:jc w:val="right"/>
              <w:textAlignment w:val="auto"/>
              <w:rPr>
                <w:rFonts w:ascii="宋体" w:hAnsi="宋体" w:eastAsia="宋体" w:cs="宋体"/>
                <w:color w:val="0C0C0C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C0C0C"/>
                <w:sz w:val="21"/>
                <w:szCs w:val="21"/>
              </w:rPr>
              <w:t>62.6</w:t>
            </w:r>
          </w:p>
        </w:tc>
      </w:tr>
    </w:tbl>
    <w:p w14:paraId="09728E18">
      <w:pPr>
        <w:spacing w:line="600" w:lineRule="exact"/>
        <w:ind w:firstLine="560"/>
        <w:textAlignment w:val="auto"/>
        <w:rPr>
          <w:rFonts w:hint="eastAsia" w:ascii="黑体" w:hAnsi="黑体" w:eastAsia="黑体" w:cs="黑体"/>
          <w:color w:val="0C0C0C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>注释：</w:t>
      </w:r>
    </w:p>
    <w:p w14:paraId="66648147">
      <w:pPr>
        <w:spacing w:line="600" w:lineRule="exact"/>
        <w:ind w:firstLine="560"/>
        <w:textAlignment w:val="auto"/>
        <w:rPr>
          <w:rFonts w:hint="eastAsia" w:ascii="方正仿宋简体" w:hAnsi="方正仿宋简体" w:eastAsia="方正仿宋简体" w:cs="方正仿宋简体"/>
          <w:color w:val="0C0C0C"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[1]</w:t>
      </w:r>
      <w:r>
        <w:rPr>
          <w:rFonts w:hint="eastAsia" w:ascii="方正仿宋简体" w:hAnsi="方正仿宋简体" w:eastAsia="方正仿宋简体" w:cs="方正仿宋简体"/>
          <w:color w:val="0C0C0C"/>
          <w:kern w:val="0"/>
          <w:sz w:val="28"/>
          <w:szCs w:val="28"/>
        </w:rPr>
        <w:t>登记注册统计类别</w:t>
      </w:r>
      <w:r>
        <w:rPr>
          <w:rFonts w:hint="eastAsia" w:ascii="方正仿宋简体" w:hAnsi="方正仿宋简体" w:eastAsia="方正仿宋简体" w:cs="方正仿宋简体"/>
          <w:color w:val="0C0C0C"/>
          <w:kern w:val="0"/>
          <w:sz w:val="28"/>
          <w:szCs w:val="28"/>
          <w:lang w:eastAsia="zh-CN"/>
        </w:rPr>
        <w:t>：</w:t>
      </w:r>
      <w:r>
        <w:rPr>
          <w:rFonts w:hint="eastAsia" w:ascii="方正仿宋简体" w:hAnsi="方正仿宋简体" w:eastAsia="方正仿宋简体" w:cs="方正仿宋简体"/>
          <w:color w:val="0C0C0C"/>
          <w:kern w:val="0"/>
          <w:sz w:val="28"/>
          <w:szCs w:val="28"/>
        </w:rPr>
        <w:t>根据国家统计局、国家市场监督管理总局《关于市场主体统计分类的划分规定》（国统字〔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2023</w:t>
      </w:r>
      <w:r>
        <w:rPr>
          <w:rFonts w:hint="eastAsia" w:ascii="方正仿宋简体" w:hAnsi="方正仿宋简体" w:eastAsia="方正仿宋简体" w:cs="方正仿宋简体"/>
          <w:color w:val="0C0C0C"/>
          <w:kern w:val="0"/>
          <w:sz w:val="28"/>
          <w:szCs w:val="28"/>
        </w:rPr>
        <w:t>〕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14</w:t>
      </w:r>
      <w:r>
        <w:rPr>
          <w:rFonts w:hint="eastAsia" w:ascii="方正仿宋简体" w:hAnsi="方正仿宋简体" w:eastAsia="方正仿宋简体" w:cs="方正仿宋简体"/>
          <w:color w:val="0C0C0C"/>
          <w:kern w:val="0"/>
          <w:sz w:val="28"/>
          <w:szCs w:val="28"/>
        </w:rPr>
        <w:t>号）确定，包括内资企业、港澳台投资企业和外商投资企业，以及农民专业合作社（联合社）等其他统计类别。</w:t>
      </w:r>
    </w:p>
    <w:p w14:paraId="7731E1CF">
      <w:pPr>
        <w:spacing w:line="600" w:lineRule="exact"/>
        <w:ind w:firstLine="560"/>
        <w:textAlignment w:val="auto"/>
        <w:rPr>
          <w:rFonts w:ascii="宋体" w:hAnsi="宋体"/>
          <w:color w:val="0C0C0C"/>
          <w:sz w:val="36"/>
          <w:szCs w:val="36"/>
        </w:rPr>
      </w:pP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[2]</w:t>
      </w:r>
      <w:r>
        <w:rPr>
          <w:rFonts w:hint="eastAsia" w:ascii="方正仿宋简体" w:hAnsi="方正仿宋简体" w:eastAsia="方正仿宋简体" w:cs="方正仿宋简体"/>
          <w:color w:val="0C0C0C"/>
          <w:kern w:val="0"/>
          <w:sz w:val="28"/>
          <w:szCs w:val="28"/>
        </w:rPr>
        <w:t>表中的合计数和部分计算数据因小数取舍而产生的误差，均未作机械调整。为保证数据精确度，个别数据保留</w:t>
      </w:r>
      <w:r>
        <w:rPr>
          <w:rFonts w:hint="eastAsia" w:ascii="Times New Roman" w:hAnsi="Times New Roman" w:eastAsia="方正仿宋简体" w:cs="Times New Roman"/>
          <w:color w:val="0C0C0C"/>
          <w:spacing w:val="-6"/>
          <w:sz w:val="32"/>
          <w:szCs w:val="32"/>
        </w:rPr>
        <w:t>2</w:t>
      </w:r>
      <w:r>
        <w:rPr>
          <w:rFonts w:hint="eastAsia" w:ascii="方正仿宋简体" w:hAnsi="方正仿宋简体" w:eastAsia="方正仿宋简体" w:cs="方正仿宋简体"/>
          <w:color w:val="0C0C0C"/>
          <w:kern w:val="0"/>
          <w:sz w:val="28"/>
          <w:szCs w:val="28"/>
        </w:rPr>
        <w:t>位小数。</w:t>
      </w:r>
    </w:p>
    <w:sectPr>
      <w:headerReference r:id="rId5" w:type="default"/>
      <w:footerReference r:id="rId6" w:type="default"/>
      <w:footnotePr>
        <w:numRestart w:val="eachPage"/>
      </w:footnotePr>
      <w:pgSz w:w="11906" w:h="16838"/>
      <w:pgMar w:top="1701" w:right="1616" w:bottom="1701" w:left="1616" w:header="851" w:footer="147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720" w:num="1"/>
      <w:docGrid w:type="lines" w:linePitch="58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AE87F">
    <w:pPr>
      <w:pStyle w:val="11"/>
      <w:ind w:right="141" w:firstLine="560"/>
      <w:jc w:val="right"/>
      <w:rPr>
        <w:rFonts w:ascii="仿宋_GB2312" w:hAnsi="宋体" w:eastAsia="仿宋_GB2312"/>
        <w:caps/>
        <w:sz w:val="28"/>
        <w:szCs w:val="28"/>
      </w:rPr>
    </w:pPr>
    <w:r>
      <w:rPr>
        <w:sz w:val="28"/>
      </w:rPr>
      <w:pict>
        <v:shape id="文本框 9" o:spid="_x0000_s102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F180DC7">
                <w:pPr>
                  <w:pStyle w:val="11"/>
                  <w:ind w:firstLine="0" w:firstLineChars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t>12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fldChar w:fldCharType="end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t xml:space="preserve"> </w:t>
                </w:r>
                <w:r>
                  <w:rPr>
                    <w:sz w:val="28"/>
                    <w:szCs w:val="28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90AA62">
    <w:pPr>
      <w:pStyle w:val="12"/>
      <w:pBdr>
        <w:bottom w:val="none" w:color="auto" w:sz="0" w:space="0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3F293"/>
    <w:multiLevelType w:val="singleLevel"/>
    <w:tmpl w:val="B8F3F293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readOnly" w:enforcement="0"/>
  <w:defaultTabStop w:val="419"/>
  <w:drawingGridHorizontalSpacing w:val="150"/>
  <w:drawingGridVerticalSpacing w:val="294"/>
  <w:noPunctuationKerning w:val="1"/>
  <w:characterSpacingControl w:val="compressPunctuation"/>
  <w:hdrShapeDefaults>
    <o:shapelayout v:ext="edit">
      <o:idmap v:ext="edit" data="1"/>
    </o:shapelayout>
  </w:hdrShapeDefaults>
  <w:footnotePr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jOTc5YWM1NGRjY2Q5ODRkMTk5NmVmMzBjNjgyNjcifQ=="/>
  </w:docVars>
  <w:rsids>
    <w:rsidRoot w:val="00AD7B0E"/>
    <w:rsid w:val="00001176"/>
    <w:rsid w:val="000119DD"/>
    <w:rsid w:val="00014B0F"/>
    <w:rsid w:val="00024AFC"/>
    <w:rsid w:val="0004755E"/>
    <w:rsid w:val="0007110E"/>
    <w:rsid w:val="00093DE0"/>
    <w:rsid w:val="000945B2"/>
    <w:rsid w:val="000A3547"/>
    <w:rsid w:val="000A361D"/>
    <w:rsid w:val="000D4D61"/>
    <w:rsid w:val="000E1684"/>
    <w:rsid w:val="001106AF"/>
    <w:rsid w:val="001251DD"/>
    <w:rsid w:val="00130B7A"/>
    <w:rsid w:val="00136454"/>
    <w:rsid w:val="0014395A"/>
    <w:rsid w:val="001552A6"/>
    <w:rsid w:val="00157B6B"/>
    <w:rsid w:val="001A0D48"/>
    <w:rsid w:val="001C6C77"/>
    <w:rsid w:val="00211339"/>
    <w:rsid w:val="00221AFA"/>
    <w:rsid w:val="002532E0"/>
    <w:rsid w:val="00266182"/>
    <w:rsid w:val="00280636"/>
    <w:rsid w:val="002A0A6A"/>
    <w:rsid w:val="002D53BB"/>
    <w:rsid w:val="00301315"/>
    <w:rsid w:val="00310F48"/>
    <w:rsid w:val="003163F4"/>
    <w:rsid w:val="0034241F"/>
    <w:rsid w:val="003427C7"/>
    <w:rsid w:val="003928E0"/>
    <w:rsid w:val="00395D52"/>
    <w:rsid w:val="003976BE"/>
    <w:rsid w:val="003A5F91"/>
    <w:rsid w:val="003B2506"/>
    <w:rsid w:val="003B7D4D"/>
    <w:rsid w:val="003E6957"/>
    <w:rsid w:val="003F5C4B"/>
    <w:rsid w:val="004135D6"/>
    <w:rsid w:val="00467D15"/>
    <w:rsid w:val="00491BED"/>
    <w:rsid w:val="00492CD9"/>
    <w:rsid w:val="00497D70"/>
    <w:rsid w:val="004B0E6D"/>
    <w:rsid w:val="004B486E"/>
    <w:rsid w:val="004D0491"/>
    <w:rsid w:val="004E5AD4"/>
    <w:rsid w:val="00521108"/>
    <w:rsid w:val="0052258E"/>
    <w:rsid w:val="00542F01"/>
    <w:rsid w:val="005467DD"/>
    <w:rsid w:val="00553C56"/>
    <w:rsid w:val="0055686B"/>
    <w:rsid w:val="00556D6D"/>
    <w:rsid w:val="00564D80"/>
    <w:rsid w:val="00570A5E"/>
    <w:rsid w:val="00573809"/>
    <w:rsid w:val="0058367C"/>
    <w:rsid w:val="00593159"/>
    <w:rsid w:val="005A3D96"/>
    <w:rsid w:val="005F4CF4"/>
    <w:rsid w:val="00620235"/>
    <w:rsid w:val="00622F6F"/>
    <w:rsid w:val="0064048B"/>
    <w:rsid w:val="00640F6F"/>
    <w:rsid w:val="0067069B"/>
    <w:rsid w:val="00687249"/>
    <w:rsid w:val="006B013A"/>
    <w:rsid w:val="006C4F52"/>
    <w:rsid w:val="00731E2B"/>
    <w:rsid w:val="0078417E"/>
    <w:rsid w:val="007860EB"/>
    <w:rsid w:val="007E6099"/>
    <w:rsid w:val="00846681"/>
    <w:rsid w:val="00854DF9"/>
    <w:rsid w:val="008C15CD"/>
    <w:rsid w:val="008C32CF"/>
    <w:rsid w:val="009135A3"/>
    <w:rsid w:val="009349CB"/>
    <w:rsid w:val="00965D56"/>
    <w:rsid w:val="00971DF7"/>
    <w:rsid w:val="00992916"/>
    <w:rsid w:val="009939D2"/>
    <w:rsid w:val="009A7FC0"/>
    <w:rsid w:val="009B7E3A"/>
    <w:rsid w:val="009C7D43"/>
    <w:rsid w:val="00A02838"/>
    <w:rsid w:val="00A10DB3"/>
    <w:rsid w:val="00A31D1B"/>
    <w:rsid w:val="00A46587"/>
    <w:rsid w:val="00A73C2A"/>
    <w:rsid w:val="00A9531D"/>
    <w:rsid w:val="00AD7B0E"/>
    <w:rsid w:val="00AF4E4D"/>
    <w:rsid w:val="00B406B8"/>
    <w:rsid w:val="00B449E5"/>
    <w:rsid w:val="00B607F0"/>
    <w:rsid w:val="00B73BC7"/>
    <w:rsid w:val="00BE6358"/>
    <w:rsid w:val="00BE67A3"/>
    <w:rsid w:val="00C07A75"/>
    <w:rsid w:val="00C62817"/>
    <w:rsid w:val="00C813C6"/>
    <w:rsid w:val="00CA51AD"/>
    <w:rsid w:val="00CB34FD"/>
    <w:rsid w:val="00CC10F8"/>
    <w:rsid w:val="00CC208C"/>
    <w:rsid w:val="00CC4A22"/>
    <w:rsid w:val="00D00035"/>
    <w:rsid w:val="00D01BC6"/>
    <w:rsid w:val="00D11B1F"/>
    <w:rsid w:val="00D26E3C"/>
    <w:rsid w:val="00D72D8B"/>
    <w:rsid w:val="00DA61D1"/>
    <w:rsid w:val="00DB350C"/>
    <w:rsid w:val="00DB5DB6"/>
    <w:rsid w:val="00DB755F"/>
    <w:rsid w:val="00DC0DAA"/>
    <w:rsid w:val="00DD43C3"/>
    <w:rsid w:val="00E05584"/>
    <w:rsid w:val="00E06613"/>
    <w:rsid w:val="00E24BB1"/>
    <w:rsid w:val="00E50D78"/>
    <w:rsid w:val="00E64FD0"/>
    <w:rsid w:val="00ED6856"/>
    <w:rsid w:val="00EF2B6B"/>
    <w:rsid w:val="00EF42E1"/>
    <w:rsid w:val="00F031F1"/>
    <w:rsid w:val="00F57676"/>
    <w:rsid w:val="00F6605B"/>
    <w:rsid w:val="00F6787A"/>
    <w:rsid w:val="00FA4044"/>
    <w:rsid w:val="00FB36C6"/>
    <w:rsid w:val="00FD7729"/>
    <w:rsid w:val="00FF1A47"/>
    <w:rsid w:val="00FF1D5D"/>
    <w:rsid w:val="00FF6638"/>
    <w:rsid w:val="00FF6802"/>
    <w:rsid w:val="01BB2CB6"/>
    <w:rsid w:val="020E4AAB"/>
    <w:rsid w:val="02895B83"/>
    <w:rsid w:val="02FA184C"/>
    <w:rsid w:val="032A4C70"/>
    <w:rsid w:val="03DB6EB3"/>
    <w:rsid w:val="04402768"/>
    <w:rsid w:val="057E6FEE"/>
    <w:rsid w:val="064A4AE7"/>
    <w:rsid w:val="06C60B10"/>
    <w:rsid w:val="06F25E18"/>
    <w:rsid w:val="07FDD03F"/>
    <w:rsid w:val="088B519F"/>
    <w:rsid w:val="08F17998"/>
    <w:rsid w:val="094731F9"/>
    <w:rsid w:val="0A744383"/>
    <w:rsid w:val="0A9F5332"/>
    <w:rsid w:val="0BF93B68"/>
    <w:rsid w:val="0C426AAC"/>
    <w:rsid w:val="0C99582E"/>
    <w:rsid w:val="0D474670"/>
    <w:rsid w:val="0D571AD0"/>
    <w:rsid w:val="0D7410F4"/>
    <w:rsid w:val="0DA06995"/>
    <w:rsid w:val="0DB8731C"/>
    <w:rsid w:val="0E8B67DF"/>
    <w:rsid w:val="0FCED597"/>
    <w:rsid w:val="0FD97682"/>
    <w:rsid w:val="10C303A2"/>
    <w:rsid w:val="10D4709A"/>
    <w:rsid w:val="10D63D6E"/>
    <w:rsid w:val="121E0096"/>
    <w:rsid w:val="131C20FB"/>
    <w:rsid w:val="13BA1189"/>
    <w:rsid w:val="13FE1F96"/>
    <w:rsid w:val="145E31EC"/>
    <w:rsid w:val="14C6090C"/>
    <w:rsid w:val="164B6F7F"/>
    <w:rsid w:val="16F7A5AD"/>
    <w:rsid w:val="171B638F"/>
    <w:rsid w:val="1761787F"/>
    <w:rsid w:val="17EFA947"/>
    <w:rsid w:val="17FF2253"/>
    <w:rsid w:val="19D7956D"/>
    <w:rsid w:val="1B4E0845"/>
    <w:rsid w:val="1B66485B"/>
    <w:rsid w:val="1B76429E"/>
    <w:rsid w:val="1BF777DE"/>
    <w:rsid w:val="1BF92182"/>
    <w:rsid w:val="1BFF8275"/>
    <w:rsid w:val="1CC35FE9"/>
    <w:rsid w:val="1DF78592"/>
    <w:rsid w:val="1EDA7168"/>
    <w:rsid w:val="1F1F845E"/>
    <w:rsid w:val="1F3513EE"/>
    <w:rsid w:val="1F7D891F"/>
    <w:rsid w:val="1F990D83"/>
    <w:rsid w:val="1FB543A2"/>
    <w:rsid w:val="1FBFF3C8"/>
    <w:rsid w:val="1FDF0803"/>
    <w:rsid w:val="1FE203D4"/>
    <w:rsid w:val="1FEF11E6"/>
    <w:rsid w:val="1FF2D086"/>
    <w:rsid w:val="1FFF2E1C"/>
    <w:rsid w:val="1FFF7604"/>
    <w:rsid w:val="201A5DDC"/>
    <w:rsid w:val="2027280B"/>
    <w:rsid w:val="203514EB"/>
    <w:rsid w:val="204A02A8"/>
    <w:rsid w:val="208C5DEF"/>
    <w:rsid w:val="20BB6C69"/>
    <w:rsid w:val="2154329C"/>
    <w:rsid w:val="21B03969"/>
    <w:rsid w:val="21C53820"/>
    <w:rsid w:val="21F86EF1"/>
    <w:rsid w:val="233E28EC"/>
    <w:rsid w:val="23B40CCC"/>
    <w:rsid w:val="24337ADC"/>
    <w:rsid w:val="24BF3D01"/>
    <w:rsid w:val="25335F94"/>
    <w:rsid w:val="254C4AC2"/>
    <w:rsid w:val="25ED9684"/>
    <w:rsid w:val="25F56F08"/>
    <w:rsid w:val="263E440B"/>
    <w:rsid w:val="26AA35DB"/>
    <w:rsid w:val="277F4471"/>
    <w:rsid w:val="27DF4134"/>
    <w:rsid w:val="27F7A832"/>
    <w:rsid w:val="286950AB"/>
    <w:rsid w:val="28D664D0"/>
    <w:rsid w:val="28DE0848"/>
    <w:rsid w:val="290F6892"/>
    <w:rsid w:val="299F26BF"/>
    <w:rsid w:val="29BF5862"/>
    <w:rsid w:val="2A3F10C0"/>
    <w:rsid w:val="2ADB133E"/>
    <w:rsid w:val="2B3F47E3"/>
    <w:rsid w:val="2BC550FB"/>
    <w:rsid w:val="2BFF4474"/>
    <w:rsid w:val="2CA825A1"/>
    <w:rsid w:val="2CE1660F"/>
    <w:rsid w:val="2D342122"/>
    <w:rsid w:val="2DFB07DF"/>
    <w:rsid w:val="2E5B0595"/>
    <w:rsid w:val="2ED73919"/>
    <w:rsid w:val="2EE2584B"/>
    <w:rsid w:val="2EFB1545"/>
    <w:rsid w:val="2EFFBB79"/>
    <w:rsid w:val="2F137074"/>
    <w:rsid w:val="2F3446BC"/>
    <w:rsid w:val="2F3C1703"/>
    <w:rsid w:val="2F6F264E"/>
    <w:rsid w:val="2FC30B07"/>
    <w:rsid w:val="2FDE77DF"/>
    <w:rsid w:val="2FDFEF9A"/>
    <w:rsid w:val="2FFB9CB3"/>
    <w:rsid w:val="2FFBBBE7"/>
    <w:rsid w:val="2FFFB3C2"/>
    <w:rsid w:val="2FFFF09F"/>
    <w:rsid w:val="30D629ED"/>
    <w:rsid w:val="313752AF"/>
    <w:rsid w:val="314611C0"/>
    <w:rsid w:val="31A0085A"/>
    <w:rsid w:val="31E727A3"/>
    <w:rsid w:val="322C5A5F"/>
    <w:rsid w:val="32761C27"/>
    <w:rsid w:val="32A56DF0"/>
    <w:rsid w:val="33FE1CAA"/>
    <w:rsid w:val="34C627F4"/>
    <w:rsid w:val="358F570B"/>
    <w:rsid w:val="35BB2451"/>
    <w:rsid w:val="35E00704"/>
    <w:rsid w:val="35F4492C"/>
    <w:rsid w:val="35FF2481"/>
    <w:rsid w:val="364D16E5"/>
    <w:rsid w:val="364FBC95"/>
    <w:rsid w:val="36FD8BFE"/>
    <w:rsid w:val="37386C54"/>
    <w:rsid w:val="373B95BF"/>
    <w:rsid w:val="377DE033"/>
    <w:rsid w:val="3788E336"/>
    <w:rsid w:val="37CB5D1A"/>
    <w:rsid w:val="37DB3423"/>
    <w:rsid w:val="37DD16EE"/>
    <w:rsid w:val="37E9B8FB"/>
    <w:rsid w:val="37F88C10"/>
    <w:rsid w:val="37FEBAFE"/>
    <w:rsid w:val="3828C0DF"/>
    <w:rsid w:val="38E52E0C"/>
    <w:rsid w:val="392E12F9"/>
    <w:rsid w:val="3967FCC5"/>
    <w:rsid w:val="39752B2C"/>
    <w:rsid w:val="39797585"/>
    <w:rsid w:val="39AB74AD"/>
    <w:rsid w:val="39C7E559"/>
    <w:rsid w:val="39FE005B"/>
    <w:rsid w:val="3A451DB4"/>
    <w:rsid w:val="3AE47CD5"/>
    <w:rsid w:val="3B1CC29E"/>
    <w:rsid w:val="3B3F7D6C"/>
    <w:rsid w:val="3B7E03B0"/>
    <w:rsid w:val="3B7FF208"/>
    <w:rsid w:val="3B966D80"/>
    <w:rsid w:val="3C7B3A80"/>
    <w:rsid w:val="3C8619C1"/>
    <w:rsid w:val="3CB6A8E4"/>
    <w:rsid w:val="3CBCCEDB"/>
    <w:rsid w:val="3D79E0D3"/>
    <w:rsid w:val="3D7F77DA"/>
    <w:rsid w:val="3DAF2F47"/>
    <w:rsid w:val="3DCE2C96"/>
    <w:rsid w:val="3DF9EA1E"/>
    <w:rsid w:val="3DFF8516"/>
    <w:rsid w:val="3E405308"/>
    <w:rsid w:val="3EAF8340"/>
    <w:rsid w:val="3EE355C7"/>
    <w:rsid w:val="3EEE537B"/>
    <w:rsid w:val="3EEEFAF5"/>
    <w:rsid w:val="3EF69AB6"/>
    <w:rsid w:val="3EF6C577"/>
    <w:rsid w:val="3EF82199"/>
    <w:rsid w:val="3EFE3D92"/>
    <w:rsid w:val="3EFF110E"/>
    <w:rsid w:val="3F034E6B"/>
    <w:rsid w:val="3F035B34"/>
    <w:rsid w:val="3F3A7C32"/>
    <w:rsid w:val="3F6C638F"/>
    <w:rsid w:val="3F6FA6E2"/>
    <w:rsid w:val="3F794A82"/>
    <w:rsid w:val="3F7FC2E7"/>
    <w:rsid w:val="3F882D75"/>
    <w:rsid w:val="3FBCA29C"/>
    <w:rsid w:val="3FBD932F"/>
    <w:rsid w:val="3FBFBFB3"/>
    <w:rsid w:val="3FDACAF9"/>
    <w:rsid w:val="3FDBB7F6"/>
    <w:rsid w:val="3FDF7A7E"/>
    <w:rsid w:val="3FE988C8"/>
    <w:rsid w:val="3FE9A05D"/>
    <w:rsid w:val="3FEFBB25"/>
    <w:rsid w:val="3FF3766B"/>
    <w:rsid w:val="3FF3E1E5"/>
    <w:rsid w:val="3FFDD182"/>
    <w:rsid w:val="3FFE2BD1"/>
    <w:rsid w:val="3FFF3881"/>
    <w:rsid w:val="3FFFCD8D"/>
    <w:rsid w:val="3FFFD0A8"/>
    <w:rsid w:val="3FFFF6B6"/>
    <w:rsid w:val="40124070"/>
    <w:rsid w:val="401758A5"/>
    <w:rsid w:val="423B3D91"/>
    <w:rsid w:val="42863A85"/>
    <w:rsid w:val="42EB6426"/>
    <w:rsid w:val="42F120D5"/>
    <w:rsid w:val="431C38CE"/>
    <w:rsid w:val="436F5290"/>
    <w:rsid w:val="437A1224"/>
    <w:rsid w:val="43CC70A2"/>
    <w:rsid w:val="44556919"/>
    <w:rsid w:val="44874831"/>
    <w:rsid w:val="449F0313"/>
    <w:rsid w:val="44E81E3D"/>
    <w:rsid w:val="453819CB"/>
    <w:rsid w:val="45794110"/>
    <w:rsid w:val="457BE601"/>
    <w:rsid w:val="46786229"/>
    <w:rsid w:val="46B3584F"/>
    <w:rsid w:val="471C07CD"/>
    <w:rsid w:val="472114B3"/>
    <w:rsid w:val="4780A15D"/>
    <w:rsid w:val="4787A648"/>
    <w:rsid w:val="47C8C0B6"/>
    <w:rsid w:val="47EFF6C2"/>
    <w:rsid w:val="493C1E50"/>
    <w:rsid w:val="497D8B37"/>
    <w:rsid w:val="49BB7E59"/>
    <w:rsid w:val="49D56DEF"/>
    <w:rsid w:val="4AFFFB5C"/>
    <w:rsid w:val="4B4E3AFE"/>
    <w:rsid w:val="4B555515"/>
    <w:rsid w:val="4B671843"/>
    <w:rsid w:val="4B985ABC"/>
    <w:rsid w:val="4BFDB641"/>
    <w:rsid w:val="4BFF516E"/>
    <w:rsid w:val="4C170BEA"/>
    <w:rsid w:val="4D514407"/>
    <w:rsid w:val="4E142B09"/>
    <w:rsid w:val="4E6C1C21"/>
    <w:rsid w:val="4E8D9E4F"/>
    <w:rsid w:val="4EB33338"/>
    <w:rsid w:val="4ECF780B"/>
    <w:rsid w:val="4EEA6C4D"/>
    <w:rsid w:val="4F191BB2"/>
    <w:rsid w:val="4F1F9E04"/>
    <w:rsid w:val="4F3F3AB0"/>
    <w:rsid w:val="4F4F996B"/>
    <w:rsid w:val="4F846F8A"/>
    <w:rsid w:val="4F9EB871"/>
    <w:rsid w:val="4FD77DB4"/>
    <w:rsid w:val="4FDDFC9A"/>
    <w:rsid w:val="4FDF6E9D"/>
    <w:rsid w:val="4FE84F5A"/>
    <w:rsid w:val="50EF7AB6"/>
    <w:rsid w:val="50FDCC9A"/>
    <w:rsid w:val="51402D84"/>
    <w:rsid w:val="51B314F1"/>
    <w:rsid w:val="52E849BB"/>
    <w:rsid w:val="52EF8584"/>
    <w:rsid w:val="532072A2"/>
    <w:rsid w:val="5349DDD2"/>
    <w:rsid w:val="53690DE6"/>
    <w:rsid w:val="53BE7452"/>
    <w:rsid w:val="53BEDF87"/>
    <w:rsid w:val="53BFD2C2"/>
    <w:rsid w:val="547F94BF"/>
    <w:rsid w:val="55465EF2"/>
    <w:rsid w:val="557FA8DF"/>
    <w:rsid w:val="55FB87A0"/>
    <w:rsid w:val="566B346B"/>
    <w:rsid w:val="56D26326"/>
    <w:rsid w:val="56D30AEE"/>
    <w:rsid w:val="56EF7312"/>
    <w:rsid w:val="56FFFFF0"/>
    <w:rsid w:val="57778108"/>
    <w:rsid w:val="579E22B3"/>
    <w:rsid w:val="57AAB092"/>
    <w:rsid w:val="57AF36EC"/>
    <w:rsid w:val="57B6A4D2"/>
    <w:rsid w:val="57CFD1C4"/>
    <w:rsid w:val="57D3D6EF"/>
    <w:rsid w:val="57D645E2"/>
    <w:rsid w:val="57F7137D"/>
    <w:rsid w:val="57F7950D"/>
    <w:rsid w:val="57FD8CB0"/>
    <w:rsid w:val="57FFEE2E"/>
    <w:rsid w:val="58B71042"/>
    <w:rsid w:val="58FE01EC"/>
    <w:rsid w:val="58FF2310"/>
    <w:rsid w:val="5926587E"/>
    <w:rsid w:val="59B1E942"/>
    <w:rsid w:val="59DCB919"/>
    <w:rsid w:val="59FF3DDF"/>
    <w:rsid w:val="59FFE264"/>
    <w:rsid w:val="5A080678"/>
    <w:rsid w:val="5A1560C9"/>
    <w:rsid w:val="5B0E5771"/>
    <w:rsid w:val="5B7B778A"/>
    <w:rsid w:val="5B8FE9A4"/>
    <w:rsid w:val="5BB65EFB"/>
    <w:rsid w:val="5BBFADCD"/>
    <w:rsid w:val="5BE75640"/>
    <w:rsid w:val="5BEF77BE"/>
    <w:rsid w:val="5BEFEE2A"/>
    <w:rsid w:val="5C2313D1"/>
    <w:rsid w:val="5C290B14"/>
    <w:rsid w:val="5C361105"/>
    <w:rsid w:val="5C3CE6AB"/>
    <w:rsid w:val="5C684F6F"/>
    <w:rsid w:val="5C8C39A8"/>
    <w:rsid w:val="5CBA94C3"/>
    <w:rsid w:val="5CFE1DA8"/>
    <w:rsid w:val="5D76FE7A"/>
    <w:rsid w:val="5D7B803F"/>
    <w:rsid w:val="5D7F6CFA"/>
    <w:rsid w:val="5D9B9EDA"/>
    <w:rsid w:val="5DBFC919"/>
    <w:rsid w:val="5DDF4958"/>
    <w:rsid w:val="5DFB8A00"/>
    <w:rsid w:val="5DFF415E"/>
    <w:rsid w:val="5E0F33C4"/>
    <w:rsid w:val="5E7B35D5"/>
    <w:rsid w:val="5EA5D34F"/>
    <w:rsid w:val="5EAF519E"/>
    <w:rsid w:val="5EB52B1A"/>
    <w:rsid w:val="5EC628E5"/>
    <w:rsid w:val="5EFA2AA4"/>
    <w:rsid w:val="5EFEB2AB"/>
    <w:rsid w:val="5EFF8CA2"/>
    <w:rsid w:val="5F560E7E"/>
    <w:rsid w:val="5F6B1E1F"/>
    <w:rsid w:val="5F771625"/>
    <w:rsid w:val="5F77C50B"/>
    <w:rsid w:val="5F7B21AE"/>
    <w:rsid w:val="5F99066A"/>
    <w:rsid w:val="5F9D495D"/>
    <w:rsid w:val="5FBDD67C"/>
    <w:rsid w:val="5FE7D4FF"/>
    <w:rsid w:val="5FEBAE1D"/>
    <w:rsid w:val="5FEF3068"/>
    <w:rsid w:val="5FEFC1BA"/>
    <w:rsid w:val="5FF32205"/>
    <w:rsid w:val="5FF77964"/>
    <w:rsid w:val="5FF9308B"/>
    <w:rsid w:val="5FFC3055"/>
    <w:rsid w:val="5FFDE742"/>
    <w:rsid w:val="5FFEA1F0"/>
    <w:rsid w:val="5FFEA941"/>
    <w:rsid w:val="5FFF6F3E"/>
    <w:rsid w:val="5FFFA1C4"/>
    <w:rsid w:val="5FFFB282"/>
    <w:rsid w:val="5FFFBB0F"/>
    <w:rsid w:val="6004301F"/>
    <w:rsid w:val="608A5EC3"/>
    <w:rsid w:val="60920D3C"/>
    <w:rsid w:val="61225778"/>
    <w:rsid w:val="62DA683D"/>
    <w:rsid w:val="62F9DC1F"/>
    <w:rsid w:val="63A30CB9"/>
    <w:rsid w:val="63AFF813"/>
    <w:rsid w:val="63F42CF2"/>
    <w:rsid w:val="648D6577"/>
    <w:rsid w:val="64DFB11B"/>
    <w:rsid w:val="6565979E"/>
    <w:rsid w:val="6597E980"/>
    <w:rsid w:val="65D612DA"/>
    <w:rsid w:val="65FFD2EB"/>
    <w:rsid w:val="667DC1BF"/>
    <w:rsid w:val="66BEA5D1"/>
    <w:rsid w:val="66DC4A17"/>
    <w:rsid w:val="66F3C287"/>
    <w:rsid w:val="66F73158"/>
    <w:rsid w:val="671F0847"/>
    <w:rsid w:val="67550FD9"/>
    <w:rsid w:val="675CDF69"/>
    <w:rsid w:val="6777F0F0"/>
    <w:rsid w:val="677F94E6"/>
    <w:rsid w:val="67AB8142"/>
    <w:rsid w:val="67B31AFA"/>
    <w:rsid w:val="67D7A838"/>
    <w:rsid w:val="67DE33DC"/>
    <w:rsid w:val="67DF81A9"/>
    <w:rsid w:val="67EF69AF"/>
    <w:rsid w:val="67FF64BD"/>
    <w:rsid w:val="67FFB144"/>
    <w:rsid w:val="683D198A"/>
    <w:rsid w:val="69733998"/>
    <w:rsid w:val="69FD92C5"/>
    <w:rsid w:val="69FF2363"/>
    <w:rsid w:val="6AA343B6"/>
    <w:rsid w:val="6AB6AAFD"/>
    <w:rsid w:val="6AF10865"/>
    <w:rsid w:val="6AF6DE1F"/>
    <w:rsid w:val="6AF828FD"/>
    <w:rsid w:val="6B26AE95"/>
    <w:rsid w:val="6B5E76D6"/>
    <w:rsid w:val="6B793326"/>
    <w:rsid w:val="6B7A305C"/>
    <w:rsid w:val="6BCF67BB"/>
    <w:rsid w:val="6BDB43A5"/>
    <w:rsid w:val="6BDF1904"/>
    <w:rsid w:val="6BDF2B02"/>
    <w:rsid w:val="6BEB4331"/>
    <w:rsid w:val="6BED904C"/>
    <w:rsid w:val="6BEFEA6C"/>
    <w:rsid w:val="6BF7CB23"/>
    <w:rsid w:val="6C74453B"/>
    <w:rsid w:val="6C89162F"/>
    <w:rsid w:val="6CDE5020"/>
    <w:rsid w:val="6CEF216E"/>
    <w:rsid w:val="6CFE5F65"/>
    <w:rsid w:val="6CFFBA0B"/>
    <w:rsid w:val="6D265075"/>
    <w:rsid w:val="6D3E78C0"/>
    <w:rsid w:val="6D714D4D"/>
    <w:rsid w:val="6D9B526C"/>
    <w:rsid w:val="6D9CFC7E"/>
    <w:rsid w:val="6DB50625"/>
    <w:rsid w:val="6DB854D9"/>
    <w:rsid w:val="6DD744A7"/>
    <w:rsid w:val="6DFDB33B"/>
    <w:rsid w:val="6DFF9C7B"/>
    <w:rsid w:val="6DFFBC17"/>
    <w:rsid w:val="6E3F8DD3"/>
    <w:rsid w:val="6E645517"/>
    <w:rsid w:val="6EBD1AAA"/>
    <w:rsid w:val="6EBED6D5"/>
    <w:rsid w:val="6ECA1356"/>
    <w:rsid w:val="6EDBBFFD"/>
    <w:rsid w:val="6EF03E78"/>
    <w:rsid w:val="6F2B4CD8"/>
    <w:rsid w:val="6F3CEEB6"/>
    <w:rsid w:val="6F6F9B37"/>
    <w:rsid w:val="6F79F453"/>
    <w:rsid w:val="6F7DFEBD"/>
    <w:rsid w:val="6F7F1E4F"/>
    <w:rsid w:val="6F7FCC20"/>
    <w:rsid w:val="6FACDB2B"/>
    <w:rsid w:val="6FAF50A6"/>
    <w:rsid w:val="6FBAC5E5"/>
    <w:rsid w:val="6FBFB665"/>
    <w:rsid w:val="6FCFAE0A"/>
    <w:rsid w:val="6FD1D765"/>
    <w:rsid w:val="6FD6FDC6"/>
    <w:rsid w:val="6FDB184C"/>
    <w:rsid w:val="6FDEA5E8"/>
    <w:rsid w:val="6FDF8AD7"/>
    <w:rsid w:val="6FE87451"/>
    <w:rsid w:val="6FF61EF6"/>
    <w:rsid w:val="6FF6BFE9"/>
    <w:rsid w:val="6FF7A61A"/>
    <w:rsid w:val="6FF7F1E6"/>
    <w:rsid w:val="6FFD919F"/>
    <w:rsid w:val="6FFE1B0C"/>
    <w:rsid w:val="6FFE2679"/>
    <w:rsid w:val="6FFF2D4B"/>
    <w:rsid w:val="6FFF4A67"/>
    <w:rsid w:val="70445E80"/>
    <w:rsid w:val="705B5186"/>
    <w:rsid w:val="71042290"/>
    <w:rsid w:val="710B095A"/>
    <w:rsid w:val="711C1764"/>
    <w:rsid w:val="717B472E"/>
    <w:rsid w:val="71B041AF"/>
    <w:rsid w:val="71BBBF4A"/>
    <w:rsid w:val="71EC9C23"/>
    <w:rsid w:val="71FC2881"/>
    <w:rsid w:val="727D7636"/>
    <w:rsid w:val="729FB07C"/>
    <w:rsid w:val="72B53BBA"/>
    <w:rsid w:val="733694F8"/>
    <w:rsid w:val="73DF17B3"/>
    <w:rsid w:val="73FEF5BD"/>
    <w:rsid w:val="743F3535"/>
    <w:rsid w:val="74850A24"/>
    <w:rsid w:val="74AE67C1"/>
    <w:rsid w:val="754B847B"/>
    <w:rsid w:val="754D5AA2"/>
    <w:rsid w:val="756A7825"/>
    <w:rsid w:val="756F314B"/>
    <w:rsid w:val="757C2695"/>
    <w:rsid w:val="759F3253"/>
    <w:rsid w:val="75DE0066"/>
    <w:rsid w:val="75EF6EC8"/>
    <w:rsid w:val="75F728F1"/>
    <w:rsid w:val="75F769BA"/>
    <w:rsid w:val="75FC3A6A"/>
    <w:rsid w:val="75FE7C71"/>
    <w:rsid w:val="75FEE4E5"/>
    <w:rsid w:val="75FF0002"/>
    <w:rsid w:val="761B12C1"/>
    <w:rsid w:val="76BD7FB9"/>
    <w:rsid w:val="76DA0954"/>
    <w:rsid w:val="76E4715B"/>
    <w:rsid w:val="76FDBE97"/>
    <w:rsid w:val="77075720"/>
    <w:rsid w:val="776970C0"/>
    <w:rsid w:val="776B3CBD"/>
    <w:rsid w:val="776DD1E5"/>
    <w:rsid w:val="777B91D2"/>
    <w:rsid w:val="7782132C"/>
    <w:rsid w:val="779D7E32"/>
    <w:rsid w:val="77B506F1"/>
    <w:rsid w:val="77B682F7"/>
    <w:rsid w:val="77BF378A"/>
    <w:rsid w:val="77BF7886"/>
    <w:rsid w:val="77CE3069"/>
    <w:rsid w:val="77D88B69"/>
    <w:rsid w:val="77DB9043"/>
    <w:rsid w:val="77E74A37"/>
    <w:rsid w:val="77FB63BB"/>
    <w:rsid w:val="77FB718A"/>
    <w:rsid w:val="77FE0681"/>
    <w:rsid w:val="77FF3FD6"/>
    <w:rsid w:val="77FFD5DC"/>
    <w:rsid w:val="77FFD787"/>
    <w:rsid w:val="785B576A"/>
    <w:rsid w:val="78774B27"/>
    <w:rsid w:val="78AE4455"/>
    <w:rsid w:val="78F65FB6"/>
    <w:rsid w:val="791E46C5"/>
    <w:rsid w:val="793B7903"/>
    <w:rsid w:val="797EAE71"/>
    <w:rsid w:val="79AE27CB"/>
    <w:rsid w:val="79DE60FF"/>
    <w:rsid w:val="79FBAA59"/>
    <w:rsid w:val="79FF782B"/>
    <w:rsid w:val="79FFD869"/>
    <w:rsid w:val="7A71C983"/>
    <w:rsid w:val="7ABFF5D1"/>
    <w:rsid w:val="7ACCD912"/>
    <w:rsid w:val="7AEABAA8"/>
    <w:rsid w:val="7AECA1F1"/>
    <w:rsid w:val="7AF7F4C8"/>
    <w:rsid w:val="7B3F958A"/>
    <w:rsid w:val="7B427F36"/>
    <w:rsid w:val="7B525C37"/>
    <w:rsid w:val="7B59D48F"/>
    <w:rsid w:val="7B77E435"/>
    <w:rsid w:val="7B9BFD50"/>
    <w:rsid w:val="7BAF7FDD"/>
    <w:rsid w:val="7BBB3B9B"/>
    <w:rsid w:val="7BBB7943"/>
    <w:rsid w:val="7BBF268A"/>
    <w:rsid w:val="7BC6204D"/>
    <w:rsid w:val="7BCF095B"/>
    <w:rsid w:val="7BCFAF3F"/>
    <w:rsid w:val="7BD740B6"/>
    <w:rsid w:val="7BE4A644"/>
    <w:rsid w:val="7BECBD5E"/>
    <w:rsid w:val="7BEFA03F"/>
    <w:rsid w:val="7BEFC472"/>
    <w:rsid w:val="7BF55460"/>
    <w:rsid w:val="7BF658CC"/>
    <w:rsid w:val="7BFAF6F5"/>
    <w:rsid w:val="7BFD3F94"/>
    <w:rsid w:val="7BFEDE25"/>
    <w:rsid w:val="7BFF7DA2"/>
    <w:rsid w:val="7BFFAA7F"/>
    <w:rsid w:val="7BFFC2F8"/>
    <w:rsid w:val="7C1BCD30"/>
    <w:rsid w:val="7C6FD7A3"/>
    <w:rsid w:val="7C974DAF"/>
    <w:rsid w:val="7C9FA705"/>
    <w:rsid w:val="7CAF68BB"/>
    <w:rsid w:val="7CCF08D7"/>
    <w:rsid w:val="7CEF34C0"/>
    <w:rsid w:val="7CF766AD"/>
    <w:rsid w:val="7CFE0B2C"/>
    <w:rsid w:val="7CFF17D1"/>
    <w:rsid w:val="7D3D678F"/>
    <w:rsid w:val="7D3EBDFD"/>
    <w:rsid w:val="7D4F17C0"/>
    <w:rsid w:val="7D5F09D1"/>
    <w:rsid w:val="7D761636"/>
    <w:rsid w:val="7D7F3892"/>
    <w:rsid w:val="7D7F53A3"/>
    <w:rsid w:val="7D9E8636"/>
    <w:rsid w:val="7DAF1609"/>
    <w:rsid w:val="7DAF571B"/>
    <w:rsid w:val="7DBCC9F8"/>
    <w:rsid w:val="7DC79A0F"/>
    <w:rsid w:val="7DC7FEAE"/>
    <w:rsid w:val="7DD784F3"/>
    <w:rsid w:val="7DDA3667"/>
    <w:rsid w:val="7DDC8189"/>
    <w:rsid w:val="7DDD02A5"/>
    <w:rsid w:val="7DDD936E"/>
    <w:rsid w:val="7DDFEEC8"/>
    <w:rsid w:val="7DF369A1"/>
    <w:rsid w:val="7DF7011E"/>
    <w:rsid w:val="7DF99FDF"/>
    <w:rsid w:val="7DF9D301"/>
    <w:rsid w:val="7DFB64B3"/>
    <w:rsid w:val="7DFBF617"/>
    <w:rsid w:val="7DFD1D1F"/>
    <w:rsid w:val="7DFE9093"/>
    <w:rsid w:val="7DFEC43C"/>
    <w:rsid w:val="7DFF979E"/>
    <w:rsid w:val="7DFFD495"/>
    <w:rsid w:val="7DFFF398"/>
    <w:rsid w:val="7DFFFF1E"/>
    <w:rsid w:val="7E4A7341"/>
    <w:rsid w:val="7E5DE123"/>
    <w:rsid w:val="7E7D5D84"/>
    <w:rsid w:val="7E7F3665"/>
    <w:rsid w:val="7E7F4D9C"/>
    <w:rsid w:val="7E85BF34"/>
    <w:rsid w:val="7E910A8D"/>
    <w:rsid w:val="7EB2F1A6"/>
    <w:rsid w:val="7EB349AD"/>
    <w:rsid w:val="7EB6C63F"/>
    <w:rsid w:val="7EBB2D53"/>
    <w:rsid w:val="7EBD16D2"/>
    <w:rsid w:val="7ECFE83B"/>
    <w:rsid w:val="7ED72962"/>
    <w:rsid w:val="7EDA51E1"/>
    <w:rsid w:val="7EDB33D3"/>
    <w:rsid w:val="7EEDCA17"/>
    <w:rsid w:val="7EEDEDD0"/>
    <w:rsid w:val="7EF3B29A"/>
    <w:rsid w:val="7EFB7D40"/>
    <w:rsid w:val="7EFC5661"/>
    <w:rsid w:val="7EFE3B00"/>
    <w:rsid w:val="7EFF24CF"/>
    <w:rsid w:val="7EFF5C10"/>
    <w:rsid w:val="7EFF8B5D"/>
    <w:rsid w:val="7EFF9AAE"/>
    <w:rsid w:val="7EFFAEFB"/>
    <w:rsid w:val="7F05D170"/>
    <w:rsid w:val="7F1B6520"/>
    <w:rsid w:val="7F2B1768"/>
    <w:rsid w:val="7F33D521"/>
    <w:rsid w:val="7F37374F"/>
    <w:rsid w:val="7F374C53"/>
    <w:rsid w:val="7F3F50F1"/>
    <w:rsid w:val="7F3FA11C"/>
    <w:rsid w:val="7F4B1E7C"/>
    <w:rsid w:val="7F4FD834"/>
    <w:rsid w:val="7F576C47"/>
    <w:rsid w:val="7F5F3797"/>
    <w:rsid w:val="7F6B5CE6"/>
    <w:rsid w:val="7F6DB752"/>
    <w:rsid w:val="7F6F2F9F"/>
    <w:rsid w:val="7F6F66F8"/>
    <w:rsid w:val="7F6FBD46"/>
    <w:rsid w:val="7F6FE163"/>
    <w:rsid w:val="7F7327C2"/>
    <w:rsid w:val="7F75065C"/>
    <w:rsid w:val="7F7D5A4E"/>
    <w:rsid w:val="7F7E8C31"/>
    <w:rsid w:val="7F7F9434"/>
    <w:rsid w:val="7F7F96E8"/>
    <w:rsid w:val="7F7FB06F"/>
    <w:rsid w:val="7F933C5A"/>
    <w:rsid w:val="7F942210"/>
    <w:rsid w:val="7F9C0C87"/>
    <w:rsid w:val="7F9C2CC4"/>
    <w:rsid w:val="7F9F588B"/>
    <w:rsid w:val="7FA219AA"/>
    <w:rsid w:val="7FADE3A0"/>
    <w:rsid w:val="7FAFC38E"/>
    <w:rsid w:val="7FB3A74E"/>
    <w:rsid w:val="7FB7ADD3"/>
    <w:rsid w:val="7FBB0E1B"/>
    <w:rsid w:val="7FBB3E29"/>
    <w:rsid w:val="7FBCE82B"/>
    <w:rsid w:val="7FBF2831"/>
    <w:rsid w:val="7FBF9599"/>
    <w:rsid w:val="7FBFC5B8"/>
    <w:rsid w:val="7FC45B5E"/>
    <w:rsid w:val="7FC468A4"/>
    <w:rsid w:val="7FC6934E"/>
    <w:rsid w:val="7FCF87F9"/>
    <w:rsid w:val="7FD50703"/>
    <w:rsid w:val="7FD59F66"/>
    <w:rsid w:val="7FD7B89C"/>
    <w:rsid w:val="7FDBC184"/>
    <w:rsid w:val="7FDD08F7"/>
    <w:rsid w:val="7FDE53F4"/>
    <w:rsid w:val="7FDE6CCD"/>
    <w:rsid w:val="7FDF1E08"/>
    <w:rsid w:val="7FDF5405"/>
    <w:rsid w:val="7FE7317F"/>
    <w:rsid w:val="7FE76965"/>
    <w:rsid w:val="7FEB9590"/>
    <w:rsid w:val="7FEBD8BC"/>
    <w:rsid w:val="7FEF3938"/>
    <w:rsid w:val="7FEF9B80"/>
    <w:rsid w:val="7FEFB28A"/>
    <w:rsid w:val="7FF286AB"/>
    <w:rsid w:val="7FF3500D"/>
    <w:rsid w:val="7FF49565"/>
    <w:rsid w:val="7FF58DDA"/>
    <w:rsid w:val="7FF9C0C0"/>
    <w:rsid w:val="7FF9CBE9"/>
    <w:rsid w:val="7FFB72D0"/>
    <w:rsid w:val="7FFBB85E"/>
    <w:rsid w:val="7FFBFDBF"/>
    <w:rsid w:val="7FFC377A"/>
    <w:rsid w:val="7FFC93B9"/>
    <w:rsid w:val="7FFCC2F9"/>
    <w:rsid w:val="7FFD8135"/>
    <w:rsid w:val="7FFD854E"/>
    <w:rsid w:val="7FFE1F5E"/>
    <w:rsid w:val="7FFE30BA"/>
    <w:rsid w:val="7FFF1B9B"/>
    <w:rsid w:val="7FFF49BF"/>
    <w:rsid w:val="7FFF77EE"/>
    <w:rsid w:val="7FFF82FD"/>
    <w:rsid w:val="7FFFFD5E"/>
    <w:rsid w:val="8D9FFEE8"/>
    <w:rsid w:val="8DFF67B0"/>
    <w:rsid w:val="8F6FD51A"/>
    <w:rsid w:val="8FB35B80"/>
    <w:rsid w:val="93BF9B53"/>
    <w:rsid w:val="94E18266"/>
    <w:rsid w:val="96F603F7"/>
    <w:rsid w:val="97375D13"/>
    <w:rsid w:val="97F7966C"/>
    <w:rsid w:val="99FFF18B"/>
    <w:rsid w:val="99FFF911"/>
    <w:rsid w:val="9BFFCE5B"/>
    <w:rsid w:val="9C74FD07"/>
    <w:rsid w:val="9D374CC7"/>
    <w:rsid w:val="9D7D53A7"/>
    <w:rsid w:val="9DEF6A5A"/>
    <w:rsid w:val="9E34E811"/>
    <w:rsid w:val="9E5F3B43"/>
    <w:rsid w:val="9F8D6B16"/>
    <w:rsid w:val="9FF9A152"/>
    <w:rsid w:val="9FFD6A54"/>
    <w:rsid w:val="9FFE46A0"/>
    <w:rsid w:val="9FFE7BD0"/>
    <w:rsid w:val="9FFF077D"/>
    <w:rsid w:val="9FFF97C9"/>
    <w:rsid w:val="A15DCB5A"/>
    <w:rsid w:val="A16782ED"/>
    <w:rsid w:val="A2E9026E"/>
    <w:rsid w:val="A3ED03F0"/>
    <w:rsid w:val="A3EF6A25"/>
    <w:rsid w:val="A5CF0D4C"/>
    <w:rsid w:val="A64A05E4"/>
    <w:rsid w:val="A6EEF8CC"/>
    <w:rsid w:val="A95FFDF1"/>
    <w:rsid w:val="AAFDD565"/>
    <w:rsid w:val="AB22C6FA"/>
    <w:rsid w:val="AB7FE89D"/>
    <w:rsid w:val="ADD63F42"/>
    <w:rsid w:val="AEB77811"/>
    <w:rsid w:val="AECF359B"/>
    <w:rsid w:val="AED38D05"/>
    <w:rsid w:val="AEF85348"/>
    <w:rsid w:val="AEFE876B"/>
    <w:rsid w:val="AEFF8DF0"/>
    <w:rsid w:val="AEFFE182"/>
    <w:rsid w:val="AFCD6EEF"/>
    <w:rsid w:val="AFF46019"/>
    <w:rsid w:val="AFFF1F22"/>
    <w:rsid w:val="B0B919CB"/>
    <w:rsid w:val="B0BEF232"/>
    <w:rsid w:val="B0DE7C14"/>
    <w:rsid w:val="B33FD52D"/>
    <w:rsid w:val="B3BF527B"/>
    <w:rsid w:val="B3FF0A75"/>
    <w:rsid w:val="B6F49A31"/>
    <w:rsid w:val="B73D3AFC"/>
    <w:rsid w:val="B74A1BFD"/>
    <w:rsid w:val="B77F1D9C"/>
    <w:rsid w:val="B7861478"/>
    <w:rsid w:val="B7B71C23"/>
    <w:rsid w:val="B7EC800D"/>
    <w:rsid w:val="B7F5E5CA"/>
    <w:rsid w:val="B7FB3351"/>
    <w:rsid w:val="B7FF4ACB"/>
    <w:rsid w:val="B7FF4F3A"/>
    <w:rsid w:val="B7FFA23A"/>
    <w:rsid w:val="B8F7B852"/>
    <w:rsid w:val="B8FF4E09"/>
    <w:rsid w:val="B97377C5"/>
    <w:rsid w:val="B97E1F6B"/>
    <w:rsid w:val="B9FB8F61"/>
    <w:rsid w:val="BABF1E9E"/>
    <w:rsid w:val="BAFBCB66"/>
    <w:rsid w:val="BB28C152"/>
    <w:rsid w:val="BB3B49A9"/>
    <w:rsid w:val="BB77E093"/>
    <w:rsid w:val="BB79F0E8"/>
    <w:rsid w:val="BBB90825"/>
    <w:rsid w:val="BBEBB27A"/>
    <w:rsid w:val="BBEE0192"/>
    <w:rsid w:val="BBF5A28A"/>
    <w:rsid w:val="BBFD23F5"/>
    <w:rsid w:val="BBFDE05B"/>
    <w:rsid w:val="BBFED913"/>
    <w:rsid w:val="BBFF236B"/>
    <w:rsid w:val="BD3D16BF"/>
    <w:rsid w:val="BD6DBFA0"/>
    <w:rsid w:val="BDDD025F"/>
    <w:rsid w:val="BDEEFD45"/>
    <w:rsid w:val="BDF78318"/>
    <w:rsid w:val="BDFF08BB"/>
    <w:rsid w:val="BE7D6112"/>
    <w:rsid w:val="BE7E8957"/>
    <w:rsid w:val="BEB4BDE6"/>
    <w:rsid w:val="BEBF7556"/>
    <w:rsid w:val="BECD258E"/>
    <w:rsid w:val="BEFF170A"/>
    <w:rsid w:val="BF3F4CA2"/>
    <w:rsid w:val="BF5C16C1"/>
    <w:rsid w:val="BF7F1AD2"/>
    <w:rsid w:val="BFB69314"/>
    <w:rsid w:val="BFBEE5A2"/>
    <w:rsid w:val="BFC713CE"/>
    <w:rsid w:val="BFEFEE90"/>
    <w:rsid w:val="BFFB1FDE"/>
    <w:rsid w:val="BFFB9B3B"/>
    <w:rsid w:val="BFFDA345"/>
    <w:rsid w:val="BFFEC18C"/>
    <w:rsid w:val="BFFF7B73"/>
    <w:rsid w:val="C53EFA8F"/>
    <w:rsid w:val="C787E456"/>
    <w:rsid w:val="C7D7C6AA"/>
    <w:rsid w:val="C7E71591"/>
    <w:rsid w:val="C7FF6631"/>
    <w:rsid w:val="CB79D3C3"/>
    <w:rsid w:val="CBFE179A"/>
    <w:rsid w:val="CCBFED94"/>
    <w:rsid w:val="CCFE67FE"/>
    <w:rsid w:val="CDFF3C25"/>
    <w:rsid w:val="CDFFDEF6"/>
    <w:rsid w:val="CEF434F0"/>
    <w:rsid w:val="CEFD0BE1"/>
    <w:rsid w:val="CEFF0E57"/>
    <w:rsid w:val="CEFFFD95"/>
    <w:rsid w:val="CF3BC05B"/>
    <w:rsid w:val="CF6EEAD5"/>
    <w:rsid w:val="CFBCD9E7"/>
    <w:rsid w:val="CFBFA188"/>
    <w:rsid w:val="CFE411C9"/>
    <w:rsid w:val="CFFB484C"/>
    <w:rsid w:val="CFFBE29A"/>
    <w:rsid w:val="D1DF1E58"/>
    <w:rsid w:val="D2D7F132"/>
    <w:rsid w:val="D353B270"/>
    <w:rsid w:val="D3DF06B8"/>
    <w:rsid w:val="D5FD6B9B"/>
    <w:rsid w:val="D6698FE4"/>
    <w:rsid w:val="D67FE14D"/>
    <w:rsid w:val="D6D74AE6"/>
    <w:rsid w:val="D6EFAD74"/>
    <w:rsid w:val="D71FF13A"/>
    <w:rsid w:val="D73A1D94"/>
    <w:rsid w:val="D75FDA64"/>
    <w:rsid w:val="D776037F"/>
    <w:rsid w:val="D7D7BD3C"/>
    <w:rsid w:val="D7EFFD09"/>
    <w:rsid w:val="D7FB9C66"/>
    <w:rsid w:val="D7FBDA8E"/>
    <w:rsid w:val="D7FCF921"/>
    <w:rsid w:val="D97D7B60"/>
    <w:rsid w:val="D9C7CDB8"/>
    <w:rsid w:val="D9D9097C"/>
    <w:rsid w:val="DA67D358"/>
    <w:rsid w:val="DB5B58ED"/>
    <w:rsid w:val="DBCEFB98"/>
    <w:rsid w:val="DBDE03C6"/>
    <w:rsid w:val="DBF383D7"/>
    <w:rsid w:val="DBF757DB"/>
    <w:rsid w:val="DBF7F320"/>
    <w:rsid w:val="DBFB338A"/>
    <w:rsid w:val="DC731F6D"/>
    <w:rsid w:val="DCD79A75"/>
    <w:rsid w:val="DCDD8B9B"/>
    <w:rsid w:val="DD772335"/>
    <w:rsid w:val="DDAB440D"/>
    <w:rsid w:val="DDBF8B9D"/>
    <w:rsid w:val="DDC38E72"/>
    <w:rsid w:val="DDD79BD8"/>
    <w:rsid w:val="DDF44EA1"/>
    <w:rsid w:val="DDFBC6EE"/>
    <w:rsid w:val="DE6DCD1F"/>
    <w:rsid w:val="DE7F8832"/>
    <w:rsid w:val="DEBDFC51"/>
    <w:rsid w:val="DEDD9858"/>
    <w:rsid w:val="DEE84B83"/>
    <w:rsid w:val="DEEF68F5"/>
    <w:rsid w:val="DEFBCFDC"/>
    <w:rsid w:val="DEFF2D4C"/>
    <w:rsid w:val="DEFFD126"/>
    <w:rsid w:val="DF3FAA81"/>
    <w:rsid w:val="DF6FA601"/>
    <w:rsid w:val="DF6FC28F"/>
    <w:rsid w:val="DF750BCD"/>
    <w:rsid w:val="DF7C41F7"/>
    <w:rsid w:val="DF891F66"/>
    <w:rsid w:val="DF95AF6E"/>
    <w:rsid w:val="DF9FA9A1"/>
    <w:rsid w:val="DFB7C284"/>
    <w:rsid w:val="DFBBB04B"/>
    <w:rsid w:val="DFBE38F9"/>
    <w:rsid w:val="DFDBB725"/>
    <w:rsid w:val="DFDFB9FE"/>
    <w:rsid w:val="DFDFFB66"/>
    <w:rsid w:val="DFF3741C"/>
    <w:rsid w:val="DFF730EA"/>
    <w:rsid w:val="DFF78A4F"/>
    <w:rsid w:val="DFF9CA48"/>
    <w:rsid w:val="DFFE5456"/>
    <w:rsid w:val="E1E2AF4F"/>
    <w:rsid w:val="E3BF832D"/>
    <w:rsid w:val="E3FD1390"/>
    <w:rsid w:val="E3FF3C7F"/>
    <w:rsid w:val="E47A8668"/>
    <w:rsid w:val="E4BBC74D"/>
    <w:rsid w:val="E4BFF5FA"/>
    <w:rsid w:val="E57E358C"/>
    <w:rsid w:val="E5DF44D2"/>
    <w:rsid w:val="E5DF996B"/>
    <w:rsid w:val="E69FE65E"/>
    <w:rsid w:val="E73E98D2"/>
    <w:rsid w:val="E772FB3D"/>
    <w:rsid w:val="E7975A33"/>
    <w:rsid w:val="E7A71296"/>
    <w:rsid w:val="E7CFA36C"/>
    <w:rsid w:val="E7F54BC4"/>
    <w:rsid w:val="E7FFA82A"/>
    <w:rsid w:val="E8BFEACD"/>
    <w:rsid w:val="E9BFB38A"/>
    <w:rsid w:val="EAFEEDC8"/>
    <w:rsid w:val="EB3A2BC8"/>
    <w:rsid w:val="EB7D48AC"/>
    <w:rsid w:val="EB7FC1AB"/>
    <w:rsid w:val="EBDD3012"/>
    <w:rsid w:val="EBEB6DD6"/>
    <w:rsid w:val="EBFB4791"/>
    <w:rsid w:val="EBFE3F41"/>
    <w:rsid w:val="ECBA09BE"/>
    <w:rsid w:val="ECE54688"/>
    <w:rsid w:val="ED3584B4"/>
    <w:rsid w:val="ED5AEA48"/>
    <w:rsid w:val="EDBE4C0F"/>
    <w:rsid w:val="EDD54DDF"/>
    <w:rsid w:val="EDDFAED2"/>
    <w:rsid w:val="EDF96367"/>
    <w:rsid w:val="EDFB0E30"/>
    <w:rsid w:val="EDFBB2FD"/>
    <w:rsid w:val="EDFEDEB5"/>
    <w:rsid w:val="EDFFA5F3"/>
    <w:rsid w:val="EE2B0EE9"/>
    <w:rsid w:val="EE5EBA5C"/>
    <w:rsid w:val="EE7F3328"/>
    <w:rsid w:val="EE7FC9F4"/>
    <w:rsid w:val="EEB7B614"/>
    <w:rsid w:val="EEF6B240"/>
    <w:rsid w:val="EEF6EDD4"/>
    <w:rsid w:val="EF3A60F7"/>
    <w:rsid w:val="EF3E6A70"/>
    <w:rsid w:val="EF4C63EB"/>
    <w:rsid w:val="EF570B43"/>
    <w:rsid w:val="EF5EB496"/>
    <w:rsid w:val="EF7DA01E"/>
    <w:rsid w:val="EF7E59C7"/>
    <w:rsid w:val="EF9E7CA9"/>
    <w:rsid w:val="EFBD51E9"/>
    <w:rsid w:val="EFBF1154"/>
    <w:rsid w:val="EFBFFC22"/>
    <w:rsid w:val="EFCF1159"/>
    <w:rsid w:val="EFD51FDB"/>
    <w:rsid w:val="EFD649C0"/>
    <w:rsid w:val="EFDB004E"/>
    <w:rsid w:val="EFDB83A9"/>
    <w:rsid w:val="EFDC7317"/>
    <w:rsid w:val="EFEBB7BA"/>
    <w:rsid w:val="EFEE05B5"/>
    <w:rsid w:val="EFF3D71E"/>
    <w:rsid w:val="EFF7AE5B"/>
    <w:rsid w:val="EFF9B878"/>
    <w:rsid w:val="EFFBB2BF"/>
    <w:rsid w:val="EFFBB332"/>
    <w:rsid w:val="EFFC8E48"/>
    <w:rsid w:val="EFFDDDC0"/>
    <w:rsid w:val="F19729E1"/>
    <w:rsid w:val="F2DFA15D"/>
    <w:rsid w:val="F37D70D9"/>
    <w:rsid w:val="F3BDF6F8"/>
    <w:rsid w:val="F3BF9559"/>
    <w:rsid w:val="F3DB9E74"/>
    <w:rsid w:val="F3EC1020"/>
    <w:rsid w:val="F3FB2769"/>
    <w:rsid w:val="F3FD4BD8"/>
    <w:rsid w:val="F3FEB245"/>
    <w:rsid w:val="F3FF4888"/>
    <w:rsid w:val="F3FF7313"/>
    <w:rsid w:val="F4FDAC36"/>
    <w:rsid w:val="F56FFD99"/>
    <w:rsid w:val="F578DEA9"/>
    <w:rsid w:val="F57D80C2"/>
    <w:rsid w:val="F5A6FAB2"/>
    <w:rsid w:val="F5BD25CA"/>
    <w:rsid w:val="F5BFC38E"/>
    <w:rsid w:val="F5DDE00C"/>
    <w:rsid w:val="F5ED59BE"/>
    <w:rsid w:val="F5F5E510"/>
    <w:rsid w:val="F5FA480E"/>
    <w:rsid w:val="F5FED98C"/>
    <w:rsid w:val="F5FF54A3"/>
    <w:rsid w:val="F66ED806"/>
    <w:rsid w:val="F66FF0C4"/>
    <w:rsid w:val="F67F4D98"/>
    <w:rsid w:val="F6BB3242"/>
    <w:rsid w:val="F6BBEE3A"/>
    <w:rsid w:val="F6C79109"/>
    <w:rsid w:val="F6D344D4"/>
    <w:rsid w:val="F6DC9A90"/>
    <w:rsid w:val="F6E7A6B9"/>
    <w:rsid w:val="F6FA9BB0"/>
    <w:rsid w:val="F6FFCCA0"/>
    <w:rsid w:val="F73FFB86"/>
    <w:rsid w:val="F76B5F3E"/>
    <w:rsid w:val="F76D1472"/>
    <w:rsid w:val="F7BFA75C"/>
    <w:rsid w:val="F7D55553"/>
    <w:rsid w:val="F7E7B038"/>
    <w:rsid w:val="F7EB9E18"/>
    <w:rsid w:val="F7EE2E45"/>
    <w:rsid w:val="F7F3C19D"/>
    <w:rsid w:val="F7F97F4C"/>
    <w:rsid w:val="F7FB2DA9"/>
    <w:rsid w:val="F7FC0651"/>
    <w:rsid w:val="F7FF48AF"/>
    <w:rsid w:val="F7FF77A5"/>
    <w:rsid w:val="F84F6BCA"/>
    <w:rsid w:val="F947E6F8"/>
    <w:rsid w:val="F95B1724"/>
    <w:rsid w:val="F9C7D009"/>
    <w:rsid w:val="F9DE0C82"/>
    <w:rsid w:val="F9F6F188"/>
    <w:rsid w:val="F9F7C2DE"/>
    <w:rsid w:val="F9FBA1FD"/>
    <w:rsid w:val="FA1A8C87"/>
    <w:rsid w:val="FA5F28DA"/>
    <w:rsid w:val="FA770C3E"/>
    <w:rsid w:val="FA7CB5F9"/>
    <w:rsid w:val="FAB2A516"/>
    <w:rsid w:val="FAFD5022"/>
    <w:rsid w:val="FAFE4C17"/>
    <w:rsid w:val="FAFF2CAB"/>
    <w:rsid w:val="FB353988"/>
    <w:rsid w:val="FB37831A"/>
    <w:rsid w:val="FB5FDB16"/>
    <w:rsid w:val="FB761826"/>
    <w:rsid w:val="FB7B23E2"/>
    <w:rsid w:val="FBAFBA5F"/>
    <w:rsid w:val="FBB0E278"/>
    <w:rsid w:val="FBB4B03D"/>
    <w:rsid w:val="FBBAC5F4"/>
    <w:rsid w:val="FBCA2701"/>
    <w:rsid w:val="FBD32E91"/>
    <w:rsid w:val="FBEB5B89"/>
    <w:rsid w:val="FBEEEE22"/>
    <w:rsid w:val="FBF35A1C"/>
    <w:rsid w:val="FBF3C4F3"/>
    <w:rsid w:val="FBF52CA8"/>
    <w:rsid w:val="FBF6D388"/>
    <w:rsid w:val="FBF81654"/>
    <w:rsid w:val="FBFB1268"/>
    <w:rsid w:val="FBFDD31B"/>
    <w:rsid w:val="FBFE2CCB"/>
    <w:rsid w:val="FBFF66B1"/>
    <w:rsid w:val="FBFF7972"/>
    <w:rsid w:val="FC7F06E1"/>
    <w:rsid w:val="FCB73164"/>
    <w:rsid w:val="FCB9850F"/>
    <w:rsid w:val="FCFA55D1"/>
    <w:rsid w:val="FCFB3BFF"/>
    <w:rsid w:val="FCFC1072"/>
    <w:rsid w:val="FCFF597E"/>
    <w:rsid w:val="FD411F61"/>
    <w:rsid w:val="FD7462A5"/>
    <w:rsid w:val="FD7B9578"/>
    <w:rsid w:val="FD7EC8D2"/>
    <w:rsid w:val="FDB02A90"/>
    <w:rsid w:val="FDBD03C9"/>
    <w:rsid w:val="FDBF0559"/>
    <w:rsid w:val="FDBF0EB3"/>
    <w:rsid w:val="FDBFE0F4"/>
    <w:rsid w:val="FDCD25D2"/>
    <w:rsid w:val="FDCF5887"/>
    <w:rsid w:val="FDDCECF0"/>
    <w:rsid w:val="FDEB76A3"/>
    <w:rsid w:val="FDEE3C07"/>
    <w:rsid w:val="FDF70207"/>
    <w:rsid w:val="FDF7C9CA"/>
    <w:rsid w:val="FDFB874C"/>
    <w:rsid w:val="FDFEB004"/>
    <w:rsid w:val="FDFF3BD8"/>
    <w:rsid w:val="FDFF5147"/>
    <w:rsid w:val="FDFF81C1"/>
    <w:rsid w:val="FDFF84D4"/>
    <w:rsid w:val="FE3E2DE8"/>
    <w:rsid w:val="FE5B511C"/>
    <w:rsid w:val="FE639D78"/>
    <w:rsid w:val="FE6F15F4"/>
    <w:rsid w:val="FE6FB8F4"/>
    <w:rsid w:val="FE791E90"/>
    <w:rsid w:val="FE9E4482"/>
    <w:rsid w:val="FEBA7528"/>
    <w:rsid w:val="FEBCC523"/>
    <w:rsid w:val="FEBFF021"/>
    <w:rsid w:val="FEDB6F1E"/>
    <w:rsid w:val="FEEA10A3"/>
    <w:rsid w:val="FEEDB980"/>
    <w:rsid w:val="FEEECE37"/>
    <w:rsid w:val="FEEEEDC1"/>
    <w:rsid w:val="FEF76BD3"/>
    <w:rsid w:val="FEF7F4AB"/>
    <w:rsid w:val="FEFAD0F8"/>
    <w:rsid w:val="FEFC0CCB"/>
    <w:rsid w:val="FEFC12E5"/>
    <w:rsid w:val="FEFC9427"/>
    <w:rsid w:val="FEFEE61A"/>
    <w:rsid w:val="FEFF199F"/>
    <w:rsid w:val="FEFFB4B8"/>
    <w:rsid w:val="FF1E8F36"/>
    <w:rsid w:val="FF2A26BC"/>
    <w:rsid w:val="FF3D4CCF"/>
    <w:rsid w:val="FF3FCECD"/>
    <w:rsid w:val="FF52375B"/>
    <w:rsid w:val="FF53FF38"/>
    <w:rsid w:val="FF57B32D"/>
    <w:rsid w:val="FF5B46D6"/>
    <w:rsid w:val="FF770AF0"/>
    <w:rsid w:val="FF7AE14D"/>
    <w:rsid w:val="FF7BBBA7"/>
    <w:rsid w:val="FF7D9DF9"/>
    <w:rsid w:val="FF7F4875"/>
    <w:rsid w:val="FF7F5E02"/>
    <w:rsid w:val="FF7F851A"/>
    <w:rsid w:val="FF9DBFED"/>
    <w:rsid w:val="FFA7A4FA"/>
    <w:rsid w:val="FFAA93DB"/>
    <w:rsid w:val="FFAB09E8"/>
    <w:rsid w:val="FFB5FA03"/>
    <w:rsid w:val="FFB710DF"/>
    <w:rsid w:val="FFB8B9E1"/>
    <w:rsid w:val="FFBB3901"/>
    <w:rsid w:val="FFBB7EAD"/>
    <w:rsid w:val="FFBD116E"/>
    <w:rsid w:val="FFBEE444"/>
    <w:rsid w:val="FFBF19B9"/>
    <w:rsid w:val="FFBF5C6D"/>
    <w:rsid w:val="FFBFAC64"/>
    <w:rsid w:val="FFCDEE64"/>
    <w:rsid w:val="FFCF87AD"/>
    <w:rsid w:val="FFCF9EA2"/>
    <w:rsid w:val="FFCFB67F"/>
    <w:rsid w:val="FFCFEE96"/>
    <w:rsid w:val="FFD662CA"/>
    <w:rsid w:val="FFD9DCB4"/>
    <w:rsid w:val="FFDE8917"/>
    <w:rsid w:val="FFDEAB6C"/>
    <w:rsid w:val="FFDF692A"/>
    <w:rsid w:val="FFDF6D78"/>
    <w:rsid w:val="FFDFF9A5"/>
    <w:rsid w:val="FFE55730"/>
    <w:rsid w:val="FFE66B95"/>
    <w:rsid w:val="FFE737CD"/>
    <w:rsid w:val="FFEB6A4E"/>
    <w:rsid w:val="FFEBB628"/>
    <w:rsid w:val="FFEF7932"/>
    <w:rsid w:val="FFEFEC9B"/>
    <w:rsid w:val="FFEFF8BF"/>
    <w:rsid w:val="FFF2E2E8"/>
    <w:rsid w:val="FFF5FF60"/>
    <w:rsid w:val="FFF79CEC"/>
    <w:rsid w:val="FFF7FBEB"/>
    <w:rsid w:val="FFF881EB"/>
    <w:rsid w:val="FFF9A72A"/>
    <w:rsid w:val="FFFB7081"/>
    <w:rsid w:val="FFFD8124"/>
    <w:rsid w:val="FFFDDCBA"/>
    <w:rsid w:val="FFFF1388"/>
    <w:rsid w:val="FFFF18EE"/>
    <w:rsid w:val="FFFF1C3D"/>
    <w:rsid w:val="FFFF2AEE"/>
    <w:rsid w:val="FFFF3DC5"/>
    <w:rsid w:val="FFFF41FF"/>
    <w:rsid w:val="FFFF506C"/>
    <w:rsid w:val="FFFF7105"/>
    <w:rsid w:val="FFFFC5D8"/>
    <w:rsid w:val="FFFFCA33"/>
    <w:rsid w:val="FFFFF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99" w:name="index 1" w:locked="1"/>
    <w:lsdException w:unhideWhenUsed="0" w:uiPriority="99" w:name="index 2" w:locked="1"/>
    <w:lsdException w:unhideWhenUsed="0" w:uiPriority="99" w:name="index 3" w:locked="1"/>
    <w:lsdException w:unhideWhenUsed="0" w:uiPriority="99" w:name="index 4" w:locked="1"/>
    <w:lsdException w:unhideWhenUsed="0" w:uiPriority="99" w:name="index 5" w:locked="1"/>
    <w:lsdException w:unhideWhenUsed="0" w:uiPriority="99" w:name="index 6" w:locked="1"/>
    <w:lsdException w:unhideWhenUsed="0" w:uiPriority="99" w:name="index 7" w:locked="1"/>
    <w:lsdException w:unhideWhenUsed="0" w:uiPriority="99" w:name="index 8" w:locked="1"/>
    <w:lsdException w:unhideWhenUsed="0" w:uiPriority="99" w:name="index 9" w:locked="1"/>
    <w:lsdException w:unhideWhenUsed="0" w:uiPriority="39" w:name="toc 1" w:locked="1"/>
    <w:lsdException w:qFormat="1" w:uiPriority="39" w:semiHidden="0" w:name="toc 2" w:locked="1"/>
    <w:lsdException w:qFormat="1" w:uiPriority="39" w:semiHidden="0" w:name="toc 3" w:locked="1"/>
    <w:lsdException w:unhideWhenUsed="0" w:uiPriority="39" w:name="toc 4" w:locked="1"/>
    <w:lsdException w:qFormat="1" w:unhideWhenUsed="0" w:uiPriority="0" w:semiHidden="0" w:name="toc 5" w:locked="1"/>
    <w:lsdException w:unhideWhenUsed="0" w:uiPriority="39" w:name="toc 6" w:locked="1"/>
    <w:lsdException w:unhideWhenUsed="0" w:uiPriority="39" w:name="toc 7" w:locked="1"/>
    <w:lsdException w:unhideWhenUsed="0" w:uiPriority="39" w:name="toc 8" w:locked="1"/>
    <w:lsdException w:unhideWhenUsed="0" w:uiPriority="39" w:name="toc 9" w:locked="1"/>
    <w:lsdException w:qFormat="1" w:unhideWhenUsed="0" w:uiPriority="0" w:semiHidden="0" w:name="Normal Indent" w:locked="1"/>
    <w:lsdException w:qFormat="1" w:uiPriority="99" w:semiHidden="0" w:name="footnote text" w:locked="1"/>
    <w:lsdException w:unhideWhenUsed="0" w:uiPriority="99" w:name="annotation text" w:locked="1"/>
    <w:lsdException w:qFormat="1" w:unhideWhenUsed="0" w:uiPriority="99" w:name="header" w:locked="1"/>
    <w:lsdException w:qFormat="1" w:unhideWhenUsed="0" w:uiPriority="99" w:name="footer" w:locked="1"/>
    <w:lsdException w:unhideWhenUsed="0" w:uiPriority="99" w:name="index heading" w:locked="1"/>
    <w:lsdException w:qFormat="1" w:uiPriority="35" w:name="caption" w:locked="1"/>
    <w:lsdException w:unhideWhenUsed="0" w:uiPriority="99" w:name="table of figures" w:locked="1"/>
    <w:lsdException w:unhideWhenUsed="0" w:uiPriority="99" w:name="envelope address" w:locked="1"/>
    <w:lsdException w:unhideWhenUsed="0" w:uiPriority="99" w:name="envelope return" w:locked="1"/>
    <w:lsdException w:qFormat="1" w:uiPriority="99" w:semiHidden="0" w:name="footnote reference" w:locked="1"/>
    <w:lsdException w:unhideWhenUsed="0" w:uiPriority="99" w:name="annotation reference" w:locked="1"/>
    <w:lsdException w:unhideWhenUsed="0" w:uiPriority="99" w:name="line number" w:locked="1"/>
    <w:lsdException w:qFormat="1" w:unhideWhenUsed="0" w:uiPriority="0" w:semiHidden="0" w:name="page number" w:locked="1"/>
    <w:lsdException w:unhideWhenUsed="0" w:uiPriority="99" w:name="endnote reference" w:locked="1"/>
    <w:lsdException w:unhideWhenUsed="0" w:uiPriority="99" w:name="endnote text" w:locked="1"/>
    <w:lsdException w:unhideWhenUsed="0" w:uiPriority="99" w:name="table of authorities" w:locked="1"/>
    <w:lsdException w:unhideWhenUsed="0" w:uiPriority="99" w:name="macro" w:locked="1"/>
    <w:lsdException w:unhideWhenUsed="0" w:uiPriority="99" w:name="toa heading" w:locked="1"/>
    <w:lsdException w:unhideWhenUsed="0" w:uiPriority="99" w:name="List" w:locked="1"/>
    <w:lsdException w:unhideWhenUsed="0" w:uiPriority="99" w:name="List Bullet" w:locked="1"/>
    <w:lsdException w:unhideWhenUsed="0" w:uiPriority="99" w:name="List Number" w:locked="1"/>
    <w:lsdException w:unhideWhenUsed="0" w:uiPriority="99" w:name="List 2" w:locked="1"/>
    <w:lsdException w:unhideWhenUsed="0" w:uiPriority="99" w:name="List 3" w:locked="1"/>
    <w:lsdException w:unhideWhenUsed="0" w:uiPriority="99" w:name="List 4" w:locked="1"/>
    <w:lsdException w:unhideWhenUsed="0" w:uiPriority="99" w:name="List 5" w:locked="1"/>
    <w:lsdException w:unhideWhenUsed="0" w:uiPriority="99" w:name="List Bullet 2" w:locked="1"/>
    <w:lsdException w:unhideWhenUsed="0" w:uiPriority="99" w:name="List Bullet 3" w:locked="1"/>
    <w:lsdException w:unhideWhenUsed="0" w:uiPriority="99" w:name="List Bullet 4" w:locked="1"/>
    <w:lsdException w:unhideWhenUsed="0" w:uiPriority="99" w:name="List Bullet 5" w:locked="1"/>
    <w:lsdException w:unhideWhenUsed="0" w:uiPriority="99" w:name="List Number 2" w:locked="1"/>
    <w:lsdException w:unhideWhenUsed="0" w:uiPriority="99" w:name="List Number 3" w:locked="1"/>
    <w:lsdException w:unhideWhenUsed="0" w:uiPriority="99" w:name="List Number 4" w:locked="1"/>
    <w:lsdException w:unhideWhenUsed="0" w:uiPriority="99" w:name="List Number 5" w:locked="1"/>
    <w:lsdException w:qFormat="1" w:unhideWhenUsed="0" w:uiPriority="10" w:semiHidden="0" w:name="Title" w:locked="1"/>
    <w:lsdException w:unhideWhenUsed="0" w:uiPriority="99" w:name="Closing" w:locked="1"/>
    <w:lsdException w:unhideWhenUsed="0" w:uiPriority="99" w:name="Signature" w:locked="1"/>
    <w:lsdException w:qFormat="1" w:uiPriority="1" w:name="Default Paragraph Font"/>
    <w:lsdException w:qFormat="1" w:unhideWhenUsed="0" w:uiPriority="0" w:semiHidden="0" w:name="Body Text" w:locked="1"/>
    <w:lsdException w:qFormat="1" w:unhideWhenUsed="0" w:uiPriority="99" w:semiHidden="0" w:name="Body Text Indent" w:locked="1"/>
    <w:lsdException w:unhideWhenUsed="0" w:uiPriority="99" w:name="List Continue" w:locked="1"/>
    <w:lsdException w:unhideWhenUsed="0" w:uiPriority="99" w:name="List Continue 2" w:locked="1"/>
    <w:lsdException w:unhideWhenUsed="0" w:uiPriority="99" w:name="List Continue 3" w:locked="1"/>
    <w:lsdException w:unhideWhenUsed="0" w:uiPriority="99" w:name="List Continue 4" w:locked="1"/>
    <w:lsdException w:unhideWhenUsed="0" w:uiPriority="99" w:name="List Continue 5" w:locked="1"/>
    <w:lsdException w:unhideWhenUsed="0" w:uiPriority="99" w:name="Message Header" w:locked="1"/>
    <w:lsdException w:qFormat="1" w:unhideWhenUsed="0" w:uiPriority="11" w:semiHidden="0" w:name="Subtitle" w:locked="1"/>
    <w:lsdException w:unhideWhenUsed="0" w:uiPriority="99" w:name="Salutation" w:locked="1"/>
    <w:lsdException w:unhideWhenUsed="0" w:uiPriority="99" w:name="Date" w:locked="1"/>
    <w:lsdException w:qFormat="1" w:uiPriority="99" w:semiHidden="0" w:name="Body Text First Indent" w:locked="1"/>
    <w:lsdException w:qFormat="1" w:unhideWhenUsed="0" w:uiPriority="0" w:semiHidden="0" w:name="Body Text First Indent 2" w:locked="1"/>
    <w:lsdException w:unhideWhenUsed="0" w:uiPriority="99" w:name="Note Heading" w:locked="1"/>
    <w:lsdException w:unhideWhenUsed="0" w:uiPriority="99" w:name="Body Text 2" w:locked="1"/>
    <w:lsdException w:unhideWhenUsed="0" w:uiPriority="99" w:name="Body Text 3" w:locked="1"/>
    <w:lsdException w:unhideWhenUsed="0" w:uiPriority="99" w:name="Body Text Indent 2" w:locked="1"/>
    <w:lsdException w:unhideWhenUsed="0" w:uiPriority="99" w:name="Body Text Indent 3" w:locked="1"/>
    <w:lsdException w:unhideWhenUsed="0" w:uiPriority="99" w:name="Block Text" w:locked="1"/>
    <w:lsdException w:unhideWhenUsed="0" w:uiPriority="99" w:name="Hyperlink" w:locked="1"/>
    <w:lsdException w:unhideWhenUsed="0" w:uiPriority="99" w:name="FollowedHyperlink" w:locked="1"/>
    <w:lsdException w:qFormat="1" w:unhideWhenUsed="0" w:uiPriority="0" w:semiHidden="0" w:name="Strong" w:locked="1"/>
    <w:lsdException w:qFormat="1" w:unhideWhenUsed="0" w:uiPriority="20" w:semiHidden="0" w:name="Emphasis" w:locked="1"/>
    <w:lsdException w:unhideWhenUsed="0" w:uiPriority="99" w:name="Document Map" w:locked="1"/>
    <w:lsdException w:unhideWhenUsed="0" w:uiPriority="99" w:name="Plain Text" w:locked="1"/>
    <w:lsdException w:unhideWhenUsed="0" w:uiPriority="99" w:name="E-mail Signature" w:locked="1"/>
    <w:lsdException w:qFormat="1" w:unhideWhenUsed="0" w:uiPriority="0" w:semiHidden="0" w:name="Normal (Web)" w:locked="1"/>
    <w:lsdException w:unhideWhenUsed="0" w:uiPriority="99" w:name="HTML Acronym" w:locked="1"/>
    <w:lsdException w:unhideWhenUsed="0" w:uiPriority="99" w:name="HTML Address" w:locked="1"/>
    <w:lsdException w:unhideWhenUsed="0" w:uiPriority="99" w:name="HTML Cite" w:locked="1"/>
    <w:lsdException w:unhideWhenUsed="0" w:uiPriority="99" w:name="HTML Code" w:locked="1"/>
    <w:lsdException w:unhideWhenUsed="0" w:uiPriority="99" w:name="HTML Definition" w:locked="1"/>
    <w:lsdException w:unhideWhenUsed="0" w:uiPriority="99" w:name="HTML Keyboard" w:locked="1"/>
    <w:lsdException w:unhideWhenUsed="0" w:uiPriority="99" w:name="HTML Preformatted" w:locked="1"/>
    <w:lsdException w:unhideWhenUsed="0" w:uiPriority="99" w:name="HTML Sample" w:locked="1"/>
    <w:lsdException w:unhideWhenUsed="0" w:uiPriority="99" w:name="HTML Typewriter" w:locked="1"/>
    <w:lsdException w:unhideWhenUsed="0" w:uiPriority="99" w:name="HTML Variable" w:locked="1"/>
    <w:lsdException w:qFormat="1" w:uiPriority="99" w:name="Normal Table"/>
    <w:lsdException w:unhideWhenUsed="0"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8" w:lineRule="exact"/>
      <w:ind w:firstLine="200" w:firstLineChars="200"/>
      <w:jc w:val="both"/>
      <w:textAlignment w:val="center"/>
    </w:pPr>
    <w:rPr>
      <w:rFonts w:ascii="Times New Roman" w:hAnsi="Times New Roman" w:eastAsia="方正仿宋_GBK" w:cs="Times New Roman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ind w:firstLine="0" w:firstLineChars="0"/>
      <w:outlineLvl w:val="0"/>
    </w:pPr>
    <w:rPr>
      <w:rFonts w:eastAsia="方正黑体_GBK"/>
      <w:bCs/>
      <w:kern w:val="44"/>
      <w:szCs w:val="44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ind w:firstLine="0" w:firstLineChars="0"/>
      <w:outlineLvl w:val="1"/>
    </w:pPr>
    <w:rPr>
      <w:rFonts w:eastAsia="方正楷体_GBK"/>
      <w:bCs/>
      <w:szCs w:val="32"/>
    </w:rPr>
  </w:style>
  <w:style w:type="paragraph" w:styleId="4">
    <w:name w:val="heading 3"/>
    <w:basedOn w:val="1"/>
    <w:next w:val="1"/>
    <w:link w:val="25"/>
    <w:qFormat/>
    <w:uiPriority w:val="9"/>
    <w:pPr>
      <w:keepNext/>
      <w:keepLines/>
      <w:ind w:firstLine="0" w:firstLineChars="0"/>
      <w:outlineLvl w:val="2"/>
    </w:pPr>
    <w:rPr>
      <w:rFonts w:eastAsia="方正楷体_GBK"/>
      <w:bCs/>
      <w:szCs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1"/>
    <w:qFormat/>
    <w:locked/>
    <w:uiPriority w:val="0"/>
  </w:style>
  <w:style w:type="paragraph" w:styleId="6">
    <w:name w:val="Body Text"/>
    <w:basedOn w:val="1"/>
    <w:next w:val="7"/>
    <w:qFormat/>
    <w:locked/>
    <w:uiPriority w:val="0"/>
    <w:pPr>
      <w:spacing w:after="120"/>
    </w:pPr>
  </w:style>
  <w:style w:type="paragraph" w:styleId="7">
    <w:name w:val="Title"/>
    <w:basedOn w:val="1"/>
    <w:next w:val="1"/>
    <w:qFormat/>
    <w:locked/>
    <w:uiPriority w:val="10"/>
    <w:pPr>
      <w:widowControl/>
      <w:ind w:firstLine="0" w:firstLineChars="0"/>
      <w:jc w:val="center"/>
    </w:pPr>
    <w:rPr>
      <w:rFonts w:eastAsia="方正小标宋简体"/>
      <w:b/>
      <w:bCs/>
      <w:sz w:val="40"/>
    </w:rPr>
  </w:style>
  <w:style w:type="paragraph" w:styleId="8">
    <w:name w:val="Body Text Indent"/>
    <w:basedOn w:val="1"/>
    <w:next w:val="1"/>
    <w:qFormat/>
    <w:locked/>
    <w:uiPriority w:val="99"/>
    <w:pPr>
      <w:adjustRightInd w:val="0"/>
      <w:spacing w:line="360" w:lineRule="atLeast"/>
      <w:ind w:firstLine="600"/>
      <w:textAlignment w:val="baseline"/>
    </w:pPr>
    <w:rPr>
      <w:kern w:val="0"/>
      <w:szCs w:val="20"/>
    </w:rPr>
  </w:style>
  <w:style w:type="paragraph" w:styleId="9">
    <w:name w:val="toc 5"/>
    <w:next w:val="1"/>
    <w:qFormat/>
    <w:locked/>
    <w:uiPriority w:val="0"/>
    <w:pPr>
      <w:widowControl w:val="0"/>
      <w:overflowPunct w:val="0"/>
      <w:spacing w:line="588" w:lineRule="exact"/>
      <w:ind w:left="1680" w:leftChars="800" w:firstLine="420" w:firstLineChars="200"/>
      <w:jc w:val="both"/>
      <w:textAlignment w:val="center"/>
    </w:pPr>
    <w:rPr>
      <w:rFonts w:ascii="Times New Roman" w:hAnsi="Times New Roman" w:eastAsia="方正仿宋_GBK" w:cs="方正仿宋_GBK"/>
      <w:kern w:val="2"/>
      <w:sz w:val="30"/>
      <w:szCs w:val="30"/>
      <w:lang w:val="en-US" w:eastAsia="zh-CN" w:bidi="ar-SA"/>
    </w:rPr>
  </w:style>
  <w:style w:type="paragraph" w:styleId="10">
    <w:name w:val="toc 3"/>
    <w:basedOn w:val="1"/>
    <w:next w:val="1"/>
    <w:unhideWhenUsed/>
    <w:qFormat/>
    <w:locked/>
    <w:uiPriority w:val="39"/>
  </w:style>
  <w:style w:type="paragraph" w:styleId="11">
    <w:name w:val="footer"/>
    <w:basedOn w:val="1"/>
    <w:link w:val="26"/>
    <w:semiHidden/>
    <w:qFormat/>
    <w:lock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Calibri" w:hAnsi="Calibri"/>
      <w:kern w:val="0"/>
      <w:sz w:val="18"/>
      <w:szCs w:val="18"/>
    </w:rPr>
  </w:style>
  <w:style w:type="paragraph" w:styleId="12">
    <w:name w:val="header"/>
    <w:basedOn w:val="1"/>
    <w:link w:val="27"/>
    <w:semiHidden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hAnsi="Calibri"/>
      <w:kern w:val="0"/>
      <w:sz w:val="18"/>
      <w:szCs w:val="18"/>
    </w:rPr>
  </w:style>
  <w:style w:type="paragraph" w:styleId="13">
    <w:name w:val="footnote text"/>
    <w:basedOn w:val="1"/>
    <w:unhideWhenUsed/>
    <w:qFormat/>
    <w:locked/>
    <w:uiPriority w:val="99"/>
    <w:pPr>
      <w:snapToGrid w:val="0"/>
      <w:jc w:val="left"/>
    </w:pPr>
    <w:rPr>
      <w:sz w:val="18"/>
    </w:rPr>
  </w:style>
  <w:style w:type="paragraph" w:styleId="14">
    <w:name w:val="toc 2"/>
    <w:basedOn w:val="1"/>
    <w:next w:val="1"/>
    <w:unhideWhenUsed/>
    <w:qFormat/>
    <w:locked/>
    <w:uiPriority w:val="39"/>
    <w:pPr>
      <w:tabs>
        <w:tab w:val="right" w:leader="dot" w:pos="8664"/>
      </w:tabs>
      <w:ind w:firstLine="320" w:firstLineChars="100"/>
    </w:pPr>
    <w:rPr>
      <w:rFonts w:eastAsia="方正楷体_GBK"/>
    </w:rPr>
  </w:style>
  <w:style w:type="paragraph" w:styleId="15">
    <w:name w:val="Normal (Web)"/>
    <w:basedOn w:val="1"/>
    <w:qFormat/>
    <w:locked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16">
    <w:name w:val="Body Text First Indent"/>
    <w:basedOn w:val="6"/>
    <w:next w:val="17"/>
    <w:unhideWhenUsed/>
    <w:qFormat/>
    <w:locked/>
    <w:uiPriority w:val="99"/>
    <w:pPr>
      <w:ind w:firstLine="420" w:firstLineChars="100"/>
    </w:pPr>
    <w:rPr>
      <w:rFonts w:ascii="等线" w:hAnsi="等线" w:eastAsia="等线"/>
      <w:sz w:val="21"/>
    </w:rPr>
  </w:style>
  <w:style w:type="paragraph" w:styleId="17">
    <w:name w:val="Body Text First Indent 2"/>
    <w:basedOn w:val="8"/>
    <w:next w:val="1"/>
    <w:qFormat/>
    <w:locked/>
    <w:uiPriority w:val="0"/>
    <w:pPr>
      <w:ind w:firstLine="420"/>
    </w:pPr>
  </w:style>
  <w:style w:type="character" w:styleId="20">
    <w:name w:val="Strong"/>
    <w:qFormat/>
    <w:locked/>
    <w:uiPriority w:val="0"/>
    <w:rPr>
      <w:b/>
    </w:rPr>
  </w:style>
  <w:style w:type="character" w:styleId="21">
    <w:name w:val="page number"/>
    <w:qFormat/>
    <w:locked/>
    <w:uiPriority w:val="0"/>
  </w:style>
  <w:style w:type="character" w:styleId="22">
    <w:name w:val="footnote reference"/>
    <w:unhideWhenUsed/>
    <w:qFormat/>
    <w:locked/>
    <w:uiPriority w:val="99"/>
    <w:rPr>
      <w:vertAlign w:val="superscript"/>
    </w:rPr>
  </w:style>
  <w:style w:type="character" w:customStyle="1" w:styleId="23">
    <w:name w:val="标题 1 Char"/>
    <w:link w:val="2"/>
    <w:qFormat/>
    <w:uiPriority w:val="9"/>
    <w:rPr>
      <w:rFonts w:ascii="Times New Roman" w:hAnsi="Times New Roman" w:eastAsia="方正黑体_GBK"/>
      <w:bCs/>
      <w:kern w:val="44"/>
      <w:sz w:val="30"/>
      <w:szCs w:val="44"/>
    </w:rPr>
  </w:style>
  <w:style w:type="character" w:customStyle="1" w:styleId="24">
    <w:name w:val="标题 2 Char2"/>
    <w:link w:val="3"/>
    <w:qFormat/>
    <w:uiPriority w:val="9"/>
    <w:rPr>
      <w:rFonts w:ascii="Times New Roman" w:hAnsi="Times New Roman" w:eastAsia="方正楷体_GBK"/>
      <w:bCs/>
      <w:kern w:val="2"/>
      <w:sz w:val="30"/>
      <w:szCs w:val="32"/>
    </w:rPr>
  </w:style>
  <w:style w:type="character" w:customStyle="1" w:styleId="25">
    <w:name w:val="标题 3 Char"/>
    <w:link w:val="4"/>
    <w:qFormat/>
    <w:uiPriority w:val="9"/>
    <w:rPr>
      <w:rFonts w:ascii="Times New Roman" w:hAnsi="Times New Roman" w:eastAsia="方正楷体_GBK"/>
      <w:bCs/>
      <w:kern w:val="2"/>
      <w:sz w:val="30"/>
      <w:szCs w:val="32"/>
    </w:rPr>
  </w:style>
  <w:style w:type="character" w:customStyle="1" w:styleId="26">
    <w:name w:val="页脚 Char"/>
    <w:link w:val="11"/>
    <w:semiHidden/>
    <w:qFormat/>
    <w:uiPriority w:val="99"/>
    <w:rPr>
      <w:rFonts w:eastAsia="方正仿宋_GBK"/>
      <w:sz w:val="18"/>
      <w:szCs w:val="18"/>
    </w:rPr>
  </w:style>
  <w:style w:type="character" w:customStyle="1" w:styleId="27">
    <w:name w:val="页眉 Char"/>
    <w:link w:val="12"/>
    <w:semiHidden/>
    <w:qFormat/>
    <w:uiPriority w:val="99"/>
    <w:rPr>
      <w:rFonts w:eastAsia="方正仿宋_GBK"/>
      <w:sz w:val="18"/>
      <w:szCs w:val="18"/>
    </w:rPr>
  </w:style>
  <w:style w:type="character" w:customStyle="1" w:styleId="28">
    <w:name w:val="标题 2 Char"/>
    <w:qFormat/>
    <w:uiPriority w:val="0"/>
    <w:rPr>
      <w:rFonts w:ascii="Times New Roman" w:hAnsi="Times New Roman" w:eastAsia="方正楷体_GBK"/>
      <w:kern w:val="0"/>
      <w:sz w:val="30"/>
      <w:szCs w:val="20"/>
      <w:lang w:val="en-US" w:eastAsia="zh-CN" w:bidi="ar-SA"/>
    </w:rPr>
  </w:style>
  <w:style w:type="character" w:customStyle="1" w:styleId="29">
    <w:name w:val="标题 2 Char1"/>
    <w:qFormat/>
    <w:uiPriority w:val="0"/>
    <w:rPr>
      <w:rFonts w:eastAsia="方正楷体_GBK"/>
      <w:szCs w:val="30"/>
    </w:rPr>
  </w:style>
  <w:style w:type="character" w:customStyle="1" w:styleId="30">
    <w:name w:val="font01"/>
    <w:qFormat/>
    <w:uiPriority w:val="0"/>
    <w:rPr>
      <w:rFonts w:hint="default" w:ascii="Times New Roman" w:hAnsi="Times New Roman" w:cs="Times New Roman"/>
      <w:color w:val="000000"/>
      <w:sz w:val="36"/>
      <w:szCs w:val="36"/>
      <w:u w:val="none"/>
    </w:rPr>
  </w:style>
  <w:style w:type="character" w:customStyle="1" w:styleId="31">
    <w:name w:val="font4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2">
    <w:name w:val="Body Text First Indent 21"/>
    <w:basedOn w:val="33"/>
    <w:unhideWhenUsed/>
    <w:qFormat/>
    <w:uiPriority w:val="99"/>
    <w:pPr>
      <w:ind w:left="0" w:firstLine="420"/>
    </w:pPr>
    <w:rPr>
      <w:rFonts w:hint="default" w:eastAsia="Times New Roman"/>
      <w:sz w:val="32"/>
    </w:rPr>
  </w:style>
  <w:style w:type="paragraph" w:customStyle="1" w:styleId="33">
    <w:name w:val="Body Text Indent1"/>
    <w:basedOn w:val="1"/>
    <w:unhideWhenUsed/>
    <w:qFormat/>
    <w:uiPriority w:val="99"/>
    <w:pPr>
      <w:ind w:left="420" w:leftChars="200"/>
    </w:pPr>
    <w:rPr>
      <w:rFonts w:hint="eastAsia"/>
      <w:sz w:val="21"/>
    </w:rPr>
  </w:style>
  <w:style w:type="paragraph" w:customStyle="1" w:styleId="34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35">
    <w:name w:val="纯文本1"/>
    <w:basedOn w:val="1"/>
    <w:qFormat/>
    <w:uiPriority w:val="0"/>
    <w:rPr>
      <w:rFonts w:ascii="宋体" w:hAnsi="Courier New" w:cs="Courier New"/>
      <w:szCs w:val="21"/>
    </w:rPr>
  </w:style>
  <w:style w:type="paragraph" w:customStyle="1" w:styleId="36">
    <w:name w:val="正文（缩进）"/>
    <w:qFormat/>
    <w:uiPriority w:val="0"/>
    <w:pPr>
      <w:widowControl w:val="0"/>
      <w:spacing w:line="594" w:lineRule="exact"/>
      <w:ind w:firstLine="482"/>
      <w:jc w:val="both"/>
    </w:pPr>
    <w:rPr>
      <w:rFonts w:ascii="仿宋_GB2312" w:hAnsi="Calibri" w:eastAsia="方正仿宋_GBK" w:cs="仿宋_GB2312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13</Pages>
  <Words>1368</Words>
  <Characters>1798</Characters>
  <Lines>48</Lines>
  <Paragraphs>13</Paragraphs>
  <TotalTime>28</TotalTime>
  <ScaleCrop>false</ScaleCrop>
  <LinksUpToDate>false</LinksUpToDate>
  <CharactersWithSpaces>1818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2017-02-12T18:19:00Z</dcterms:created>
  <dc:creator>程建林</dc:creator>
  <cp:lastModifiedBy>大朋友</cp:lastModifiedBy>
  <cp:lastPrinted>2025-06-11T08:01:24Z</cp:lastPrinted>
  <dcterms:modified xsi:type="dcterms:W3CDTF">2025-06-11T08:16:52Z</dcterms:modified>
  <dc:title>附件2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D387172FFB6C466886389FAE5856B247_13</vt:lpwstr>
  </property>
  <property fmtid="{D5CDD505-2E9C-101B-9397-08002B2CF9AE}" pid="4" name="KSOTemplateDocerSaveRecord">
    <vt:lpwstr>eyJoZGlkIjoiNDM1NzA2ODgyYTFhNzA0YjhmZTQ4NThiNWUxNWE5N2QiLCJ1c2VySWQiOiIxMDE5NzIyODE4In0=</vt:lpwstr>
  </property>
</Properties>
</file>