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AFB16">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lang w:val="en-US" w:eastAsia="zh-CN"/>
        </w:rPr>
      </w:pPr>
      <w:bookmarkStart w:id="0" w:name="_GoBack"/>
      <w:r>
        <w:rPr>
          <w:rFonts w:hint="eastAsia" w:ascii="方正小标宋简体" w:hAnsi="方正小标宋简体" w:eastAsia="方正小标宋简体" w:cs="方正小标宋简体"/>
          <w:bCs/>
          <w:color w:val="0C0C0C"/>
          <w:kern w:val="0"/>
          <w:sz w:val="44"/>
          <w:szCs w:val="44"/>
          <w:shd w:val="clear" w:color="auto" w:fill="FFFFFF"/>
          <w:lang w:val="en-US" w:eastAsia="zh-CN"/>
        </w:rPr>
        <w:t>唐山市曹妃甸区第五次全国经济普查公报</w:t>
      </w:r>
    </w:p>
    <w:p w14:paraId="5CF8F683">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lang w:val="en-US" w:eastAsia="zh-CN"/>
        </w:rPr>
      </w:pPr>
      <w:r>
        <w:rPr>
          <w:rFonts w:hint="eastAsia" w:ascii="方正小标宋简体" w:hAnsi="方正小标宋简体" w:eastAsia="方正小标宋简体" w:cs="方正小标宋简体"/>
          <w:bCs/>
          <w:color w:val="0C0C0C"/>
          <w:kern w:val="0"/>
          <w:sz w:val="44"/>
          <w:szCs w:val="44"/>
          <w:shd w:val="clear" w:color="auto" w:fill="FFFFFF"/>
          <w:lang w:val="en-US" w:eastAsia="zh-CN"/>
        </w:rPr>
        <w:t>（第五号）</w:t>
      </w:r>
    </w:p>
    <w:p w14:paraId="338ABBF1">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lang w:val="en-US" w:eastAsia="zh-CN"/>
        </w:rPr>
      </w:pPr>
      <w:r>
        <w:rPr>
          <w:rFonts w:hint="eastAsia" w:ascii="方正小标宋简体" w:hAnsi="方正小标宋简体" w:eastAsia="方正小标宋简体" w:cs="方正小标宋简体"/>
          <w:bCs/>
          <w:color w:val="0C0C0C"/>
          <w:kern w:val="0"/>
          <w:sz w:val="44"/>
          <w:szCs w:val="44"/>
          <w:shd w:val="clear" w:color="auto" w:fill="FFFFFF"/>
          <w:lang w:val="en-US" w:eastAsia="zh-CN"/>
        </w:rPr>
        <w:t>——第三产业基本情况之二</w:t>
      </w:r>
    </w:p>
    <w:bookmarkEnd w:id="0"/>
    <w:p w14:paraId="0B3F57FB">
      <w:pPr>
        <w:adjustRightInd w:val="0"/>
        <w:snapToGrid w:val="0"/>
        <w:spacing w:line="600" w:lineRule="exact"/>
        <w:ind w:firstLine="0" w:firstLineChars="0"/>
        <w:jc w:val="center"/>
        <w:textAlignment w:val="auto"/>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唐山市曹妃甸区统计局</w:t>
      </w:r>
    </w:p>
    <w:p w14:paraId="796116C6">
      <w:pPr>
        <w:adjustRightInd w:val="0"/>
        <w:snapToGrid w:val="0"/>
        <w:spacing w:line="600" w:lineRule="exact"/>
        <w:ind w:firstLine="0" w:firstLineChars="0"/>
        <w:jc w:val="center"/>
        <w:textAlignment w:val="auto"/>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唐山市曹妃甸区第五次全国经济普查领导小组办公室</w:t>
      </w:r>
    </w:p>
    <w:p w14:paraId="4B11A2F2">
      <w:pPr>
        <w:pStyle w:val="5"/>
        <w:spacing w:line="600" w:lineRule="exact"/>
        <w:ind w:firstLine="0" w:firstLineChars="0"/>
        <w:jc w:val="center"/>
        <w:textAlignment w:val="baseline"/>
        <w:rPr>
          <w:rFonts w:hint="eastAsia"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w:t>
      </w:r>
      <w:r>
        <w:rPr>
          <w:rFonts w:hint="default" w:ascii="Times New Roman" w:hAnsi="Times New Roman" w:eastAsia="方正楷体简体" w:cs="Times New Roman"/>
          <w:sz w:val="32"/>
          <w:szCs w:val="32"/>
        </w:rPr>
        <w:t>2025</w:t>
      </w:r>
      <w:r>
        <w:rPr>
          <w:rFonts w:hint="eastAsia" w:ascii="方正楷体简体" w:hAnsi="方正楷体简体" w:eastAsia="方正楷体简体" w:cs="方正楷体简体"/>
          <w:sz w:val="32"/>
          <w:szCs w:val="32"/>
        </w:rPr>
        <w:t>年</w:t>
      </w:r>
      <w:r>
        <w:rPr>
          <w:rFonts w:hint="eastAsia" w:ascii="Times New Roman" w:hAnsi="Times New Roman" w:eastAsia="方正楷体简体" w:cs="Times New Roman"/>
          <w:sz w:val="32"/>
          <w:szCs w:val="32"/>
          <w:lang w:val="en-US" w:eastAsia="zh-CN"/>
        </w:rPr>
        <w:t>5</w:t>
      </w:r>
      <w:r>
        <w:rPr>
          <w:rFonts w:hint="eastAsia" w:ascii="方正楷体简体" w:hAnsi="方正楷体简体" w:eastAsia="方正楷体简体" w:cs="方正楷体简体"/>
          <w:sz w:val="32"/>
          <w:szCs w:val="32"/>
        </w:rPr>
        <w:t>月</w:t>
      </w:r>
      <w:r>
        <w:rPr>
          <w:rFonts w:hint="eastAsia" w:ascii="Times New Roman" w:hAnsi="Times New Roman" w:eastAsia="方正楷体简体" w:cs="Times New Roman"/>
          <w:sz w:val="32"/>
          <w:szCs w:val="32"/>
          <w:lang w:val="en-US" w:eastAsia="zh-CN"/>
        </w:rPr>
        <w:t>28</w:t>
      </w:r>
      <w:r>
        <w:rPr>
          <w:rFonts w:hint="eastAsia" w:ascii="方正楷体简体" w:hAnsi="方正楷体简体" w:eastAsia="方正楷体简体" w:cs="方正楷体简体"/>
          <w:sz w:val="32"/>
          <w:szCs w:val="32"/>
        </w:rPr>
        <w:t>日）</w:t>
      </w:r>
    </w:p>
    <w:p w14:paraId="2849A2BF">
      <w:pPr>
        <w:spacing w:line="600" w:lineRule="exact"/>
        <w:ind w:firstLine="0" w:firstLineChars="0"/>
        <w:textAlignment w:val="auto"/>
        <w:rPr>
          <w:rFonts w:ascii="宋体" w:hAnsi="宋体"/>
          <w:sz w:val="36"/>
          <w:szCs w:val="36"/>
        </w:rPr>
      </w:pPr>
    </w:p>
    <w:p w14:paraId="101E55C7">
      <w:pPr>
        <w:pStyle w:val="5"/>
        <w:spacing w:line="600" w:lineRule="exact"/>
        <w:ind w:firstLine="616"/>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pacing w:val="-6"/>
          <w:sz w:val="32"/>
          <w:szCs w:val="32"/>
        </w:rPr>
        <w:t>根据第五次全国经济普查结果，现将全区第三产业中科学研究和技术服务业，水利、环境和公共设施管理业，居民服务、修理和其他服务业，教育，卫生和社会工作，文化、体育和娱乐业，公共管理、社会保障和社会组织的主要数据公布如下：</w:t>
      </w:r>
    </w:p>
    <w:p w14:paraId="5E7D884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方正黑体_GBK" w:hAnsi="方正黑体_GBK" w:eastAsia="方正黑体_GBK" w:cs="方正黑体_GBK"/>
          <w:kern w:val="0"/>
          <w:sz w:val="32"/>
          <w:szCs w:val="32"/>
        </w:rPr>
      </w:pPr>
      <w:r>
        <w:rPr>
          <w:rFonts w:hint="eastAsia" w:ascii="方正黑体_GBK" w:hAnsi="方正黑体_GBK" w:eastAsia="方正黑体_GBK" w:cs="方正黑体_GBK"/>
          <w:kern w:val="0"/>
          <w:sz w:val="32"/>
          <w:szCs w:val="32"/>
        </w:rPr>
        <w:t xml:space="preserve"> </w:t>
      </w:r>
      <w:r>
        <w:rPr>
          <w:rFonts w:hint="eastAsia" w:ascii="黑体" w:hAnsi="黑体" w:eastAsia="黑体" w:cs="黑体"/>
          <w:kern w:val="0"/>
          <w:sz w:val="32"/>
          <w:szCs w:val="32"/>
        </w:rPr>
        <w:t>一、科学研究和技术服务业</w:t>
      </w:r>
    </w:p>
    <w:p w14:paraId="4EEEAD1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宋体" w:hAnsi="宋体" w:eastAsia="方正楷体_GBK" w:cs="方正楷体_GBK"/>
          <w:sz w:val="32"/>
          <w:szCs w:val="32"/>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（一）法人单位数和从业人员</w:t>
      </w:r>
    </w:p>
    <w:p w14:paraId="5E9CE820">
      <w:pPr>
        <w:spacing w:line="600" w:lineRule="exact"/>
        <w:ind w:firstLine="0" w:firstLineChars="0"/>
        <w:textAlignment w:val="auto"/>
        <w:rPr>
          <w:rFonts w:ascii="宋体" w:hAnsi="宋体" w:eastAsia="宋体" w:cs="宋体"/>
          <w:b/>
          <w:kern w:val="0"/>
          <w:sz w:val="24"/>
          <w:szCs w:val="24"/>
        </w:rPr>
      </w:pPr>
      <w:r>
        <w:rPr>
          <w:rFonts w:hint="eastAsia" w:ascii="宋体" w:hAnsi="宋体" w:cs="仿宋_GB2312"/>
          <w:kern w:val="0"/>
          <w:sz w:val="32"/>
          <w:szCs w:val="32"/>
        </w:rPr>
        <w:t xml:space="preserve">    </w:t>
      </w:r>
      <w:r>
        <w:rPr>
          <w:rFonts w:hint="default"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年末，全区共有科学研究和技术服务业法人单位</w:t>
      </w:r>
      <w:r>
        <w:rPr>
          <w:rFonts w:hint="eastAsia" w:ascii="Times New Roman" w:hAnsi="Times New Roman" w:eastAsia="方正仿宋简体" w:cs="Times New Roman"/>
          <w:spacing w:val="-6"/>
          <w:sz w:val="32"/>
          <w:szCs w:val="32"/>
        </w:rPr>
        <w:t>1007</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8300</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151.1%</w:t>
      </w:r>
      <w:r>
        <w:rPr>
          <w:rFonts w:hint="eastAsia" w:ascii="方正仿宋简体" w:hAnsi="方正仿宋简体" w:eastAsia="方正仿宋简体" w:cs="方正仿宋简体"/>
          <w:spacing w:val="-6"/>
          <w:sz w:val="32"/>
          <w:szCs w:val="32"/>
        </w:rPr>
        <w:t>和</w:t>
      </w:r>
      <w:r>
        <w:rPr>
          <w:rFonts w:hint="eastAsia" w:ascii="Times New Roman" w:hAnsi="Times New Roman" w:eastAsia="方正仿宋简体" w:cs="Times New Roman"/>
          <w:spacing w:val="-6"/>
          <w:sz w:val="32"/>
          <w:szCs w:val="32"/>
        </w:rPr>
        <w:t>441.8%</w:t>
      </w:r>
      <w:r>
        <w:rPr>
          <w:rFonts w:hint="eastAsia" w:ascii="方正仿宋简体" w:hAnsi="方正仿宋简体" w:eastAsia="方正仿宋简体" w:cs="方正仿宋简体"/>
          <w:spacing w:val="-6"/>
          <w:sz w:val="32"/>
          <w:szCs w:val="32"/>
        </w:rPr>
        <w:t>。其中，企业法人单位</w:t>
      </w:r>
      <w:r>
        <w:rPr>
          <w:rFonts w:hint="eastAsia" w:ascii="Times New Roman" w:hAnsi="Times New Roman" w:eastAsia="方正仿宋简体" w:cs="Times New Roman"/>
          <w:spacing w:val="-6"/>
          <w:sz w:val="32"/>
          <w:szCs w:val="32"/>
        </w:rPr>
        <w:t>996</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8180</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152.8%和458.7%</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5-1</w:t>
      </w:r>
      <w:r>
        <w:rPr>
          <w:rFonts w:hint="eastAsia" w:ascii="方正仿宋简体" w:hAnsi="方正仿宋简体" w:eastAsia="方正仿宋简体" w:cs="方正仿宋简体"/>
          <w:spacing w:val="-6"/>
          <w:sz w:val="32"/>
          <w:szCs w:val="32"/>
        </w:rPr>
        <w:t>）。</w:t>
      </w:r>
    </w:p>
    <w:p w14:paraId="774CD648">
      <w:pPr>
        <w:spacing w:beforeLines="30"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default" w:ascii="Times New Roman" w:hAnsi="Times New Roman" w:eastAsia="宋体" w:cs="Times New Roman"/>
          <w:b/>
          <w:kern w:val="0"/>
          <w:sz w:val="24"/>
          <w:szCs w:val="24"/>
        </w:rPr>
        <w:t>5-1</w:t>
      </w:r>
      <w:r>
        <w:rPr>
          <w:rFonts w:hint="eastAsia" w:ascii="宋体" w:hAnsi="宋体" w:eastAsia="宋体" w:cs="宋体"/>
          <w:b/>
          <w:kern w:val="0"/>
          <w:sz w:val="24"/>
          <w:szCs w:val="24"/>
        </w:rPr>
        <w:t>　按行业大类分组的科学研究和技术服务业</w:t>
      </w:r>
    </w:p>
    <w:p w14:paraId="4AF2644C">
      <w:pPr>
        <w:spacing w:line="320" w:lineRule="exact"/>
        <w:ind w:firstLine="0" w:firstLineChars="0"/>
        <w:jc w:val="center"/>
        <w:textAlignment w:val="auto"/>
        <w:rPr>
          <w:rFonts w:ascii="宋体" w:hAnsi="宋体" w:eastAsia="宋体" w:cs="宋体"/>
          <w:b/>
          <w:kern w:val="0"/>
          <w:sz w:val="28"/>
          <w:szCs w:val="28"/>
        </w:rPr>
      </w:pPr>
      <w:r>
        <w:rPr>
          <w:rFonts w:hint="eastAsia" w:ascii="宋体" w:hAnsi="宋体" w:eastAsia="宋体" w:cs="宋体"/>
          <w:b/>
          <w:kern w:val="0"/>
          <w:sz w:val="24"/>
          <w:szCs w:val="24"/>
        </w:rPr>
        <w:t>企业法人单位数和从业人员</w:t>
      </w:r>
    </w:p>
    <w:tbl>
      <w:tblPr>
        <w:tblStyle w:val="18"/>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3034"/>
        <w:gridCol w:w="3088"/>
        <w:gridCol w:w="2552"/>
      </w:tblGrid>
      <w:tr w14:paraId="05B93E0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3057" w:type="dxa"/>
            <w:tcBorders>
              <w:top w:val="single" w:color="auto" w:sz="12" w:space="0"/>
              <w:left w:val="nil"/>
              <w:bottom w:val="single" w:color="auto" w:sz="4" w:space="0"/>
              <w:right w:val="single" w:color="auto" w:sz="4" w:space="0"/>
            </w:tcBorders>
            <w:vAlign w:val="center"/>
          </w:tcPr>
          <w:p w14:paraId="52AC1E09">
            <w:pPr>
              <w:spacing w:line="320" w:lineRule="exact"/>
              <w:ind w:firstLine="0" w:firstLineChars="0"/>
              <w:jc w:val="center"/>
              <w:textAlignment w:val="auto"/>
              <w:rPr>
                <w:rFonts w:ascii="宋体" w:hAnsi="宋体" w:eastAsia="宋体" w:cs="宋体"/>
                <w:sz w:val="21"/>
                <w:szCs w:val="21"/>
              </w:rPr>
            </w:pPr>
          </w:p>
        </w:tc>
        <w:tc>
          <w:tcPr>
            <w:tcW w:w="3108" w:type="dxa"/>
            <w:tcBorders>
              <w:top w:val="single" w:color="auto" w:sz="12" w:space="0"/>
              <w:left w:val="single" w:color="auto" w:sz="4" w:space="0"/>
              <w:bottom w:val="single" w:color="auto" w:sz="4" w:space="0"/>
              <w:right w:val="single" w:color="auto" w:sz="4" w:space="0"/>
            </w:tcBorders>
            <w:vAlign w:val="center"/>
          </w:tcPr>
          <w:p w14:paraId="4F62DCBC">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企业法人单位</w:t>
            </w:r>
          </w:p>
          <w:p w14:paraId="58F891E4">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（个）</w:t>
            </w:r>
          </w:p>
        </w:tc>
        <w:tc>
          <w:tcPr>
            <w:tcW w:w="2567" w:type="dxa"/>
            <w:tcBorders>
              <w:top w:val="single" w:color="auto" w:sz="12" w:space="0"/>
              <w:left w:val="single" w:color="auto" w:sz="4" w:space="0"/>
              <w:bottom w:val="single" w:color="auto" w:sz="4" w:space="0"/>
              <w:right w:val="nil"/>
            </w:tcBorders>
            <w:vAlign w:val="center"/>
          </w:tcPr>
          <w:p w14:paraId="2AF17115">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从业人员</w:t>
            </w:r>
          </w:p>
          <w:p w14:paraId="700E8E30">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（人）</w:t>
            </w:r>
          </w:p>
        </w:tc>
      </w:tr>
      <w:tr w14:paraId="3B7A6D8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3057" w:type="dxa"/>
            <w:tcBorders>
              <w:top w:val="single" w:color="auto" w:sz="4" w:space="0"/>
              <w:left w:val="nil"/>
              <w:bottom w:val="nil"/>
              <w:right w:val="single" w:color="auto" w:sz="4" w:space="0"/>
            </w:tcBorders>
            <w:vAlign w:val="center"/>
          </w:tcPr>
          <w:p w14:paraId="74D5F1D6">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3108" w:type="dxa"/>
            <w:tcBorders>
              <w:top w:val="single" w:color="auto" w:sz="4" w:space="0"/>
              <w:left w:val="single" w:color="auto" w:sz="4" w:space="0"/>
              <w:bottom w:val="nil"/>
              <w:right w:val="single" w:color="auto" w:sz="4" w:space="0"/>
            </w:tcBorders>
            <w:vAlign w:val="center"/>
          </w:tcPr>
          <w:p w14:paraId="73D7AE0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996</w:t>
            </w:r>
          </w:p>
        </w:tc>
        <w:tc>
          <w:tcPr>
            <w:tcW w:w="2567" w:type="dxa"/>
            <w:tcBorders>
              <w:top w:val="single" w:color="auto" w:sz="4" w:space="0"/>
              <w:left w:val="single" w:color="auto" w:sz="4" w:space="0"/>
              <w:bottom w:val="nil"/>
              <w:right w:val="nil"/>
            </w:tcBorders>
            <w:vAlign w:val="center"/>
          </w:tcPr>
          <w:p w14:paraId="1BBDBB6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8180</w:t>
            </w:r>
          </w:p>
        </w:tc>
      </w:tr>
      <w:tr w14:paraId="3A96286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3057" w:type="dxa"/>
            <w:tcBorders>
              <w:top w:val="nil"/>
              <w:left w:val="nil"/>
              <w:bottom w:val="nil"/>
              <w:right w:val="single" w:color="auto" w:sz="4" w:space="0"/>
            </w:tcBorders>
            <w:vAlign w:val="center"/>
          </w:tcPr>
          <w:p w14:paraId="3CD79DD0">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研究和试验发展</w:t>
            </w:r>
          </w:p>
        </w:tc>
        <w:tc>
          <w:tcPr>
            <w:tcW w:w="3108" w:type="dxa"/>
            <w:tcBorders>
              <w:top w:val="nil"/>
              <w:left w:val="single" w:color="auto" w:sz="4" w:space="0"/>
              <w:bottom w:val="nil"/>
              <w:right w:val="single" w:color="auto" w:sz="4" w:space="0"/>
            </w:tcBorders>
            <w:vAlign w:val="center"/>
          </w:tcPr>
          <w:p w14:paraId="53F0172C">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kern w:val="0"/>
                <w:sz w:val="21"/>
                <w:szCs w:val="21"/>
              </w:rPr>
            </w:pPr>
            <w:r>
              <w:rPr>
                <w:rFonts w:hint="eastAsia" w:ascii="宋体" w:hAnsi="宋体" w:eastAsia="宋体" w:cs="宋体"/>
                <w:kern w:val="0"/>
                <w:sz w:val="21"/>
                <w:szCs w:val="21"/>
              </w:rPr>
              <w:t>11</w:t>
            </w:r>
          </w:p>
        </w:tc>
        <w:tc>
          <w:tcPr>
            <w:tcW w:w="2567" w:type="dxa"/>
            <w:tcBorders>
              <w:top w:val="nil"/>
              <w:left w:val="single" w:color="auto" w:sz="4" w:space="0"/>
              <w:bottom w:val="nil"/>
              <w:right w:val="nil"/>
            </w:tcBorders>
            <w:vAlign w:val="center"/>
          </w:tcPr>
          <w:p w14:paraId="41CF5D44">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124</w:t>
            </w:r>
          </w:p>
        </w:tc>
      </w:tr>
      <w:tr w14:paraId="198DCA6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3057" w:type="dxa"/>
            <w:tcBorders>
              <w:top w:val="nil"/>
              <w:left w:val="nil"/>
              <w:bottom w:val="nil"/>
              <w:right w:val="single" w:color="auto" w:sz="4" w:space="0"/>
            </w:tcBorders>
            <w:vAlign w:val="center"/>
          </w:tcPr>
          <w:p w14:paraId="5C885163">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专业技术服务业</w:t>
            </w:r>
          </w:p>
        </w:tc>
        <w:tc>
          <w:tcPr>
            <w:tcW w:w="3108" w:type="dxa"/>
            <w:tcBorders>
              <w:top w:val="nil"/>
              <w:left w:val="single" w:color="auto" w:sz="4" w:space="0"/>
              <w:bottom w:val="nil"/>
              <w:right w:val="single" w:color="auto" w:sz="4" w:space="0"/>
            </w:tcBorders>
            <w:vAlign w:val="center"/>
          </w:tcPr>
          <w:p w14:paraId="044D5919">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kern w:val="0"/>
                <w:sz w:val="21"/>
                <w:szCs w:val="21"/>
              </w:rPr>
            </w:pPr>
            <w:r>
              <w:rPr>
                <w:rFonts w:hint="eastAsia" w:ascii="宋体" w:hAnsi="宋体" w:eastAsia="宋体" w:cs="宋体"/>
                <w:kern w:val="0"/>
                <w:sz w:val="21"/>
                <w:szCs w:val="21"/>
              </w:rPr>
              <w:t>330</w:t>
            </w:r>
          </w:p>
        </w:tc>
        <w:tc>
          <w:tcPr>
            <w:tcW w:w="2567" w:type="dxa"/>
            <w:tcBorders>
              <w:top w:val="nil"/>
              <w:left w:val="single" w:color="auto" w:sz="4" w:space="0"/>
              <w:bottom w:val="nil"/>
              <w:right w:val="nil"/>
            </w:tcBorders>
            <w:vAlign w:val="center"/>
          </w:tcPr>
          <w:p w14:paraId="35A826E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2794</w:t>
            </w:r>
          </w:p>
        </w:tc>
      </w:tr>
      <w:tr w14:paraId="641D986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3057" w:type="dxa"/>
            <w:tcBorders>
              <w:top w:val="nil"/>
              <w:left w:val="nil"/>
              <w:bottom w:val="single" w:color="auto" w:sz="12" w:space="0"/>
              <w:right w:val="single" w:color="auto" w:sz="4" w:space="0"/>
            </w:tcBorders>
            <w:vAlign w:val="center"/>
          </w:tcPr>
          <w:p w14:paraId="16FAECBD">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科技推广和应用服务业</w:t>
            </w:r>
          </w:p>
        </w:tc>
        <w:tc>
          <w:tcPr>
            <w:tcW w:w="3108" w:type="dxa"/>
            <w:tcBorders>
              <w:top w:val="nil"/>
              <w:left w:val="single" w:color="auto" w:sz="4" w:space="0"/>
              <w:bottom w:val="single" w:color="auto" w:sz="12" w:space="0"/>
              <w:right w:val="single" w:color="auto" w:sz="4" w:space="0"/>
            </w:tcBorders>
            <w:vAlign w:val="center"/>
          </w:tcPr>
          <w:p w14:paraId="2B9F5B72">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kern w:val="0"/>
                <w:sz w:val="21"/>
                <w:szCs w:val="21"/>
              </w:rPr>
            </w:pPr>
            <w:r>
              <w:rPr>
                <w:rFonts w:hint="eastAsia" w:ascii="宋体" w:hAnsi="宋体" w:eastAsia="宋体" w:cs="宋体"/>
                <w:kern w:val="0"/>
                <w:sz w:val="21"/>
                <w:szCs w:val="21"/>
              </w:rPr>
              <w:t>655</w:t>
            </w:r>
          </w:p>
        </w:tc>
        <w:tc>
          <w:tcPr>
            <w:tcW w:w="2567" w:type="dxa"/>
            <w:tcBorders>
              <w:top w:val="nil"/>
              <w:left w:val="single" w:color="auto" w:sz="4" w:space="0"/>
              <w:bottom w:val="single" w:color="auto" w:sz="12" w:space="0"/>
              <w:right w:val="nil"/>
            </w:tcBorders>
            <w:vAlign w:val="center"/>
          </w:tcPr>
          <w:p w14:paraId="0CFF06A5">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5262</w:t>
            </w:r>
          </w:p>
        </w:tc>
      </w:tr>
    </w:tbl>
    <w:p w14:paraId="5B14876F">
      <w:pPr>
        <w:spacing w:beforeLines="50" w:line="600" w:lineRule="exact"/>
        <w:ind w:firstLine="0" w:firstLineChars="0"/>
        <w:textAlignment w:val="auto"/>
        <w:rPr>
          <w:rFonts w:hint="eastAsia" w:ascii="方正仿宋简体" w:hAnsi="方正仿宋简体" w:eastAsia="方正仿宋简体" w:cs="方正仿宋简体"/>
          <w:spacing w:val="-6"/>
          <w:sz w:val="32"/>
          <w:szCs w:val="32"/>
        </w:rPr>
      </w:pPr>
      <w:r>
        <w:rPr>
          <w:rFonts w:hint="eastAsia" w:ascii="宋体" w:hAnsi="宋体"/>
          <w:spacing w:val="-6"/>
          <w:sz w:val="36"/>
          <w:szCs w:val="36"/>
        </w:rPr>
        <w:t xml:space="preserve">  </w:t>
      </w:r>
      <w:r>
        <w:rPr>
          <w:rFonts w:hint="eastAsia" w:ascii="宋体" w:hAnsi="宋体"/>
          <w:color w:val="0000FF"/>
          <w:spacing w:val="-6"/>
          <w:sz w:val="36"/>
          <w:szCs w:val="36"/>
        </w:rPr>
        <w:t xml:space="preserve"> </w:t>
      </w:r>
      <w:r>
        <w:rPr>
          <w:rFonts w:hint="eastAsia" w:ascii="宋体" w:hAnsi="宋体"/>
          <w:spacing w:val="-6"/>
          <w:sz w:val="32"/>
          <w:szCs w:val="32"/>
        </w:rPr>
        <w:t xml:space="preserve"> </w:t>
      </w:r>
      <w:r>
        <w:rPr>
          <w:rFonts w:hint="eastAsia" w:ascii="方正仿宋简体" w:hAnsi="方正仿宋简体" w:eastAsia="方正仿宋简体" w:cs="方正仿宋简体"/>
          <w:spacing w:val="-6"/>
          <w:sz w:val="32"/>
          <w:szCs w:val="32"/>
        </w:rPr>
        <w:t>在科学研究和技术服务业企业法人单位中，内资企业占</w:t>
      </w:r>
      <w:r>
        <w:rPr>
          <w:rFonts w:hint="eastAsia" w:ascii="Times New Roman" w:hAnsi="Times New Roman" w:eastAsia="方正仿宋简体" w:cs="Times New Roman"/>
          <w:spacing w:val="-6"/>
          <w:sz w:val="32"/>
          <w:szCs w:val="32"/>
        </w:rPr>
        <w:t>97.79%</w:t>
      </w:r>
      <w:r>
        <w:rPr>
          <w:rFonts w:hint="eastAsia" w:ascii="方正仿宋简体" w:hAnsi="方正仿宋简体" w:eastAsia="方正仿宋简体" w:cs="方正仿宋简体"/>
          <w:spacing w:val="-6"/>
          <w:sz w:val="32"/>
          <w:szCs w:val="32"/>
        </w:rPr>
        <w:t>，港澳台投资企业占</w:t>
      </w:r>
      <w:r>
        <w:rPr>
          <w:rFonts w:hint="eastAsia" w:ascii="Times New Roman" w:hAnsi="Times New Roman" w:eastAsia="方正仿宋简体" w:cs="Times New Roman"/>
          <w:spacing w:val="-6"/>
          <w:sz w:val="32"/>
          <w:szCs w:val="32"/>
        </w:rPr>
        <w:t>1.10%</w:t>
      </w:r>
      <w:r>
        <w:rPr>
          <w:rFonts w:hint="eastAsia" w:ascii="方正仿宋简体" w:hAnsi="方正仿宋简体" w:eastAsia="方正仿宋简体" w:cs="方正仿宋简体"/>
          <w:spacing w:val="-6"/>
          <w:sz w:val="32"/>
          <w:szCs w:val="32"/>
        </w:rPr>
        <w:t>，外商投资企业占</w:t>
      </w:r>
      <w:r>
        <w:rPr>
          <w:rFonts w:hint="eastAsia" w:ascii="Times New Roman" w:hAnsi="Times New Roman" w:eastAsia="方正仿宋简体" w:cs="Times New Roman"/>
          <w:spacing w:val="-6"/>
          <w:sz w:val="32"/>
          <w:szCs w:val="32"/>
        </w:rPr>
        <w:t>0.60%</w:t>
      </w:r>
      <w:r>
        <w:rPr>
          <w:rFonts w:hint="eastAsia" w:ascii="方正仿宋简体" w:hAnsi="方正仿宋简体" w:eastAsia="方正仿宋简体" w:cs="方正仿宋简体"/>
          <w:spacing w:val="-6"/>
          <w:sz w:val="32"/>
          <w:szCs w:val="32"/>
        </w:rPr>
        <w:t>。</w:t>
      </w:r>
    </w:p>
    <w:p w14:paraId="128D79AF">
      <w:pPr>
        <w:spacing w:line="600" w:lineRule="exact"/>
        <w:ind w:firstLine="0" w:firstLineChars="0"/>
        <w:textAlignment w:val="auto"/>
        <w:rPr>
          <w:rFonts w:hint="eastAsia" w:ascii="方正仿宋简体" w:hAnsi="方正仿宋简体" w:eastAsia="方正仿宋简体" w:cs="方正仿宋简体"/>
          <w:b/>
          <w:kern w:val="0"/>
          <w:sz w:val="24"/>
          <w:szCs w:val="24"/>
        </w:rPr>
      </w:pPr>
      <w:r>
        <w:rPr>
          <w:rFonts w:hint="eastAsia" w:ascii="方正仿宋简体" w:hAnsi="方正仿宋简体" w:eastAsia="方正仿宋简体" w:cs="方正仿宋简体"/>
          <w:spacing w:val="-6"/>
          <w:sz w:val="32"/>
          <w:szCs w:val="32"/>
        </w:rPr>
        <w:t xml:space="preserve">    在科学研究和技术服务业企业法人单位从业人员中，内资企业占</w:t>
      </w:r>
      <w:r>
        <w:rPr>
          <w:rFonts w:hint="eastAsia" w:ascii="Times New Roman" w:hAnsi="Times New Roman" w:eastAsia="方正仿宋简体" w:cs="Times New Roman"/>
          <w:spacing w:val="-6"/>
          <w:sz w:val="32"/>
          <w:szCs w:val="32"/>
        </w:rPr>
        <w:t>98.00%</w:t>
      </w:r>
      <w:r>
        <w:rPr>
          <w:rFonts w:hint="eastAsia" w:ascii="方正仿宋简体" w:hAnsi="方正仿宋简体" w:eastAsia="方正仿宋简体" w:cs="方正仿宋简体"/>
          <w:spacing w:val="-6"/>
          <w:sz w:val="32"/>
          <w:szCs w:val="32"/>
        </w:rPr>
        <w:t>，港澳台投资企业占</w:t>
      </w:r>
      <w:r>
        <w:rPr>
          <w:rFonts w:hint="eastAsia" w:ascii="Times New Roman" w:hAnsi="Times New Roman" w:eastAsia="方正仿宋简体" w:cs="Times New Roman"/>
          <w:spacing w:val="-6"/>
          <w:sz w:val="32"/>
          <w:szCs w:val="32"/>
        </w:rPr>
        <w:t>1.33%</w:t>
      </w:r>
      <w:r>
        <w:rPr>
          <w:rFonts w:hint="eastAsia" w:ascii="方正仿宋简体" w:hAnsi="方正仿宋简体" w:eastAsia="方正仿宋简体" w:cs="方正仿宋简体"/>
          <w:spacing w:val="-6"/>
          <w:sz w:val="32"/>
          <w:szCs w:val="32"/>
        </w:rPr>
        <w:t>，外商投资企业占</w:t>
      </w:r>
      <w:r>
        <w:rPr>
          <w:rFonts w:hint="eastAsia" w:ascii="Times New Roman" w:hAnsi="Times New Roman" w:eastAsia="方正仿宋简体" w:cs="Times New Roman"/>
          <w:spacing w:val="-6"/>
          <w:sz w:val="32"/>
          <w:szCs w:val="32"/>
        </w:rPr>
        <w:t>0.60%</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5-2</w:t>
      </w:r>
      <w:r>
        <w:rPr>
          <w:rFonts w:hint="eastAsia" w:ascii="方正仿宋简体" w:hAnsi="方正仿宋简体" w:eastAsia="方正仿宋简体" w:cs="方正仿宋简体"/>
          <w:spacing w:val="-6"/>
          <w:sz w:val="32"/>
          <w:szCs w:val="32"/>
        </w:rPr>
        <w:t>）。</w:t>
      </w:r>
    </w:p>
    <w:p w14:paraId="59C5C97D">
      <w:pPr>
        <w:spacing w:beforeLines="30"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eastAsia" w:ascii="Times New Roman" w:hAnsi="Times New Roman" w:eastAsia="宋体" w:cs="Times New Roman"/>
          <w:b/>
          <w:kern w:val="0"/>
          <w:sz w:val="24"/>
          <w:szCs w:val="24"/>
        </w:rPr>
        <w:t>5-2</w:t>
      </w:r>
      <w:r>
        <w:rPr>
          <w:rFonts w:hint="eastAsia" w:ascii="宋体" w:hAnsi="宋体" w:eastAsia="宋体" w:cs="宋体"/>
          <w:b/>
          <w:kern w:val="0"/>
          <w:sz w:val="24"/>
          <w:szCs w:val="24"/>
        </w:rPr>
        <w:t>　按登记注册统计类别分组的科学研究和技术服务业</w:t>
      </w:r>
    </w:p>
    <w:p w14:paraId="29389054">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企业法人单位数和从业人员</w:t>
      </w:r>
    </w:p>
    <w:tbl>
      <w:tblPr>
        <w:tblStyle w:val="18"/>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3350"/>
        <w:gridCol w:w="2930"/>
        <w:gridCol w:w="2391"/>
      </w:tblGrid>
      <w:tr w14:paraId="7667ADD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1931" w:type="pct"/>
            <w:tcBorders>
              <w:top w:val="single" w:color="auto" w:sz="12" w:space="0"/>
              <w:left w:val="nil"/>
              <w:bottom w:val="single" w:color="auto" w:sz="4" w:space="0"/>
              <w:right w:val="single" w:color="auto" w:sz="4" w:space="0"/>
            </w:tcBorders>
            <w:vAlign w:val="center"/>
          </w:tcPr>
          <w:p w14:paraId="391BA922">
            <w:pPr>
              <w:spacing w:line="320" w:lineRule="exact"/>
              <w:ind w:left="57" w:right="57" w:firstLine="0" w:firstLineChars="0"/>
              <w:jc w:val="center"/>
              <w:textAlignment w:val="auto"/>
              <w:rPr>
                <w:rFonts w:ascii="宋体" w:hAnsi="宋体" w:eastAsia="宋体" w:cs="宋体"/>
                <w:sz w:val="21"/>
                <w:szCs w:val="21"/>
              </w:rPr>
            </w:pPr>
          </w:p>
        </w:tc>
        <w:tc>
          <w:tcPr>
            <w:tcW w:w="1689" w:type="pct"/>
            <w:tcBorders>
              <w:top w:val="single" w:color="auto" w:sz="12" w:space="0"/>
              <w:left w:val="single" w:color="auto" w:sz="4" w:space="0"/>
              <w:bottom w:val="single" w:color="auto" w:sz="4" w:space="0"/>
              <w:right w:val="single" w:color="auto" w:sz="4" w:space="0"/>
            </w:tcBorders>
            <w:vAlign w:val="center"/>
          </w:tcPr>
          <w:p w14:paraId="431FFD57">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企业法人单位</w:t>
            </w:r>
          </w:p>
          <w:p w14:paraId="11C60A4E">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（个）</w:t>
            </w:r>
          </w:p>
        </w:tc>
        <w:tc>
          <w:tcPr>
            <w:tcW w:w="1378" w:type="pct"/>
            <w:tcBorders>
              <w:top w:val="single" w:color="auto" w:sz="12" w:space="0"/>
              <w:left w:val="single" w:color="auto" w:sz="4" w:space="0"/>
              <w:bottom w:val="single" w:color="auto" w:sz="4" w:space="0"/>
              <w:right w:val="nil"/>
            </w:tcBorders>
            <w:vAlign w:val="center"/>
          </w:tcPr>
          <w:p w14:paraId="1AB850D4">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从业人员</w:t>
            </w:r>
          </w:p>
          <w:p w14:paraId="28240DF3">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（人）</w:t>
            </w:r>
          </w:p>
        </w:tc>
      </w:tr>
      <w:tr w14:paraId="7CD94EE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31" w:type="pct"/>
            <w:tcBorders>
              <w:top w:val="single" w:color="auto" w:sz="4" w:space="0"/>
              <w:left w:val="nil"/>
              <w:bottom w:val="nil"/>
              <w:right w:val="single" w:color="auto" w:sz="4" w:space="0"/>
            </w:tcBorders>
            <w:vAlign w:val="center"/>
          </w:tcPr>
          <w:p w14:paraId="55E2AADF">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1689" w:type="pct"/>
            <w:tcBorders>
              <w:top w:val="single" w:color="auto" w:sz="4" w:space="0"/>
              <w:left w:val="single" w:color="auto" w:sz="4" w:space="0"/>
              <w:bottom w:val="nil"/>
              <w:right w:val="single" w:color="auto" w:sz="4" w:space="0"/>
            </w:tcBorders>
            <w:vAlign w:val="center"/>
          </w:tcPr>
          <w:p w14:paraId="0EA36025">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996</w:t>
            </w:r>
          </w:p>
        </w:tc>
        <w:tc>
          <w:tcPr>
            <w:tcW w:w="2407" w:type="dxa"/>
            <w:tcBorders>
              <w:top w:val="single" w:color="auto" w:sz="4" w:space="0"/>
              <w:left w:val="single" w:color="auto" w:sz="4" w:space="0"/>
              <w:bottom w:val="nil"/>
              <w:right w:val="nil"/>
            </w:tcBorders>
            <w:vAlign w:val="center"/>
          </w:tcPr>
          <w:p w14:paraId="78941FA8">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8180</w:t>
            </w:r>
          </w:p>
        </w:tc>
      </w:tr>
      <w:tr w14:paraId="12C788D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31" w:type="pct"/>
            <w:tcBorders>
              <w:top w:val="nil"/>
              <w:left w:val="nil"/>
              <w:bottom w:val="nil"/>
              <w:right w:val="single" w:color="auto" w:sz="4" w:space="0"/>
            </w:tcBorders>
            <w:vAlign w:val="center"/>
          </w:tcPr>
          <w:p w14:paraId="5DA63B76">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内资企业</w:t>
            </w:r>
          </w:p>
        </w:tc>
        <w:tc>
          <w:tcPr>
            <w:tcW w:w="1689" w:type="pct"/>
            <w:tcBorders>
              <w:top w:val="nil"/>
              <w:left w:val="single" w:color="auto" w:sz="4" w:space="0"/>
              <w:bottom w:val="nil"/>
              <w:right w:val="single" w:color="auto" w:sz="4" w:space="0"/>
            </w:tcBorders>
            <w:vAlign w:val="center"/>
          </w:tcPr>
          <w:p w14:paraId="47ED5595">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974</w:t>
            </w:r>
          </w:p>
        </w:tc>
        <w:tc>
          <w:tcPr>
            <w:tcW w:w="2407" w:type="dxa"/>
            <w:tcBorders>
              <w:top w:val="nil"/>
              <w:left w:val="single" w:color="auto" w:sz="4" w:space="0"/>
              <w:bottom w:val="nil"/>
              <w:right w:val="nil"/>
            </w:tcBorders>
            <w:vAlign w:val="center"/>
          </w:tcPr>
          <w:p w14:paraId="0E4B3789">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8016</w:t>
            </w:r>
          </w:p>
        </w:tc>
      </w:tr>
      <w:tr w14:paraId="50C85DE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31" w:type="pct"/>
            <w:tcBorders>
              <w:top w:val="nil"/>
              <w:left w:val="nil"/>
              <w:bottom w:val="nil"/>
              <w:right w:val="single" w:color="auto" w:sz="4" w:space="0"/>
            </w:tcBorders>
            <w:vAlign w:val="center"/>
          </w:tcPr>
          <w:p w14:paraId="29789D30">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港澳台投资企业</w:t>
            </w:r>
          </w:p>
        </w:tc>
        <w:tc>
          <w:tcPr>
            <w:tcW w:w="1689" w:type="pct"/>
            <w:tcBorders>
              <w:top w:val="nil"/>
              <w:left w:val="single" w:color="auto" w:sz="4" w:space="0"/>
              <w:bottom w:val="nil"/>
              <w:right w:val="single" w:color="auto" w:sz="4" w:space="0"/>
            </w:tcBorders>
            <w:vAlign w:val="center"/>
          </w:tcPr>
          <w:p w14:paraId="3B00EABC">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11</w:t>
            </w:r>
          </w:p>
        </w:tc>
        <w:tc>
          <w:tcPr>
            <w:tcW w:w="2407" w:type="dxa"/>
            <w:tcBorders>
              <w:top w:val="nil"/>
              <w:left w:val="single" w:color="auto" w:sz="4" w:space="0"/>
              <w:bottom w:val="nil"/>
              <w:right w:val="nil"/>
            </w:tcBorders>
            <w:vAlign w:val="center"/>
          </w:tcPr>
          <w:p w14:paraId="24ED9262">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109</w:t>
            </w:r>
          </w:p>
        </w:tc>
      </w:tr>
      <w:tr w14:paraId="06F9E9D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31" w:type="pct"/>
            <w:tcBorders>
              <w:top w:val="nil"/>
              <w:left w:val="nil"/>
              <w:bottom w:val="nil"/>
              <w:right w:val="single" w:color="auto" w:sz="4" w:space="0"/>
            </w:tcBorders>
            <w:vAlign w:val="center"/>
          </w:tcPr>
          <w:p w14:paraId="2FB17234">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外商投资企业</w:t>
            </w:r>
          </w:p>
        </w:tc>
        <w:tc>
          <w:tcPr>
            <w:tcW w:w="1689" w:type="pct"/>
            <w:tcBorders>
              <w:top w:val="nil"/>
              <w:left w:val="single" w:color="auto" w:sz="4" w:space="0"/>
              <w:bottom w:val="nil"/>
              <w:right w:val="single" w:color="auto" w:sz="4" w:space="0"/>
            </w:tcBorders>
            <w:vAlign w:val="center"/>
          </w:tcPr>
          <w:p w14:paraId="74367C43">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6</w:t>
            </w:r>
          </w:p>
        </w:tc>
        <w:tc>
          <w:tcPr>
            <w:tcW w:w="2407" w:type="dxa"/>
            <w:tcBorders>
              <w:top w:val="nil"/>
              <w:left w:val="single" w:color="auto" w:sz="4" w:space="0"/>
              <w:bottom w:val="nil"/>
              <w:right w:val="nil"/>
            </w:tcBorders>
            <w:vAlign w:val="center"/>
          </w:tcPr>
          <w:p w14:paraId="25FEDE1E">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49</w:t>
            </w:r>
          </w:p>
        </w:tc>
      </w:tr>
      <w:tr w14:paraId="6F8C6EE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31" w:type="pct"/>
            <w:tcBorders>
              <w:top w:val="nil"/>
              <w:left w:val="nil"/>
              <w:bottom w:val="single" w:color="auto" w:sz="12" w:space="0"/>
              <w:right w:val="single" w:color="auto" w:sz="4" w:space="0"/>
            </w:tcBorders>
            <w:vAlign w:val="center"/>
          </w:tcPr>
          <w:p w14:paraId="79D3FF17">
            <w:pPr>
              <w:spacing w:line="320" w:lineRule="exact"/>
              <w:ind w:right="57" w:firstLine="0" w:firstLineChars="0"/>
              <w:jc w:val="left"/>
              <w:textAlignment w:val="auto"/>
              <w:rPr>
                <w:rFonts w:ascii="宋体" w:hAnsi="宋体" w:eastAsia="宋体" w:cs="宋体"/>
                <w:bCs/>
                <w:kern w:val="0"/>
                <w:sz w:val="21"/>
                <w:szCs w:val="21"/>
              </w:rPr>
            </w:pPr>
            <w:r>
              <w:rPr>
                <w:rFonts w:hint="eastAsia" w:ascii="宋体" w:hAnsi="宋体" w:eastAsia="宋体" w:cs="宋体"/>
                <w:bCs/>
                <w:kern w:val="0"/>
                <w:sz w:val="21"/>
                <w:szCs w:val="21"/>
              </w:rPr>
              <w:t>其他统计类别</w:t>
            </w:r>
          </w:p>
        </w:tc>
        <w:tc>
          <w:tcPr>
            <w:tcW w:w="1689" w:type="pct"/>
            <w:tcBorders>
              <w:top w:val="nil"/>
              <w:left w:val="single" w:color="auto" w:sz="4" w:space="0"/>
              <w:bottom w:val="single" w:color="auto" w:sz="12" w:space="0"/>
              <w:right w:val="single" w:color="auto" w:sz="4" w:space="0"/>
            </w:tcBorders>
            <w:vAlign w:val="center"/>
          </w:tcPr>
          <w:p w14:paraId="6DA561D3">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5</w:t>
            </w:r>
          </w:p>
        </w:tc>
        <w:tc>
          <w:tcPr>
            <w:tcW w:w="2407" w:type="dxa"/>
            <w:tcBorders>
              <w:top w:val="nil"/>
              <w:left w:val="single" w:color="auto" w:sz="4" w:space="0"/>
              <w:bottom w:val="single" w:color="auto" w:sz="12" w:space="0"/>
              <w:right w:val="nil"/>
            </w:tcBorders>
            <w:vAlign w:val="center"/>
          </w:tcPr>
          <w:p w14:paraId="1710C350">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6</w:t>
            </w:r>
          </w:p>
        </w:tc>
      </w:tr>
    </w:tbl>
    <w:p w14:paraId="3328641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宋体" w:hAnsi="宋体" w:eastAsia="方正楷体_GBK" w:cs="方正楷体_GBK"/>
          <w:sz w:val="32"/>
          <w:szCs w:val="32"/>
        </w:rPr>
      </w:pPr>
      <w:r>
        <w:rPr>
          <w:rFonts w:hint="eastAsia" w:ascii="黑体" w:hAnsi="黑体" w:eastAsia="黑体" w:cs="黑体"/>
          <w:kern w:val="0"/>
          <w:sz w:val="32"/>
          <w:szCs w:val="32"/>
        </w:rPr>
        <w:t>（二）主要经济指标</w:t>
      </w:r>
    </w:p>
    <w:p w14:paraId="552E42A6">
      <w:pPr>
        <w:spacing w:line="600" w:lineRule="exact"/>
        <w:ind w:firstLine="0" w:firstLineChars="0"/>
        <w:textAlignment w:val="auto"/>
        <w:rPr>
          <w:rFonts w:hint="eastAsia" w:ascii="方正仿宋简体" w:hAnsi="方正仿宋简体" w:eastAsia="方正仿宋简体" w:cs="方正仿宋简体"/>
          <w:spacing w:val="-6"/>
          <w:sz w:val="32"/>
          <w:szCs w:val="32"/>
        </w:rPr>
      </w:pPr>
      <w:r>
        <w:rPr>
          <w:rFonts w:hint="eastAsia" w:ascii="宋体" w:hAnsi="宋体"/>
          <w:spacing w:val="-6"/>
          <w:sz w:val="32"/>
          <w:szCs w:val="32"/>
        </w:rPr>
        <w:t xml:space="preserve">    </w:t>
      </w: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年末，科学研究和技术服务业企业法人单位资产总计</w:t>
      </w:r>
      <w:r>
        <w:rPr>
          <w:rFonts w:hint="eastAsia" w:ascii="Times New Roman" w:hAnsi="Times New Roman" w:eastAsia="方正仿宋简体" w:cs="Times New Roman"/>
          <w:spacing w:val="-6"/>
          <w:sz w:val="32"/>
          <w:szCs w:val="32"/>
        </w:rPr>
        <w:t>375.9</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526.0%</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sz w:val="32"/>
          <w:szCs w:val="32"/>
        </w:rPr>
        <w:t>238.8</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1324.6%</w:t>
      </w:r>
      <w:r>
        <w:rPr>
          <w:rFonts w:hint="eastAsia" w:ascii="方正仿宋简体" w:hAnsi="方正仿宋简体" w:eastAsia="方正仿宋简体" w:cs="方正仿宋简体"/>
          <w:spacing w:val="-6"/>
          <w:sz w:val="32"/>
          <w:szCs w:val="32"/>
        </w:rPr>
        <w:t>。</w:t>
      </w:r>
    </w:p>
    <w:p w14:paraId="7D590DAD">
      <w:pPr>
        <w:spacing w:line="600" w:lineRule="exact"/>
        <w:ind w:firstLine="0" w:firstLineChars="0"/>
        <w:textAlignment w:val="auto"/>
        <w:rPr>
          <w:rFonts w:hint="eastAsia" w:ascii="方正仿宋简体" w:hAnsi="方正仿宋简体" w:eastAsia="方正仿宋简体" w:cs="方正仿宋简体"/>
          <w:b/>
          <w:kern w:val="0"/>
          <w:sz w:val="24"/>
          <w:szCs w:val="24"/>
        </w:rPr>
      </w:pPr>
      <w:r>
        <w:rPr>
          <w:rFonts w:hint="eastAsia" w:ascii="方正仿宋简体" w:hAnsi="方正仿宋简体" w:eastAsia="方正仿宋简体" w:cs="方正仿宋简体"/>
          <w:spacing w:val="-6"/>
          <w:sz w:val="32"/>
          <w:szCs w:val="32"/>
        </w:rPr>
        <w:t xml:space="preserve">    </w:t>
      </w: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年，科学研究和技术服务业企业法人单位全年实现营业收入</w:t>
      </w:r>
      <w:r>
        <w:rPr>
          <w:rFonts w:hint="eastAsia" w:ascii="Times New Roman" w:hAnsi="Times New Roman" w:eastAsia="方正仿宋简体" w:cs="Times New Roman"/>
          <w:spacing w:val="-6"/>
          <w:sz w:val="32"/>
          <w:szCs w:val="32"/>
        </w:rPr>
        <w:t>27.0</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sz w:val="32"/>
          <w:szCs w:val="32"/>
        </w:rPr>
        <w:t>683.4%</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5-3</w:t>
      </w:r>
      <w:r>
        <w:rPr>
          <w:rFonts w:hint="eastAsia" w:ascii="方正仿宋简体" w:hAnsi="方正仿宋简体" w:eastAsia="方正仿宋简体" w:cs="方正仿宋简体"/>
          <w:spacing w:val="-6"/>
          <w:sz w:val="32"/>
          <w:szCs w:val="32"/>
        </w:rPr>
        <w:t>）。</w:t>
      </w:r>
    </w:p>
    <w:p w14:paraId="6601E67C">
      <w:pPr>
        <w:spacing w:beforeLines="30"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eastAsia" w:ascii="Times New Roman" w:hAnsi="Times New Roman" w:eastAsia="宋体" w:cs="Times New Roman"/>
          <w:b/>
          <w:kern w:val="0"/>
          <w:sz w:val="24"/>
          <w:szCs w:val="24"/>
        </w:rPr>
        <w:t>5-3</w:t>
      </w:r>
      <w:r>
        <w:rPr>
          <w:rFonts w:hint="eastAsia" w:ascii="宋体" w:hAnsi="宋体" w:eastAsia="宋体" w:cs="宋体"/>
          <w:b/>
          <w:kern w:val="0"/>
          <w:sz w:val="24"/>
          <w:szCs w:val="24"/>
        </w:rPr>
        <w:t>　按行业大类分组的科学研究和技术服务业</w:t>
      </w:r>
    </w:p>
    <w:p w14:paraId="0DA805BE">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企业法人单位主要经济指标</w:t>
      </w:r>
    </w:p>
    <w:tbl>
      <w:tblPr>
        <w:tblStyle w:val="18"/>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008"/>
        <w:gridCol w:w="1556"/>
        <w:gridCol w:w="1556"/>
        <w:gridCol w:w="1554"/>
      </w:tblGrid>
      <w:tr w14:paraId="5F67BE8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4041" w:type="dxa"/>
            <w:tcBorders>
              <w:top w:val="single" w:color="auto" w:sz="12" w:space="0"/>
              <w:left w:val="nil"/>
              <w:bottom w:val="single" w:color="auto" w:sz="4" w:space="0"/>
              <w:right w:val="single" w:color="auto" w:sz="4" w:space="0"/>
            </w:tcBorders>
            <w:vAlign w:val="center"/>
          </w:tcPr>
          <w:p w14:paraId="691F80C2">
            <w:pPr>
              <w:spacing w:line="320" w:lineRule="exact"/>
              <w:ind w:left="57" w:right="57" w:firstLine="0" w:firstLineChars="0"/>
              <w:jc w:val="center"/>
              <w:textAlignment w:val="auto"/>
              <w:rPr>
                <w:rFonts w:ascii="宋体" w:hAnsi="宋体" w:eastAsia="宋体" w:cs="宋体"/>
                <w:b/>
                <w:bCs/>
                <w:sz w:val="21"/>
                <w:szCs w:val="21"/>
              </w:rPr>
            </w:pPr>
          </w:p>
        </w:tc>
        <w:tc>
          <w:tcPr>
            <w:tcW w:w="1564" w:type="dxa"/>
            <w:tcBorders>
              <w:top w:val="single" w:color="auto" w:sz="12" w:space="0"/>
              <w:left w:val="single" w:color="auto" w:sz="4" w:space="0"/>
              <w:bottom w:val="single" w:color="auto" w:sz="4" w:space="0"/>
              <w:right w:val="single" w:color="auto" w:sz="4" w:space="0"/>
            </w:tcBorders>
            <w:vAlign w:val="center"/>
          </w:tcPr>
          <w:p w14:paraId="79CE4BD0">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资产总计</w:t>
            </w:r>
          </w:p>
          <w:p w14:paraId="559D33E3">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（亿元）</w:t>
            </w:r>
          </w:p>
        </w:tc>
        <w:tc>
          <w:tcPr>
            <w:tcW w:w="1564" w:type="dxa"/>
            <w:tcBorders>
              <w:top w:val="single" w:color="auto" w:sz="12" w:space="0"/>
              <w:left w:val="single" w:color="auto" w:sz="4" w:space="0"/>
              <w:bottom w:val="single" w:color="auto" w:sz="4" w:space="0"/>
              <w:right w:val="single" w:color="auto" w:sz="4" w:space="0"/>
            </w:tcBorders>
            <w:vAlign w:val="center"/>
          </w:tcPr>
          <w:p w14:paraId="28AAD294">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负债合计</w:t>
            </w:r>
          </w:p>
          <w:p w14:paraId="5ECD2D7C">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（亿元）</w:t>
            </w:r>
          </w:p>
        </w:tc>
        <w:tc>
          <w:tcPr>
            <w:tcW w:w="1563" w:type="dxa"/>
            <w:tcBorders>
              <w:top w:val="single" w:color="auto" w:sz="12" w:space="0"/>
              <w:left w:val="single" w:color="auto" w:sz="4" w:space="0"/>
              <w:bottom w:val="single" w:color="auto" w:sz="4" w:space="0"/>
              <w:right w:val="nil"/>
            </w:tcBorders>
            <w:vAlign w:val="center"/>
          </w:tcPr>
          <w:p w14:paraId="7AA59D92">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营业收入</w:t>
            </w:r>
          </w:p>
          <w:p w14:paraId="44F1D887">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（亿元）</w:t>
            </w:r>
          </w:p>
        </w:tc>
      </w:tr>
      <w:tr w14:paraId="499A0AD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4041" w:type="dxa"/>
            <w:tcBorders>
              <w:top w:val="single" w:color="auto" w:sz="4" w:space="0"/>
              <w:left w:val="nil"/>
              <w:bottom w:val="nil"/>
              <w:right w:val="single" w:color="auto" w:sz="4" w:space="0"/>
            </w:tcBorders>
            <w:vAlign w:val="center"/>
          </w:tcPr>
          <w:p w14:paraId="0738E21D">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1564" w:type="dxa"/>
            <w:tcBorders>
              <w:top w:val="single" w:color="auto" w:sz="4" w:space="0"/>
              <w:left w:val="single" w:color="auto" w:sz="4" w:space="0"/>
              <w:bottom w:val="nil"/>
              <w:right w:val="single" w:color="auto" w:sz="4" w:space="0"/>
            </w:tcBorders>
            <w:vAlign w:val="center"/>
          </w:tcPr>
          <w:p w14:paraId="51CD333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375.9</w:t>
            </w:r>
          </w:p>
        </w:tc>
        <w:tc>
          <w:tcPr>
            <w:tcW w:w="1564" w:type="dxa"/>
            <w:tcBorders>
              <w:top w:val="single" w:color="auto" w:sz="4" w:space="0"/>
              <w:left w:val="single" w:color="auto" w:sz="4" w:space="0"/>
              <w:bottom w:val="nil"/>
              <w:right w:val="single" w:color="auto" w:sz="4" w:space="0"/>
            </w:tcBorders>
            <w:vAlign w:val="center"/>
          </w:tcPr>
          <w:p w14:paraId="2799997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238.8</w:t>
            </w:r>
          </w:p>
        </w:tc>
        <w:tc>
          <w:tcPr>
            <w:tcW w:w="1563" w:type="dxa"/>
            <w:tcBorders>
              <w:top w:val="single" w:color="auto" w:sz="4" w:space="0"/>
              <w:left w:val="single" w:color="auto" w:sz="4" w:space="0"/>
              <w:bottom w:val="nil"/>
              <w:right w:val="nil"/>
            </w:tcBorders>
            <w:vAlign w:val="center"/>
          </w:tcPr>
          <w:p w14:paraId="48E45DD4">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27.0</w:t>
            </w:r>
          </w:p>
        </w:tc>
      </w:tr>
      <w:tr w14:paraId="140A6FE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4041" w:type="dxa"/>
            <w:tcBorders>
              <w:top w:val="nil"/>
              <w:left w:val="nil"/>
              <w:bottom w:val="nil"/>
              <w:right w:val="single" w:color="auto" w:sz="4" w:space="0"/>
            </w:tcBorders>
            <w:vAlign w:val="center"/>
          </w:tcPr>
          <w:p w14:paraId="2F5D5D2F">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研究和试验发展</w:t>
            </w:r>
          </w:p>
        </w:tc>
        <w:tc>
          <w:tcPr>
            <w:tcW w:w="1564" w:type="dxa"/>
            <w:tcBorders>
              <w:top w:val="nil"/>
              <w:left w:val="single" w:color="auto" w:sz="4" w:space="0"/>
              <w:bottom w:val="nil"/>
              <w:right w:val="single" w:color="auto" w:sz="4" w:space="0"/>
            </w:tcBorders>
            <w:vAlign w:val="center"/>
          </w:tcPr>
          <w:p w14:paraId="26093B27">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0.8</w:t>
            </w:r>
          </w:p>
        </w:tc>
        <w:tc>
          <w:tcPr>
            <w:tcW w:w="1564" w:type="dxa"/>
            <w:tcBorders>
              <w:top w:val="nil"/>
              <w:left w:val="single" w:color="auto" w:sz="4" w:space="0"/>
              <w:bottom w:val="nil"/>
              <w:right w:val="single" w:color="auto" w:sz="4" w:space="0"/>
            </w:tcBorders>
            <w:vAlign w:val="center"/>
          </w:tcPr>
          <w:p w14:paraId="7FE38AF0">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0.5</w:t>
            </w:r>
          </w:p>
        </w:tc>
        <w:tc>
          <w:tcPr>
            <w:tcW w:w="1563" w:type="dxa"/>
            <w:tcBorders>
              <w:top w:val="nil"/>
              <w:left w:val="single" w:color="auto" w:sz="4" w:space="0"/>
              <w:bottom w:val="nil"/>
              <w:right w:val="nil"/>
            </w:tcBorders>
            <w:vAlign w:val="center"/>
          </w:tcPr>
          <w:p w14:paraId="200E6F48">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0.7</w:t>
            </w:r>
          </w:p>
        </w:tc>
      </w:tr>
      <w:tr w14:paraId="08038F5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4041" w:type="dxa"/>
            <w:tcBorders>
              <w:top w:val="nil"/>
              <w:left w:val="nil"/>
              <w:bottom w:val="nil"/>
              <w:right w:val="single" w:color="auto" w:sz="4" w:space="0"/>
            </w:tcBorders>
            <w:vAlign w:val="center"/>
          </w:tcPr>
          <w:p w14:paraId="20192251">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专业技术服务业</w:t>
            </w:r>
          </w:p>
        </w:tc>
        <w:tc>
          <w:tcPr>
            <w:tcW w:w="1564" w:type="dxa"/>
            <w:tcBorders>
              <w:top w:val="nil"/>
              <w:left w:val="single" w:color="auto" w:sz="4" w:space="0"/>
              <w:bottom w:val="nil"/>
              <w:right w:val="single" w:color="auto" w:sz="4" w:space="0"/>
            </w:tcBorders>
            <w:vAlign w:val="center"/>
          </w:tcPr>
          <w:p w14:paraId="0F3FC27A">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339.8</w:t>
            </w:r>
          </w:p>
        </w:tc>
        <w:tc>
          <w:tcPr>
            <w:tcW w:w="1564" w:type="dxa"/>
            <w:tcBorders>
              <w:top w:val="nil"/>
              <w:left w:val="single" w:color="auto" w:sz="4" w:space="0"/>
              <w:bottom w:val="nil"/>
              <w:right w:val="single" w:color="auto" w:sz="4" w:space="0"/>
            </w:tcBorders>
            <w:vAlign w:val="center"/>
          </w:tcPr>
          <w:p w14:paraId="5D471CBA">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224.9</w:t>
            </w:r>
          </w:p>
        </w:tc>
        <w:tc>
          <w:tcPr>
            <w:tcW w:w="1563" w:type="dxa"/>
            <w:tcBorders>
              <w:top w:val="nil"/>
              <w:left w:val="single" w:color="auto" w:sz="4" w:space="0"/>
              <w:bottom w:val="nil"/>
              <w:right w:val="nil"/>
            </w:tcBorders>
            <w:vAlign w:val="center"/>
          </w:tcPr>
          <w:p w14:paraId="249931ED">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8.8</w:t>
            </w:r>
          </w:p>
        </w:tc>
      </w:tr>
      <w:tr w14:paraId="3DA368B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4041" w:type="dxa"/>
            <w:tcBorders>
              <w:top w:val="nil"/>
              <w:left w:val="nil"/>
              <w:bottom w:val="single" w:color="auto" w:sz="12" w:space="0"/>
              <w:right w:val="single" w:color="auto" w:sz="4" w:space="0"/>
            </w:tcBorders>
            <w:vAlign w:val="center"/>
          </w:tcPr>
          <w:p w14:paraId="47B1038C">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科技推广和应用服务业</w:t>
            </w:r>
          </w:p>
        </w:tc>
        <w:tc>
          <w:tcPr>
            <w:tcW w:w="1564" w:type="dxa"/>
            <w:tcBorders>
              <w:top w:val="nil"/>
              <w:left w:val="single" w:color="auto" w:sz="4" w:space="0"/>
              <w:bottom w:val="single" w:color="auto" w:sz="12" w:space="0"/>
              <w:right w:val="single" w:color="auto" w:sz="4" w:space="0"/>
            </w:tcBorders>
            <w:vAlign w:val="center"/>
          </w:tcPr>
          <w:p w14:paraId="45E1C777">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35.3</w:t>
            </w:r>
          </w:p>
        </w:tc>
        <w:tc>
          <w:tcPr>
            <w:tcW w:w="1564" w:type="dxa"/>
            <w:tcBorders>
              <w:top w:val="nil"/>
              <w:left w:val="single" w:color="auto" w:sz="4" w:space="0"/>
              <w:bottom w:val="single" w:color="auto" w:sz="12" w:space="0"/>
              <w:right w:val="single" w:color="auto" w:sz="4" w:space="0"/>
            </w:tcBorders>
            <w:vAlign w:val="center"/>
          </w:tcPr>
          <w:p w14:paraId="723F48F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13.4</w:t>
            </w:r>
          </w:p>
        </w:tc>
        <w:tc>
          <w:tcPr>
            <w:tcW w:w="1563" w:type="dxa"/>
            <w:tcBorders>
              <w:top w:val="nil"/>
              <w:left w:val="single" w:color="auto" w:sz="4" w:space="0"/>
              <w:bottom w:val="single" w:color="auto" w:sz="12" w:space="0"/>
              <w:right w:val="nil"/>
            </w:tcBorders>
            <w:vAlign w:val="center"/>
          </w:tcPr>
          <w:p w14:paraId="39C799F5">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17.5</w:t>
            </w:r>
          </w:p>
        </w:tc>
      </w:tr>
    </w:tbl>
    <w:p w14:paraId="63A01EFB">
      <w:pPr>
        <w:spacing w:line="600" w:lineRule="exact"/>
        <w:ind w:firstLine="0" w:firstLineChars="0"/>
        <w:jc w:val="left"/>
        <w:textAlignment w:val="auto"/>
        <w:rPr>
          <w:rFonts w:ascii="方正黑体_GBK" w:hAnsi="方正黑体_GBK" w:eastAsia="方正黑体_GBK" w:cs="方正黑体_GBK"/>
          <w:kern w:val="0"/>
          <w:sz w:val="32"/>
          <w:szCs w:val="32"/>
        </w:rPr>
      </w:pPr>
    </w:p>
    <w:p w14:paraId="7AF2CFB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水利、环境和公共设施管理业</w:t>
      </w:r>
    </w:p>
    <w:p w14:paraId="2042FA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ascii="宋体" w:hAnsi="宋体" w:eastAsia="方正楷体_GBK" w:cs="方正楷体_GBK"/>
          <w:sz w:val="32"/>
          <w:szCs w:val="32"/>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（一）法人单位数和从业人员</w:t>
      </w:r>
    </w:p>
    <w:p w14:paraId="2DD9F97B">
      <w:pPr>
        <w:spacing w:line="600" w:lineRule="exact"/>
        <w:ind w:firstLine="600" w:firstLineChars="0"/>
        <w:textAlignment w:val="auto"/>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年末，全区共有水利、环境和公共设施管理业法人单位</w:t>
      </w:r>
      <w:r>
        <w:rPr>
          <w:rFonts w:hint="eastAsia" w:ascii="Times New Roman" w:hAnsi="Times New Roman" w:eastAsia="方正仿宋简体" w:cs="Times New Roman"/>
          <w:spacing w:val="-6"/>
          <w:sz w:val="32"/>
          <w:szCs w:val="32"/>
        </w:rPr>
        <w:t>103</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3630</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年末下降</w:t>
      </w:r>
      <w:r>
        <w:rPr>
          <w:rFonts w:hint="eastAsia" w:ascii="Times New Roman" w:hAnsi="Times New Roman" w:eastAsia="方正仿宋简体" w:cs="Times New Roman"/>
          <w:spacing w:val="-6"/>
          <w:sz w:val="32"/>
          <w:szCs w:val="32"/>
        </w:rPr>
        <w:t>6.4%</w:t>
      </w:r>
      <w:r>
        <w:rPr>
          <w:rFonts w:hint="eastAsia" w:ascii="方正仿宋简体" w:hAnsi="方正仿宋简体" w:eastAsia="方正仿宋简体" w:cs="方正仿宋简体"/>
          <w:spacing w:val="-6"/>
          <w:sz w:val="32"/>
          <w:szCs w:val="32"/>
        </w:rPr>
        <w:t>和增长</w:t>
      </w:r>
      <w:r>
        <w:rPr>
          <w:rFonts w:hint="eastAsia" w:ascii="Times New Roman" w:hAnsi="Times New Roman" w:eastAsia="方正仿宋简体" w:cs="Times New Roman"/>
          <w:spacing w:val="-6"/>
          <w:sz w:val="32"/>
          <w:szCs w:val="32"/>
        </w:rPr>
        <w:t>49.3%</w:t>
      </w:r>
      <w:r>
        <w:rPr>
          <w:rFonts w:hint="eastAsia" w:ascii="方正仿宋简体" w:hAnsi="方正仿宋简体" w:eastAsia="方正仿宋简体" w:cs="方正仿宋简体"/>
          <w:spacing w:val="-6"/>
          <w:sz w:val="32"/>
          <w:szCs w:val="32"/>
        </w:rPr>
        <w:t>。其中，行政事业及非企业法人单位</w:t>
      </w:r>
      <w:r>
        <w:rPr>
          <w:rFonts w:hint="eastAsia" w:ascii="Times New Roman" w:hAnsi="Times New Roman" w:eastAsia="方正仿宋简体" w:cs="Times New Roman"/>
          <w:spacing w:val="-6"/>
          <w:sz w:val="32"/>
          <w:szCs w:val="32"/>
        </w:rPr>
        <w:t>7</w:t>
      </w:r>
      <w:r>
        <w:rPr>
          <w:rFonts w:hint="eastAsia" w:ascii="方正仿宋简体" w:hAnsi="方正仿宋简体" w:eastAsia="方正仿宋简体" w:cs="方正仿宋简体"/>
          <w:spacing w:val="-6"/>
          <w:sz w:val="32"/>
          <w:szCs w:val="32"/>
        </w:rPr>
        <w:t>个，比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75.0%</w:t>
      </w:r>
      <w:r>
        <w:rPr>
          <w:rFonts w:hint="eastAsia" w:ascii="方正仿宋简体" w:hAnsi="方正仿宋简体" w:eastAsia="方正仿宋简体" w:cs="方正仿宋简体"/>
          <w:spacing w:val="-6"/>
          <w:sz w:val="32"/>
          <w:szCs w:val="32"/>
        </w:rPr>
        <w:t>；从业人员</w:t>
      </w:r>
      <w:r>
        <w:rPr>
          <w:rFonts w:hint="eastAsia" w:ascii="Times New Roman" w:hAnsi="Times New Roman" w:eastAsia="方正仿宋简体" w:cs="Times New Roman"/>
          <w:spacing w:val="-6"/>
          <w:sz w:val="32"/>
          <w:szCs w:val="32"/>
        </w:rPr>
        <w:t>379</w:t>
      </w:r>
      <w:r>
        <w:rPr>
          <w:rFonts w:hint="eastAsia" w:ascii="方正仿宋简体" w:hAnsi="方正仿宋简体" w:eastAsia="方正仿宋简体" w:cs="方正仿宋简体"/>
          <w:spacing w:val="-6"/>
          <w:sz w:val="32"/>
          <w:szCs w:val="32"/>
        </w:rPr>
        <w:t>人，比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年末下降</w:t>
      </w:r>
      <w:r>
        <w:rPr>
          <w:rFonts w:hint="eastAsia" w:ascii="Times New Roman" w:hAnsi="Times New Roman" w:eastAsia="方正仿宋简体" w:cs="Times New Roman"/>
          <w:spacing w:val="-6"/>
          <w:sz w:val="32"/>
          <w:szCs w:val="32"/>
        </w:rPr>
        <w:t>21.4%</w:t>
      </w:r>
      <w:r>
        <w:rPr>
          <w:rFonts w:hint="eastAsia" w:ascii="方正仿宋简体" w:hAnsi="方正仿宋简体" w:eastAsia="方正仿宋简体" w:cs="方正仿宋简体"/>
          <w:spacing w:val="-6"/>
          <w:sz w:val="32"/>
          <w:szCs w:val="32"/>
        </w:rPr>
        <w:t>。</w:t>
      </w:r>
    </w:p>
    <w:p w14:paraId="4CC3EB5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（二）主要经济指标</w:t>
      </w:r>
    </w:p>
    <w:p w14:paraId="11E4D701">
      <w:pPr>
        <w:spacing w:line="600" w:lineRule="exact"/>
        <w:ind w:firstLine="600" w:firstLineChars="0"/>
        <w:textAlignment w:val="auto"/>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年末，水利、环境和公共设施管理业企业法人单位资产总计</w:t>
      </w:r>
      <w:r>
        <w:rPr>
          <w:rFonts w:hint="eastAsia" w:ascii="Times New Roman" w:hAnsi="Times New Roman" w:eastAsia="方正仿宋简体" w:cs="Times New Roman"/>
          <w:spacing w:val="-6"/>
          <w:sz w:val="32"/>
          <w:szCs w:val="32"/>
        </w:rPr>
        <w:t>1681.5</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29.6%</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sz w:val="32"/>
          <w:szCs w:val="32"/>
        </w:rPr>
        <w:t>1213.8</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23.5%</w:t>
      </w:r>
      <w:r>
        <w:rPr>
          <w:rFonts w:hint="eastAsia" w:ascii="方正仿宋简体" w:hAnsi="方正仿宋简体" w:eastAsia="方正仿宋简体" w:cs="方正仿宋简体"/>
          <w:spacing w:val="-6"/>
          <w:sz w:val="32"/>
          <w:szCs w:val="32"/>
        </w:rPr>
        <w:t>。全年实现营业收入</w:t>
      </w:r>
      <w:r>
        <w:rPr>
          <w:rFonts w:hint="eastAsia" w:ascii="Times New Roman" w:hAnsi="Times New Roman" w:eastAsia="方正仿宋简体" w:cs="Times New Roman"/>
          <w:spacing w:val="-6"/>
          <w:sz w:val="32"/>
          <w:szCs w:val="32"/>
        </w:rPr>
        <w:t>40.6</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sz w:val="32"/>
          <w:szCs w:val="32"/>
        </w:rPr>
        <w:t>9.1%</w:t>
      </w:r>
      <w:r>
        <w:rPr>
          <w:rFonts w:hint="eastAsia" w:ascii="方正仿宋简体" w:hAnsi="方正仿宋简体" w:eastAsia="方正仿宋简体" w:cs="方正仿宋简体"/>
          <w:spacing w:val="-6"/>
          <w:sz w:val="32"/>
          <w:szCs w:val="32"/>
        </w:rPr>
        <w:t>。</w:t>
      </w:r>
    </w:p>
    <w:p w14:paraId="750D1663">
      <w:pPr>
        <w:spacing w:line="600" w:lineRule="exact"/>
        <w:ind w:firstLine="0" w:firstLineChars="0"/>
        <w:textAlignment w:val="auto"/>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 xml:space="preserve">    行政事业及非企业法人单位年末资产</w:t>
      </w:r>
      <w:r>
        <w:rPr>
          <w:rFonts w:hint="eastAsia" w:ascii="Times New Roman" w:hAnsi="Times New Roman" w:eastAsia="方正仿宋简体" w:cs="Times New Roman"/>
          <w:spacing w:val="-6"/>
          <w:sz w:val="32"/>
          <w:szCs w:val="32"/>
        </w:rPr>
        <w:t>5.4</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w:t>
      </w:r>
      <w:r>
        <w:rPr>
          <w:rFonts w:hint="eastAsia" w:ascii="方正仿宋简体" w:hAnsi="方正仿宋简体" w:eastAsia="方正仿宋简体" w:cs="方正仿宋简体"/>
          <w:spacing w:val="-6"/>
          <w:sz w:val="32"/>
          <w:szCs w:val="32"/>
          <w:lang w:eastAsia="zh-CN"/>
        </w:rPr>
        <w:t>增长</w:t>
      </w:r>
      <w:r>
        <w:rPr>
          <w:rFonts w:hint="eastAsia" w:ascii="Times New Roman" w:hAnsi="Times New Roman" w:eastAsia="方正仿宋简体" w:cs="Times New Roman"/>
          <w:spacing w:val="-6"/>
          <w:sz w:val="32"/>
          <w:szCs w:val="32"/>
          <w:lang w:val="en-US" w:eastAsia="zh-CN"/>
        </w:rPr>
        <w:t>47.9</w:t>
      </w:r>
      <w:r>
        <w:rPr>
          <w:rFonts w:hint="eastAsia" w:ascii="Times New Roman" w:hAnsi="Times New Roman" w:eastAsia="方正仿宋简体" w:cs="Times New Roman"/>
          <w:spacing w:val="-6"/>
          <w:sz w:val="32"/>
          <w:szCs w:val="32"/>
        </w:rPr>
        <w:t>%</w:t>
      </w:r>
      <w:r>
        <w:rPr>
          <w:rFonts w:hint="eastAsia" w:ascii="方正仿宋简体" w:hAnsi="方正仿宋简体" w:eastAsia="方正仿宋简体" w:cs="方正仿宋简体"/>
          <w:spacing w:val="-6"/>
          <w:sz w:val="32"/>
          <w:szCs w:val="32"/>
        </w:rPr>
        <w:t>。本年支出（费用）合计</w:t>
      </w:r>
      <w:r>
        <w:rPr>
          <w:rFonts w:hint="eastAsia" w:ascii="Times New Roman" w:hAnsi="Times New Roman" w:eastAsia="方正仿宋简体" w:cs="Times New Roman"/>
          <w:spacing w:val="-6"/>
          <w:sz w:val="32"/>
          <w:szCs w:val="32"/>
        </w:rPr>
        <w:t>2.6</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eastAsia="方正仿宋简体" w:cs="Times New Roman"/>
          <w:spacing w:val="-6"/>
          <w:sz w:val="32"/>
          <w:szCs w:val="32"/>
          <w:lang w:eastAsia="zh-CN"/>
        </w:rPr>
        <w:t>增长</w:t>
      </w:r>
      <w:r>
        <w:rPr>
          <w:rFonts w:hint="eastAsia" w:ascii="方正仿宋简体" w:hAnsi="方正仿宋简体" w:eastAsia="方正仿宋简体" w:cs="方正仿宋简体"/>
          <w:spacing w:val="-6"/>
          <w:sz w:val="32"/>
          <w:szCs w:val="32"/>
        </w:rPr>
        <w:t>降</w:t>
      </w:r>
      <w:r>
        <w:rPr>
          <w:rFonts w:hint="eastAsia" w:ascii="Times New Roman" w:hAnsi="Times New Roman" w:eastAsia="方正仿宋简体" w:cs="Times New Roman"/>
          <w:spacing w:val="-6"/>
          <w:sz w:val="32"/>
          <w:szCs w:val="32"/>
        </w:rPr>
        <w:t>87.1%</w:t>
      </w:r>
      <w:r>
        <w:rPr>
          <w:rFonts w:hint="eastAsia" w:ascii="方正仿宋简体" w:hAnsi="方正仿宋简体" w:eastAsia="方正仿宋简体" w:cs="方正仿宋简体"/>
          <w:spacing w:val="-6"/>
          <w:sz w:val="32"/>
          <w:szCs w:val="32"/>
        </w:rPr>
        <w:t>。</w:t>
      </w:r>
    </w:p>
    <w:p w14:paraId="0DE822E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三、居民服务、修理和其他服务业</w:t>
      </w:r>
    </w:p>
    <w:p w14:paraId="7C71B15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（一）企业法人单位数和从业人员</w:t>
      </w:r>
    </w:p>
    <w:p w14:paraId="5223CFAF">
      <w:pPr>
        <w:spacing w:line="600" w:lineRule="exact"/>
        <w:ind w:firstLine="648" w:firstLineChars="0"/>
        <w:jc w:val="left"/>
        <w:textAlignment w:val="auto"/>
        <w:rPr>
          <w:rFonts w:hint="eastAsia" w:ascii="方正仿宋简体" w:hAnsi="方正仿宋简体" w:eastAsia="方正仿宋简体" w:cs="方正仿宋简体"/>
          <w:b/>
          <w:kern w:val="0"/>
          <w:sz w:val="24"/>
          <w:szCs w:val="24"/>
        </w:rPr>
      </w:pP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年末，全区共有居民服务、修理和其他服务业企业法人单位</w:t>
      </w:r>
      <w:r>
        <w:rPr>
          <w:rFonts w:hint="eastAsia" w:ascii="Times New Roman" w:hAnsi="Times New Roman" w:eastAsia="方正仿宋简体" w:cs="Times New Roman"/>
          <w:spacing w:val="-6"/>
          <w:sz w:val="32"/>
          <w:szCs w:val="32"/>
        </w:rPr>
        <w:t>158</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1280</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15.3%</w:t>
      </w:r>
      <w:r>
        <w:rPr>
          <w:rFonts w:hint="eastAsia" w:ascii="方正仿宋简体" w:hAnsi="方正仿宋简体" w:eastAsia="方正仿宋简体" w:cs="方正仿宋简体"/>
          <w:spacing w:val="-6"/>
          <w:sz w:val="32"/>
          <w:szCs w:val="32"/>
        </w:rPr>
        <w:t>和下降</w:t>
      </w:r>
      <w:r>
        <w:rPr>
          <w:rFonts w:hint="eastAsia" w:ascii="Times New Roman" w:hAnsi="Times New Roman" w:eastAsia="方正仿宋简体" w:cs="Times New Roman"/>
          <w:spacing w:val="-6"/>
          <w:sz w:val="32"/>
          <w:szCs w:val="32"/>
        </w:rPr>
        <w:t>53.0%</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5-4</w:t>
      </w:r>
      <w:r>
        <w:rPr>
          <w:rFonts w:hint="eastAsia" w:ascii="方正仿宋简体" w:hAnsi="方正仿宋简体" w:eastAsia="方正仿宋简体" w:cs="方正仿宋简体"/>
          <w:spacing w:val="-6"/>
          <w:sz w:val="32"/>
          <w:szCs w:val="32"/>
        </w:rPr>
        <w:t>）。</w:t>
      </w:r>
    </w:p>
    <w:p w14:paraId="1A1E8A74">
      <w:pPr>
        <w:spacing w:line="600" w:lineRule="exact"/>
        <w:ind w:firstLine="0" w:firstLineChars="0"/>
        <w:jc w:val="center"/>
        <w:textAlignment w:val="auto"/>
        <w:rPr>
          <w:rFonts w:hint="eastAsia" w:ascii="宋体" w:hAnsi="宋体" w:eastAsia="宋体" w:cs="宋体"/>
          <w:b/>
          <w:kern w:val="0"/>
          <w:sz w:val="24"/>
          <w:szCs w:val="24"/>
        </w:rPr>
      </w:pPr>
    </w:p>
    <w:p w14:paraId="43BD7EDE">
      <w:pPr>
        <w:spacing w:line="600" w:lineRule="exact"/>
        <w:ind w:firstLine="0" w:firstLineChars="0"/>
        <w:jc w:val="center"/>
        <w:textAlignment w:val="auto"/>
        <w:rPr>
          <w:rFonts w:hint="eastAsia" w:ascii="宋体" w:hAnsi="宋体" w:eastAsia="宋体" w:cs="宋体"/>
          <w:b/>
          <w:kern w:val="0"/>
          <w:sz w:val="24"/>
          <w:szCs w:val="24"/>
        </w:rPr>
      </w:pPr>
    </w:p>
    <w:p w14:paraId="745BA2F8">
      <w:pPr>
        <w:spacing w:line="600" w:lineRule="exact"/>
        <w:ind w:firstLine="0" w:firstLineChars="0"/>
        <w:jc w:val="center"/>
        <w:textAlignment w:val="auto"/>
        <w:rPr>
          <w:rFonts w:hint="eastAsia" w:ascii="宋体" w:hAnsi="宋体" w:eastAsia="宋体" w:cs="宋体"/>
          <w:b/>
          <w:kern w:val="0"/>
          <w:sz w:val="24"/>
          <w:szCs w:val="24"/>
        </w:rPr>
      </w:pPr>
    </w:p>
    <w:p w14:paraId="62D30728">
      <w:pPr>
        <w:spacing w:line="600" w:lineRule="exact"/>
        <w:ind w:firstLine="0" w:firstLineChars="0"/>
        <w:jc w:val="center"/>
        <w:textAlignment w:val="auto"/>
        <w:rPr>
          <w:rFonts w:hint="eastAsia" w:ascii="宋体" w:hAnsi="宋体" w:eastAsia="宋体" w:cs="宋体"/>
          <w:b/>
          <w:kern w:val="0"/>
          <w:sz w:val="24"/>
          <w:szCs w:val="24"/>
        </w:rPr>
      </w:pPr>
    </w:p>
    <w:p w14:paraId="4C973E6C">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eastAsia" w:ascii="Times New Roman" w:hAnsi="Times New Roman" w:eastAsia="宋体" w:cs="Times New Roman"/>
          <w:b/>
          <w:kern w:val="0"/>
          <w:sz w:val="24"/>
          <w:szCs w:val="24"/>
        </w:rPr>
        <w:t>5-4</w:t>
      </w:r>
      <w:r>
        <w:rPr>
          <w:rFonts w:hint="eastAsia" w:ascii="宋体" w:hAnsi="宋体" w:eastAsia="宋体" w:cs="宋体"/>
          <w:b/>
          <w:kern w:val="0"/>
          <w:sz w:val="24"/>
          <w:szCs w:val="24"/>
        </w:rPr>
        <w:t>　按行业大类分组的居民服务、修理和其他服务业</w:t>
      </w:r>
    </w:p>
    <w:p w14:paraId="1E7E625F">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企业法人单位数和从业人员</w:t>
      </w:r>
    </w:p>
    <w:tbl>
      <w:tblPr>
        <w:tblStyle w:val="18"/>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328"/>
        <w:gridCol w:w="2458"/>
        <w:gridCol w:w="1885"/>
      </w:tblGrid>
      <w:tr w14:paraId="2D06936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2495" w:type="pct"/>
            <w:tcBorders>
              <w:top w:val="single" w:color="auto" w:sz="12" w:space="0"/>
              <w:left w:val="nil"/>
              <w:bottom w:val="single" w:color="auto" w:sz="4" w:space="0"/>
              <w:right w:val="single" w:color="auto" w:sz="4" w:space="0"/>
            </w:tcBorders>
            <w:vAlign w:val="center"/>
          </w:tcPr>
          <w:p w14:paraId="53003F73">
            <w:pPr>
              <w:spacing w:line="320" w:lineRule="exact"/>
              <w:ind w:left="57" w:right="57" w:firstLine="0" w:firstLineChars="0"/>
              <w:jc w:val="center"/>
              <w:textAlignment w:val="auto"/>
              <w:rPr>
                <w:rFonts w:ascii="宋体" w:hAnsi="宋体" w:eastAsia="宋体" w:cs="宋体"/>
                <w:sz w:val="21"/>
                <w:szCs w:val="21"/>
              </w:rPr>
            </w:pPr>
          </w:p>
        </w:tc>
        <w:tc>
          <w:tcPr>
            <w:tcW w:w="1417" w:type="pct"/>
            <w:tcBorders>
              <w:top w:val="single" w:color="auto" w:sz="12" w:space="0"/>
              <w:left w:val="single" w:color="auto" w:sz="4" w:space="0"/>
              <w:bottom w:val="single" w:color="auto" w:sz="4" w:space="0"/>
              <w:right w:val="single" w:color="auto" w:sz="4" w:space="0"/>
            </w:tcBorders>
            <w:vAlign w:val="center"/>
          </w:tcPr>
          <w:p w14:paraId="6B29DF66">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企业法人单位</w:t>
            </w:r>
          </w:p>
          <w:p w14:paraId="459F7D30">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（个）</w:t>
            </w:r>
          </w:p>
        </w:tc>
        <w:tc>
          <w:tcPr>
            <w:tcW w:w="1086" w:type="pct"/>
            <w:tcBorders>
              <w:top w:val="single" w:color="auto" w:sz="12" w:space="0"/>
              <w:left w:val="single" w:color="auto" w:sz="4" w:space="0"/>
              <w:bottom w:val="single" w:color="auto" w:sz="4" w:space="0"/>
              <w:right w:val="nil"/>
            </w:tcBorders>
            <w:vAlign w:val="center"/>
          </w:tcPr>
          <w:p w14:paraId="308A4EE7">
            <w:pPr>
              <w:spacing w:line="320" w:lineRule="exact"/>
              <w:ind w:left="57" w:right="57" w:firstLine="0" w:firstLineChars="0"/>
              <w:jc w:val="center"/>
              <w:textAlignment w:val="auto"/>
              <w:rPr>
                <w:rFonts w:ascii="宋体" w:hAnsi="宋体" w:eastAsia="宋体" w:cs="宋体"/>
                <w:b/>
                <w:bCs w:val="0"/>
                <w:kern w:val="0"/>
                <w:sz w:val="21"/>
                <w:szCs w:val="21"/>
              </w:rPr>
            </w:pPr>
            <w:r>
              <w:rPr>
                <w:rFonts w:hint="eastAsia" w:ascii="宋体" w:hAnsi="宋体" w:eastAsia="宋体" w:cs="宋体"/>
                <w:b/>
                <w:bCs w:val="0"/>
                <w:kern w:val="0"/>
                <w:sz w:val="21"/>
                <w:szCs w:val="21"/>
              </w:rPr>
              <w:t>从业人员</w:t>
            </w:r>
          </w:p>
          <w:p w14:paraId="6CC17D2C">
            <w:pPr>
              <w:spacing w:line="320" w:lineRule="exact"/>
              <w:ind w:left="57" w:right="57" w:firstLine="0" w:firstLineChars="0"/>
              <w:jc w:val="center"/>
              <w:textAlignment w:val="auto"/>
              <w:rPr>
                <w:rFonts w:ascii="宋体" w:hAnsi="宋体" w:eastAsia="宋体" w:cs="宋体"/>
                <w:b/>
                <w:bCs w:val="0"/>
                <w:sz w:val="21"/>
                <w:szCs w:val="21"/>
              </w:rPr>
            </w:pPr>
            <w:r>
              <w:rPr>
                <w:rFonts w:hint="eastAsia" w:ascii="宋体" w:hAnsi="宋体" w:eastAsia="宋体" w:cs="宋体"/>
                <w:b/>
                <w:bCs w:val="0"/>
                <w:kern w:val="0"/>
                <w:sz w:val="21"/>
                <w:szCs w:val="21"/>
              </w:rPr>
              <w:t>（人）</w:t>
            </w:r>
          </w:p>
        </w:tc>
      </w:tr>
      <w:tr w14:paraId="150ECD1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95" w:type="pct"/>
            <w:tcBorders>
              <w:top w:val="single" w:color="auto" w:sz="4" w:space="0"/>
              <w:left w:val="nil"/>
              <w:bottom w:val="nil"/>
              <w:right w:val="single" w:color="auto" w:sz="4" w:space="0"/>
            </w:tcBorders>
            <w:vAlign w:val="center"/>
          </w:tcPr>
          <w:p w14:paraId="3E98A7B0">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1417" w:type="pct"/>
            <w:tcBorders>
              <w:top w:val="single" w:color="auto" w:sz="4" w:space="0"/>
              <w:left w:val="single" w:color="auto" w:sz="4" w:space="0"/>
              <w:bottom w:val="nil"/>
              <w:right w:val="single" w:color="auto" w:sz="4" w:space="0"/>
            </w:tcBorders>
            <w:vAlign w:val="center"/>
          </w:tcPr>
          <w:p w14:paraId="1AB2927F">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158</w:t>
            </w:r>
          </w:p>
        </w:tc>
        <w:tc>
          <w:tcPr>
            <w:tcW w:w="1897" w:type="dxa"/>
            <w:tcBorders>
              <w:top w:val="single" w:color="auto" w:sz="4" w:space="0"/>
              <w:left w:val="single" w:color="auto" w:sz="4" w:space="0"/>
              <w:bottom w:val="nil"/>
              <w:right w:val="nil"/>
            </w:tcBorders>
            <w:vAlign w:val="center"/>
          </w:tcPr>
          <w:p w14:paraId="7CDD7807">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1280</w:t>
            </w:r>
          </w:p>
        </w:tc>
      </w:tr>
      <w:tr w14:paraId="13FDECD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95" w:type="pct"/>
            <w:tcBorders>
              <w:top w:val="nil"/>
              <w:left w:val="nil"/>
              <w:bottom w:val="nil"/>
              <w:right w:val="single" w:color="auto" w:sz="4" w:space="0"/>
            </w:tcBorders>
            <w:vAlign w:val="center"/>
          </w:tcPr>
          <w:p w14:paraId="63DC37C9">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居民服务业</w:t>
            </w:r>
          </w:p>
        </w:tc>
        <w:tc>
          <w:tcPr>
            <w:tcW w:w="1417" w:type="pct"/>
            <w:tcBorders>
              <w:top w:val="nil"/>
              <w:left w:val="single" w:color="auto" w:sz="4" w:space="0"/>
              <w:bottom w:val="nil"/>
              <w:right w:val="single" w:color="auto" w:sz="4" w:space="0"/>
            </w:tcBorders>
            <w:vAlign w:val="center"/>
          </w:tcPr>
          <w:p w14:paraId="6C6ECD11">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45</w:t>
            </w:r>
          </w:p>
        </w:tc>
        <w:tc>
          <w:tcPr>
            <w:tcW w:w="1897" w:type="dxa"/>
            <w:tcBorders>
              <w:top w:val="nil"/>
              <w:left w:val="single" w:color="auto" w:sz="4" w:space="0"/>
              <w:bottom w:val="nil"/>
              <w:right w:val="nil"/>
            </w:tcBorders>
            <w:vAlign w:val="center"/>
          </w:tcPr>
          <w:p w14:paraId="039CC825">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460</w:t>
            </w:r>
          </w:p>
        </w:tc>
      </w:tr>
      <w:tr w14:paraId="2C4751C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95" w:type="pct"/>
            <w:tcBorders>
              <w:top w:val="nil"/>
              <w:left w:val="nil"/>
              <w:bottom w:val="nil"/>
              <w:right w:val="single" w:color="auto" w:sz="4" w:space="0"/>
            </w:tcBorders>
            <w:vAlign w:val="center"/>
          </w:tcPr>
          <w:p w14:paraId="185FD0A5">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机动车、电子产品和日用产品修理业</w:t>
            </w:r>
          </w:p>
        </w:tc>
        <w:tc>
          <w:tcPr>
            <w:tcW w:w="1417" w:type="pct"/>
            <w:tcBorders>
              <w:top w:val="nil"/>
              <w:left w:val="single" w:color="auto" w:sz="4" w:space="0"/>
              <w:bottom w:val="nil"/>
              <w:right w:val="single" w:color="auto" w:sz="4" w:space="0"/>
            </w:tcBorders>
            <w:vAlign w:val="center"/>
          </w:tcPr>
          <w:p w14:paraId="29D87DDB">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74</w:t>
            </w:r>
          </w:p>
        </w:tc>
        <w:tc>
          <w:tcPr>
            <w:tcW w:w="1897" w:type="dxa"/>
            <w:tcBorders>
              <w:top w:val="nil"/>
              <w:left w:val="single" w:color="auto" w:sz="4" w:space="0"/>
              <w:bottom w:val="nil"/>
              <w:right w:val="nil"/>
            </w:tcBorders>
            <w:vAlign w:val="center"/>
          </w:tcPr>
          <w:p w14:paraId="1E1A1719">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457</w:t>
            </w:r>
          </w:p>
        </w:tc>
      </w:tr>
      <w:tr w14:paraId="60CB237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95" w:type="pct"/>
            <w:tcBorders>
              <w:top w:val="nil"/>
              <w:left w:val="nil"/>
              <w:bottom w:val="single" w:color="auto" w:sz="12" w:space="0"/>
              <w:right w:val="single" w:color="auto" w:sz="4" w:space="0"/>
            </w:tcBorders>
            <w:vAlign w:val="center"/>
          </w:tcPr>
          <w:p w14:paraId="546BA233">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其他服务业</w:t>
            </w:r>
          </w:p>
        </w:tc>
        <w:tc>
          <w:tcPr>
            <w:tcW w:w="1417" w:type="pct"/>
            <w:tcBorders>
              <w:top w:val="nil"/>
              <w:left w:val="single" w:color="auto" w:sz="4" w:space="0"/>
              <w:bottom w:val="single" w:color="auto" w:sz="12" w:space="0"/>
              <w:right w:val="single" w:color="auto" w:sz="4" w:space="0"/>
            </w:tcBorders>
            <w:vAlign w:val="center"/>
          </w:tcPr>
          <w:p w14:paraId="281EC0AE">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39</w:t>
            </w:r>
          </w:p>
        </w:tc>
        <w:tc>
          <w:tcPr>
            <w:tcW w:w="1897" w:type="dxa"/>
            <w:tcBorders>
              <w:top w:val="nil"/>
              <w:left w:val="single" w:color="auto" w:sz="4" w:space="0"/>
              <w:bottom w:val="single" w:color="auto" w:sz="12" w:space="0"/>
              <w:right w:val="nil"/>
            </w:tcBorders>
            <w:vAlign w:val="center"/>
          </w:tcPr>
          <w:p w14:paraId="70319D0F">
            <w:pPr>
              <w:keepNext w:val="0"/>
              <w:keepLines w:val="0"/>
              <w:pageBreakBefore w:val="0"/>
              <w:widowControl w:val="0"/>
              <w:kinsoku/>
              <w:wordWrap/>
              <w:overflowPunct/>
              <w:topLinePunct w:val="0"/>
              <w:autoSpaceDE/>
              <w:autoSpaceDN/>
              <w:bidi w:val="0"/>
              <w:adjustRightInd/>
              <w:snapToGrid/>
              <w:spacing w:line="28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363</w:t>
            </w:r>
          </w:p>
        </w:tc>
      </w:tr>
    </w:tbl>
    <w:p w14:paraId="6794BC34">
      <w:pPr>
        <w:spacing w:line="600" w:lineRule="exact"/>
        <w:ind w:firstLine="0" w:firstLineChars="0"/>
        <w:textAlignment w:val="auto"/>
        <w:rPr>
          <w:rFonts w:hint="eastAsia" w:ascii="方正仿宋简体" w:hAnsi="方正仿宋简体" w:eastAsia="方正仿宋简体" w:cs="方正仿宋简体"/>
          <w:spacing w:val="-6"/>
          <w:sz w:val="32"/>
          <w:szCs w:val="32"/>
        </w:rPr>
      </w:pPr>
      <w:r>
        <w:rPr>
          <w:rFonts w:hint="eastAsia" w:ascii="宋体" w:hAnsi="宋体"/>
          <w:spacing w:val="-6"/>
          <w:sz w:val="32"/>
          <w:szCs w:val="32"/>
        </w:rPr>
        <w:t xml:space="preserve">  </w:t>
      </w:r>
      <w:r>
        <w:rPr>
          <w:rFonts w:hint="eastAsia" w:ascii="方正仿宋简体" w:hAnsi="方正仿宋简体" w:eastAsia="方正仿宋简体" w:cs="方正仿宋简体"/>
          <w:spacing w:val="-6"/>
          <w:sz w:val="32"/>
          <w:szCs w:val="32"/>
        </w:rPr>
        <w:t xml:space="preserve">  在居民服务、修理和其他服务业企业法人单位中，内资企业占</w:t>
      </w:r>
      <w:r>
        <w:rPr>
          <w:rFonts w:hint="eastAsia" w:ascii="Times New Roman" w:hAnsi="Times New Roman" w:eastAsia="方正仿宋简体" w:cs="Times New Roman"/>
          <w:spacing w:val="-6"/>
          <w:sz w:val="32"/>
          <w:szCs w:val="32"/>
        </w:rPr>
        <w:t>100%</w:t>
      </w:r>
      <w:r>
        <w:rPr>
          <w:rFonts w:hint="eastAsia" w:ascii="方正仿宋简体" w:hAnsi="方正仿宋简体" w:eastAsia="方正仿宋简体" w:cs="方正仿宋简体"/>
          <w:spacing w:val="-6"/>
          <w:sz w:val="32"/>
          <w:szCs w:val="32"/>
        </w:rPr>
        <w:t>。</w:t>
      </w:r>
    </w:p>
    <w:p w14:paraId="17DB17F6">
      <w:pPr>
        <w:spacing w:line="600" w:lineRule="exact"/>
        <w:ind w:firstLine="0" w:firstLineChars="0"/>
        <w:textAlignment w:val="auto"/>
        <w:rPr>
          <w:rFonts w:hint="eastAsia" w:ascii="方正仿宋简体" w:hAnsi="方正仿宋简体" w:eastAsia="方正仿宋简体" w:cs="方正仿宋简体"/>
          <w:b/>
          <w:kern w:val="0"/>
          <w:sz w:val="24"/>
          <w:szCs w:val="24"/>
        </w:rPr>
      </w:pPr>
      <w:r>
        <w:rPr>
          <w:rFonts w:hint="eastAsia" w:ascii="方正仿宋简体" w:hAnsi="方正仿宋简体" w:eastAsia="方正仿宋简体" w:cs="方正仿宋简体"/>
          <w:spacing w:val="-6"/>
          <w:sz w:val="32"/>
          <w:szCs w:val="32"/>
        </w:rPr>
        <w:t xml:space="preserve">    在居民服务、修理和其他服务业企业法人单位从业人员中，内资企业占</w:t>
      </w:r>
      <w:r>
        <w:rPr>
          <w:rFonts w:hint="eastAsia" w:ascii="Times New Roman" w:hAnsi="Times New Roman" w:eastAsia="方正仿宋简体" w:cs="Times New Roman"/>
          <w:spacing w:val="-6"/>
          <w:sz w:val="32"/>
          <w:szCs w:val="32"/>
        </w:rPr>
        <w:t>100%</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5-5</w:t>
      </w:r>
      <w:r>
        <w:rPr>
          <w:rFonts w:hint="eastAsia" w:ascii="方正仿宋简体" w:hAnsi="方正仿宋简体" w:eastAsia="方正仿宋简体" w:cs="方正仿宋简体"/>
          <w:spacing w:val="-6"/>
          <w:sz w:val="32"/>
          <w:szCs w:val="32"/>
        </w:rPr>
        <w:t>）。</w:t>
      </w:r>
    </w:p>
    <w:p w14:paraId="66745EEE">
      <w:pPr>
        <w:spacing w:line="320" w:lineRule="exact"/>
        <w:ind w:firstLine="0" w:firstLineChars="0"/>
        <w:jc w:val="center"/>
        <w:textAlignment w:val="auto"/>
        <w:rPr>
          <w:rFonts w:ascii="宋体" w:hAnsi="宋体" w:eastAsia="宋体" w:cs="宋体"/>
          <w:b/>
          <w:kern w:val="0"/>
          <w:sz w:val="24"/>
          <w:szCs w:val="24"/>
        </w:rPr>
      </w:pPr>
    </w:p>
    <w:p w14:paraId="7D39D7E8">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eastAsia" w:ascii="Times New Roman" w:hAnsi="Times New Roman" w:eastAsia="宋体" w:cs="Times New Roman"/>
          <w:b/>
          <w:kern w:val="0"/>
          <w:sz w:val="24"/>
          <w:szCs w:val="24"/>
        </w:rPr>
        <w:t>5-5</w:t>
      </w:r>
      <w:r>
        <w:rPr>
          <w:rFonts w:hint="eastAsia" w:ascii="宋体" w:hAnsi="宋体" w:eastAsia="宋体" w:cs="宋体"/>
          <w:b/>
          <w:kern w:val="0"/>
          <w:sz w:val="24"/>
          <w:szCs w:val="24"/>
        </w:rPr>
        <w:t>　按登记注册统计类别分组的居民服务、修理和其他服务业</w:t>
      </w:r>
    </w:p>
    <w:p w14:paraId="27A397AB">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企业法人单位数和从业人员</w:t>
      </w:r>
    </w:p>
    <w:tbl>
      <w:tblPr>
        <w:tblStyle w:val="18"/>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3369"/>
        <w:gridCol w:w="2923"/>
        <w:gridCol w:w="2379"/>
      </w:tblGrid>
      <w:tr w14:paraId="19AB7F3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1942" w:type="pct"/>
            <w:tcBorders>
              <w:top w:val="single" w:color="auto" w:sz="12" w:space="0"/>
              <w:left w:val="nil"/>
              <w:bottom w:val="single" w:color="auto" w:sz="4" w:space="0"/>
              <w:right w:val="single" w:color="auto" w:sz="4" w:space="0"/>
            </w:tcBorders>
            <w:vAlign w:val="center"/>
          </w:tcPr>
          <w:p w14:paraId="6EB20A04">
            <w:pPr>
              <w:spacing w:line="320" w:lineRule="exact"/>
              <w:ind w:left="57" w:right="57" w:firstLine="0" w:firstLineChars="0"/>
              <w:jc w:val="center"/>
              <w:textAlignment w:val="auto"/>
              <w:rPr>
                <w:rFonts w:ascii="宋体" w:hAnsi="宋体" w:eastAsia="宋体" w:cs="宋体"/>
                <w:b/>
                <w:bCs/>
                <w:sz w:val="21"/>
                <w:szCs w:val="21"/>
              </w:rPr>
            </w:pPr>
          </w:p>
        </w:tc>
        <w:tc>
          <w:tcPr>
            <w:tcW w:w="1685" w:type="pct"/>
            <w:tcBorders>
              <w:top w:val="single" w:color="auto" w:sz="12" w:space="0"/>
              <w:left w:val="single" w:color="auto" w:sz="4" w:space="0"/>
              <w:bottom w:val="single" w:color="auto" w:sz="4" w:space="0"/>
              <w:right w:val="single" w:color="auto" w:sz="4" w:space="0"/>
            </w:tcBorders>
            <w:vAlign w:val="center"/>
          </w:tcPr>
          <w:p w14:paraId="33943080">
            <w:pPr>
              <w:spacing w:line="320" w:lineRule="exact"/>
              <w:ind w:left="57" w:right="57" w:firstLine="0" w:firstLineChars="0"/>
              <w:jc w:val="center"/>
              <w:textAlignment w:val="auto"/>
              <w:rPr>
                <w:rFonts w:ascii="宋体" w:hAnsi="宋体" w:eastAsia="宋体" w:cs="宋体"/>
                <w:b/>
                <w:bCs/>
                <w:kern w:val="0"/>
                <w:sz w:val="21"/>
                <w:szCs w:val="21"/>
              </w:rPr>
            </w:pPr>
            <w:r>
              <w:rPr>
                <w:rFonts w:hint="eastAsia" w:ascii="宋体" w:hAnsi="宋体" w:eastAsia="宋体" w:cs="宋体"/>
                <w:b/>
                <w:bCs/>
                <w:kern w:val="0"/>
                <w:sz w:val="21"/>
                <w:szCs w:val="21"/>
              </w:rPr>
              <w:t>企业法人单位</w:t>
            </w:r>
          </w:p>
          <w:p w14:paraId="59043D4F">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（个）</w:t>
            </w:r>
          </w:p>
        </w:tc>
        <w:tc>
          <w:tcPr>
            <w:tcW w:w="1371" w:type="pct"/>
            <w:tcBorders>
              <w:top w:val="single" w:color="auto" w:sz="12" w:space="0"/>
              <w:left w:val="single" w:color="auto" w:sz="4" w:space="0"/>
              <w:bottom w:val="single" w:color="auto" w:sz="4" w:space="0"/>
              <w:right w:val="nil"/>
            </w:tcBorders>
            <w:vAlign w:val="center"/>
          </w:tcPr>
          <w:p w14:paraId="4B74C265">
            <w:pPr>
              <w:spacing w:line="320" w:lineRule="exact"/>
              <w:ind w:left="57" w:right="57" w:firstLine="0" w:firstLineChars="0"/>
              <w:jc w:val="center"/>
              <w:textAlignment w:val="auto"/>
              <w:rPr>
                <w:rFonts w:ascii="宋体" w:hAnsi="宋体" w:eastAsia="宋体" w:cs="宋体"/>
                <w:b/>
                <w:bCs/>
                <w:kern w:val="0"/>
                <w:sz w:val="21"/>
                <w:szCs w:val="21"/>
              </w:rPr>
            </w:pPr>
            <w:r>
              <w:rPr>
                <w:rFonts w:hint="eastAsia" w:ascii="宋体" w:hAnsi="宋体" w:eastAsia="宋体" w:cs="宋体"/>
                <w:b/>
                <w:bCs/>
                <w:kern w:val="0"/>
                <w:sz w:val="21"/>
                <w:szCs w:val="21"/>
              </w:rPr>
              <w:t>从业人员</w:t>
            </w:r>
          </w:p>
          <w:p w14:paraId="71E5CD23">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（人）</w:t>
            </w:r>
          </w:p>
        </w:tc>
      </w:tr>
      <w:tr w14:paraId="7891A9B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42" w:type="pct"/>
            <w:tcBorders>
              <w:top w:val="single" w:color="auto" w:sz="4" w:space="0"/>
              <w:left w:val="nil"/>
              <w:bottom w:val="nil"/>
              <w:right w:val="single" w:color="auto" w:sz="4" w:space="0"/>
            </w:tcBorders>
            <w:vAlign w:val="center"/>
          </w:tcPr>
          <w:p w14:paraId="218CB4E3">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1685" w:type="pct"/>
            <w:tcBorders>
              <w:top w:val="single" w:color="auto" w:sz="4" w:space="0"/>
              <w:left w:val="single" w:color="auto" w:sz="4" w:space="0"/>
              <w:bottom w:val="nil"/>
              <w:right w:val="single" w:color="auto" w:sz="4" w:space="0"/>
            </w:tcBorders>
            <w:vAlign w:val="center"/>
          </w:tcPr>
          <w:p w14:paraId="0D9B232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158</w:t>
            </w:r>
          </w:p>
        </w:tc>
        <w:tc>
          <w:tcPr>
            <w:tcW w:w="2394" w:type="dxa"/>
            <w:tcBorders>
              <w:top w:val="single" w:color="auto" w:sz="4" w:space="0"/>
              <w:left w:val="single" w:color="auto" w:sz="4" w:space="0"/>
              <w:bottom w:val="nil"/>
              <w:right w:val="nil"/>
            </w:tcBorders>
            <w:vAlign w:val="center"/>
          </w:tcPr>
          <w:p w14:paraId="63D42B5E">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1280</w:t>
            </w:r>
          </w:p>
        </w:tc>
      </w:tr>
      <w:tr w14:paraId="148E688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42" w:type="pct"/>
            <w:tcBorders>
              <w:top w:val="nil"/>
              <w:left w:val="nil"/>
              <w:bottom w:val="nil"/>
              <w:right w:val="single" w:color="auto" w:sz="4" w:space="0"/>
            </w:tcBorders>
            <w:vAlign w:val="center"/>
          </w:tcPr>
          <w:p w14:paraId="1F5224CB">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内资企业</w:t>
            </w:r>
          </w:p>
        </w:tc>
        <w:tc>
          <w:tcPr>
            <w:tcW w:w="1685" w:type="pct"/>
            <w:tcBorders>
              <w:top w:val="nil"/>
              <w:left w:val="single" w:color="auto" w:sz="4" w:space="0"/>
              <w:bottom w:val="nil"/>
              <w:right w:val="single" w:color="auto" w:sz="4" w:space="0"/>
            </w:tcBorders>
            <w:vAlign w:val="center"/>
          </w:tcPr>
          <w:p w14:paraId="7A211AD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158</w:t>
            </w:r>
          </w:p>
        </w:tc>
        <w:tc>
          <w:tcPr>
            <w:tcW w:w="2394" w:type="dxa"/>
            <w:tcBorders>
              <w:top w:val="nil"/>
              <w:left w:val="single" w:color="auto" w:sz="4" w:space="0"/>
              <w:bottom w:val="nil"/>
              <w:right w:val="nil"/>
            </w:tcBorders>
            <w:vAlign w:val="center"/>
          </w:tcPr>
          <w:p w14:paraId="22B3359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1280</w:t>
            </w:r>
          </w:p>
        </w:tc>
      </w:tr>
      <w:tr w14:paraId="3BCE391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42" w:type="pct"/>
            <w:tcBorders>
              <w:top w:val="nil"/>
              <w:left w:val="nil"/>
              <w:bottom w:val="nil"/>
              <w:right w:val="single" w:color="auto" w:sz="4" w:space="0"/>
            </w:tcBorders>
            <w:vAlign w:val="center"/>
          </w:tcPr>
          <w:p w14:paraId="2C79D304">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港澳台投资企业</w:t>
            </w:r>
          </w:p>
        </w:tc>
        <w:tc>
          <w:tcPr>
            <w:tcW w:w="1685" w:type="pct"/>
            <w:tcBorders>
              <w:top w:val="nil"/>
              <w:left w:val="single" w:color="auto" w:sz="4" w:space="0"/>
              <w:bottom w:val="nil"/>
              <w:right w:val="single" w:color="auto" w:sz="4" w:space="0"/>
            </w:tcBorders>
            <w:vAlign w:val="center"/>
          </w:tcPr>
          <w:p w14:paraId="126C18DF">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0</w:t>
            </w:r>
          </w:p>
        </w:tc>
        <w:tc>
          <w:tcPr>
            <w:tcW w:w="2394" w:type="dxa"/>
            <w:tcBorders>
              <w:top w:val="nil"/>
              <w:left w:val="single" w:color="auto" w:sz="4" w:space="0"/>
              <w:bottom w:val="nil"/>
              <w:right w:val="nil"/>
            </w:tcBorders>
            <w:vAlign w:val="center"/>
          </w:tcPr>
          <w:p w14:paraId="2CF3A0CB">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0</w:t>
            </w:r>
          </w:p>
        </w:tc>
      </w:tr>
      <w:tr w14:paraId="769B6F3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42" w:type="pct"/>
            <w:tcBorders>
              <w:top w:val="nil"/>
              <w:left w:val="nil"/>
              <w:bottom w:val="nil"/>
              <w:right w:val="single" w:color="auto" w:sz="4" w:space="0"/>
            </w:tcBorders>
            <w:vAlign w:val="center"/>
          </w:tcPr>
          <w:p w14:paraId="1B6B024A">
            <w:pPr>
              <w:spacing w:line="320" w:lineRule="exact"/>
              <w:ind w:right="57" w:firstLine="0" w:firstLineChars="0"/>
              <w:jc w:val="left"/>
              <w:textAlignment w:val="auto"/>
              <w:rPr>
                <w:rFonts w:ascii="宋体" w:hAnsi="宋体" w:eastAsia="宋体" w:cs="宋体"/>
                <w:bCs/>
                <w:sz w:val="21"/>
                <w:szCs w:val="21"/>
              </w:rPr>
            </w:pPr>
            <w:r>
              <w:rPr>
                <w:rFonts w:hint="eastAsia" w:ascii="宋体" w:hAnsi="宋体" w:eastAsia="宋体" w:cs="宋体"/>
                <w:bCs/>
                <w:kern w:val="0"/>
                <w:sz w:val="21"/>
                <w:szCs w:val="21"/>
              </w:rPr>
              <w:t>外商投资企业</w:t>
            </w:r>
          </w:p>
        </w:tc>
        <w:tc>
          <w:tcPr>
            <w:tcW w:w="1685" w:type="pct"/>
            <w:tcBorders>
              <w:top w:val="nil"/>
              <w:left w:val="single" w:color="auto" w:sz="4" w:space="0"/>
              <w:bottom w:val="nil"/>
              <w:right w:val="single" w:color="auto" w:sz="4" w:space="0"/>
            </w:tcBorders>
            <w:vAlign w:val="center"/>
          </w:tcPr>
          <w:p w14:paraId="4414894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0</w:t>
            </w:r>
          </w:p>
        </w:tc>
        <w:tc>
          <w:tcPr>
            <w:tcW w:w="2394" w:type="dxa"/>
            <w:tcBorders>
              <w:top w:val="nil"/>
              <w:left w:val="single" w:color="auto" w:sz="4" w:space="0"/>
              <w:bottom w:val="nil"/>
              <w:right w:val="nil"/>
            </w:tcBorders>
            <w:vAlign w:val="center"/>
          </w:tcPr>
          <w:p w14:paraId="145B154A">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Cs/>
                <w:sz w:val="21"/>
                <w:szCs w:val="21"/>
              </w:rPr>
            </w:pPr>
            <w:r>
              <w:rPr>
                <w:rFonts w:hint="eastAsia" w:ascii="宋体" w:hAnsi="宋体" w:eastAsia="宋体" w:cs="宋体"/>
                <w:bCs/>
                <w:sz w:val="21"/>
                <w:szCs w:val="21"/>
              </w:rPr>
              <w:t>0</w:t>
            </w:r>
          </w:p>
        </w:tc>
      </w:tr>
      <w:tr w14:paraId="712F9AF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3" w:hRule="atLeast"/>
          <w:jc w:val="center"/>
        </w:trPr>
        <w:tc>
          <w:tcPr>
            <w:tcW w:w="1942" w:type="pct"/>
            <w:tcBorders>
              <w:top w:val="nil"/>
              <w:left w:val="nil"/>
              <w:bottom w:val="single" w:color="auto" w:sz="12" w:space="0"/>
              <w:right w:val="single" w:color="auto" w:sz="4" w:space="0"/>
            </w:tcBorders>
            <w:vAlign w:val="center"/>
          </w:tcPr>
          <w:p w14:paraId="0025EAB7">
            <w:pPr>
              <w:spacing w:line="320" w:lineRule="exact"/>
              <w:ind w:right="57" w:firstLine="0" w:firstLineChars="0"/>
              <w:jc w:val="left"/>
              <w:textAlignment w:val="auto"/>
              <w:rPr>
                <w:rFonts w:ascii="宋体" w:hAnsi="宋体" w:eastAsia="宋体" w:cs="宋体"/>
                <w:bCs/>
                <w:kern w:val="0"/>
                <w:sz w:val="21"/>
                <w:szCs w:val="21"/>
              </w:rPr>
            </w:pPr>
            <w:r>
              <w:rPr>
                <w:rFonts w:hint="eastAsia" w:ascii="宋体" w:hAnsi="宋体" w:eastAsia="宋体" w:cs="宋体"/>
                <w:bCs/>
                <w:kern w:val="0"/>
                <w:sz w:val="21"/>
                <w:szCs w:val="21"/>
              </w:rPr>
              <w:t>其他统计类别</w:t>
            </w:r>
          </w:p>
        </w:tc>
        <w:tc>
          <w:tcPr>
            <w:tcW w:w="1685" w:type="pct"/>
            <w:tcBorders>
              <w:top w:val="nil"/>
              <w:left w:val="single" w:color="auto" w:sz="4" w:space="0"/>
              <w:bottom w:val="single" w:color="auto" w:sz="12" w:space="0"/>
              <w:right w:val="single" w:color="auto" w:sz="4" w:space="0"/>
            </w:tcBorders>
            <w:vAlign w:val="center"/>
          </w:tcPr>
          <w:p w14:paraId="028BB675">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kern w:val="0"/>
                <w:sz w:val="21"/>
                <w:szCs w:val="21"/>
              </w:rPr>
            </w:pPr>
            <w:r>
              <w:rPr>
                <w:rFonts w:hint="eastAsia" w:ascii="宋体" w:hAnsi="宋体" w:eastAsia="宋体" w:cs="宋体"/>
                <w:kern w:val="0"/>
                <w:sz w:val="21"/>
                <w:szCs w:val="21"/>
              </w:rPr>
              <w:t>0</w:t>
            </w:r>
          </w:p>
        </w:tc>
        <w:tc>
          <w:tcPr>
            <w:tcW w:w="2394" w:type="dxa"/>
            <w:tcBorders>
              <w:top w:val="nil"/>
              <w:left w:val="single" w:color="auto" w:sz="4" w:space="0"/>
              <w:bottom w:val="single" w:color="auto" w:sz="12" w:space="0"/>
              <w:right w:val="nil"/>
            </w:tcBorders>
            <w:vAlign w:val="center"/>
          </w:tcPr>
          <w:p w14:paraId="00237F03">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kern w:val="0"/>
                <w:sz w:val="21"/>
                <w:szCs w:val="21"/>
              </w:rPr>
            </w:pPr>
            <w:r>
              <w:rPr>
                <w:rFonts w:hint="eastAsia" w:ascii="宋体" w:hAnsi="宋体" w:eastAsia="宋体" w:cs="宋体"/>
                <w:kern w:val="0"/>
                <w:sz w:val="21"/>
                <w:szCs w:val="21"/>
              </w:rPr>
              <w:t>0</w:t>
            </w:r>
          </w:p>
        </w:tc>
      </w:tr>
    </w:tbl>
    <w:p w14:paraId="33448D8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（二）主要经济指标</w:t>
      </w:r>
    </w:p>
    <w:p w14:paraId="31682108">
      <w:pPr>
        <w:spacing w:line="600" w:lineRule="exact"/>
        <w:ind w:firstLine="616"/>
        <w:jc w:val="left"/>
        <w:textAlignment w:val="auto"/>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年末，居民服务、修理和其他服务业企业法人单位资产总计</w:t>
      </w:r>
      <w:r>
        <w:rPr>
          <w:rFonts w:hint="eastAsia" w:ascii="Times New Roman" w:hAnsi="Times New Roman" w:eastAsia="方正仿宋简体" w:cs="Times New Roman"/>
          <w:spacing w:val="-6"/>
          <w:sz w:val="32"/>
          <w:szCs w:val="32"/>
        </w:rPr>
        <w:t>3.1</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年末下降</w:t>
      </w:r>
      <w:r>
        <w:rPr>
          <w:rFonts w:hint="eastAsia" w:ascii="Times New Roman" w:hAnsi="Times New Roman" w:eastAsia="方正仿宋简体" w:cs="Times New Roman"/>
          <w:spacing w:val="-6"/>
          <w:sz w:val="32"/>
          <w:szCs w:val="32"/>
        </w:rPr>
        <w:t>20.4%</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sz w:val="32"/>
          <w:szCs w:val="32"/>
        </w:rPr>
        <w:t>0.9</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年末下降</w:t>
      </w:r>
      <w:r>
        <w:rPr>
          <w:rFonts w:hint="eastAsia" w:ascii="Times New Roman" w:hAnsi="Times New Roman" w:eastAsia="方正仿宋简体" w:cs="Times New Roman"/>
          <w:spacing w:val="-6"/>
          <w:sz w:val="32"/>
          <w:szCs w:val="32"/>
        </w:rPr>
        <w:t>58.8%</w:t>
      </w:r>
      <w:r>
        <w:rPr>
          <w:rFonts w:hint="eastAsia" w:ascii="方正仿宋简体" w:hAnsi="方正仿宋简体" w:eastAsia="方正仿宋简体" w:cs="方正仿宋简体"/>
          <w:spacing w:val="-6"/>
          <w:sz w:val="32"/>
          <w:szCs w:val="32"/>
        </w:rPr>
        <w:t>。全年实现营业收入</w:t>
      </w:r>
      <w:r>
        <w:rPr>
          <w:rFonts w:hint="eastAsia" w:ascii="Times New Roman" w:hAnsi="Times New Roman" w:eastAsia="方正仿宋简体" w:cs="Times New Roman"/>
          <w:spacing w:val="-6"/>
          <w:sz w:val="32"/>
          <w:szCs w:val="32"/>
        </w:rPr>
        <w:t>5.7</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sz w:val="32"/>
          <w:szCs w:val="32"/>
        </w:rPr>
        <w:t>52.4%</w:t>
      </w:r>
      <w:r>
        <w:rPr>
          <w:rFonts w:hint="eastAsia" w:ascii="方正仿宋简体" w:hAnsi="方正仿宋简体" w:eastAsia="方正仿宋简体" w:cs="方正仿宋简体"/>
          <w:spacing w:val="-6"/>
          <w:sz w:val="32"/>
          <w:szCs w:val="32"/>
        </w:rPr>
        <w:t>（详见表</w:t>
      </w:r>
      <w:r>
        <w:rPr>
          <w:rFonts w:hint="eastAsia" w:ascii="Times New Roman" w:hAnsi="Times New Roman" w:eastAsia="方正仿宋简体" w:cs="Times New Roman"/>
          <w:spacing w:val="-6"/>
          <w:sz w:val="32"/>
          <w:szCs w:val="32"/>
        </w:rPr>
        <w:t>5-6</w:t>
      </w:r>
      <w:r>
        <w:rPr>
          <w:rFonts w:hint="eastAsia" w:ascii="方正仿宋简体" w:hAnsi="方正仿宋简体" w:eastAsia="方正仿宋简体" w:cs="方正仿宋简体"/>
          <w:spacing w:val="-6"/>
          <w:sz w:val="32"/>
          <w:szCs w:val="32"/>
        </w:rPr>
        <w:t>）。</w:t>
      </w:r>
    </w:p>
    <w:p w14:paraId="4C2D315F">
      <w:pPr>
        <w:spacing w:line="600" w:lineRule="exact"/>
        <w:ind w:firstLine="616"/>
        <w:jc w:val="left"/>
        <w:textAlignment w:val="auto"/>
        <w:rPr>
          <w:rFonts w:ascii="宋体" w:hAnsi="宋体"/>
          <w:spacing w:val="-6"/>
          <w:sz w:val="32"/>
          <w:szCs w:val="32"/>
        </w:rPr>
      </w:pPr>
    </w:p>
    <w:p w14:paraId="0E722919">
      <w:pPr>
        <w:spacing w:line="600" w:lineRule="exact"/>
        <w:ind w:firstLine="616"/>
        <w:jc w:val="left"/>
        <w:textAlignment w:val="auto"/>
        <w:rPr>
          <w:rFonts w:ascii="宋体" w:hAnsi="宋体"/>
          <w:spacing w:val="-6"/>
          <w:sz w:val="32"/>
          <w:szCs w:val="32"/>
        </w:rPr>
      </w:pPr>
    </w:p>
    <w:p w14:paraId="335AE731">
      <w:pPr>
        <w:spacing w:line="600" w:lineRule="exact"/>
        <w:ind w:firstLine="616"/>
        <w:jc w:val="left"/>
        <w:textAlignment w:val="auto"/>
        <w:rPr>
          <w:rFonts w:ascii="宋体" w:hAnsi="宋体"/>
          <w:spacing w:val="-6"/>
          <w:sz w:val="32"/>
          <w:szCs w:val="32"/>
        </w:rPr>
      </w:pPr>
    </w:p>
    <w:p w14:paraId="66620072">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表</w:t>
      </w:r>
      <w:r>
        <w:rPr>
          <w:rFonts w:hint="eastAsia" w:ascii="Times New Roman" w:hAnsi="Times New Roman" w:eastAsia="宋体" w:cs="Times New Roman"/>
          <w:b/>
          <w:kern w:val="0"/>
          <w:sz w:val="24"/>
          <w:szCs w:val="24"/>
        </w:rPr>
        <w:t>5-6</w:t>
      </w:r>
      <w:r>
        <w:rPr>
          <w:rFonts w:hint="eastAsia" w:ascii="宋体" w:hAnsi="宋体" w:eastAsia="宋体" w:cs="宋体"/>
          <w:b/>
          <w:kern w:val="0"/>
          <w:sz w:val="24"/>
          <w:szCs w:val="24"/>
        </w:rPr>
        <w:t>　按行业大类分组的居民服务、修理和其他服务业</w:t>
      </w:r>
    </w:p>
    <w:p w14:paraId="797B4073">
      <w:pPr>
        <w:spacing w:line="320" w:lineRule="exact"/>
        <w:ind w:firstLine="0" w:firstLineChars="0"/>
        <w:jc w:val="center"/>
        <w:textAlignment w:val="auto"/>
        <w:rPr>
          <w:rFonts w:ascii="宋体" w:hAnsi="宋体" w:eastAsia="宋体" w:cs="宋体"/>
          <w:b/>
          <w:kern w:val="0"/>
          <w:sz w:val="24"/>
          <w:szCs w:val="24"/>
        </w:rPr>
      </w:pPr>
      <w:r>
        <w:rPr>
          <w:rFonts w:hint="eastAsia" w:ascii="宋体" w:hAnsi="宋体" w:eastAsia="宋体" w:cs="宋体"/>
          <w:b/>
          <w:kern w:val="0"/>
          <w:sz w:val="24"/>
          <w:szCs w:val="24"/>
        </w:rPr>
        <w:t>企业法人单位主要经济指标</w:t>
      </w:r>
    </w:p>
    <w:tbl>
      <w:tblPr>
        <w:tblStyle w:val="18"/>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302"/>
        <w:gridCol w:w="1471"/>
        <w:gridCol w:w="1438"/>
        <w:gridCol w:w="1460"/>
      </w:tblGrid>
      <w:tr w14:paraId="4651119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80" w:hRule="atLeast"/>
          <w:jc w:val="center"/>
        </w:trPr>
        <w:tc>
          <w:tcPr>
            <w:tcW w:w="2480" w:type="pct"/>
            <w:tcBorders>
              <w:top w:val="single" w:color="auto" w:sz="12" w:space="0"/>
              <w:left w:val="nil"/>
              <w:bottom w:val="single" w:color="auto" w:sz="4" w:space="0"/>
              <w:right w:val="single" w:color="auto" w:sz="4" w:space="0"/>
            </w:tcBorders>
            <w:vAlign w:val="center"/>
          </w:tcPr>
          <w:p w14:paraId="083323F6">
            <w:pPr>
              <w:spacing w:line="320" w:lineRule="exact"/>
              <w:ind w:left="57" w:right="57" w:firstLine="50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　</w:t>
            </w:r>
          </w:p>
        </w:tc>
        <w:tc>
          <w:tcPr>
            <w:tcW w:w="848" w:type="pct"/>
            <w:tcBorders>
              <w:top w:val="single" w:color="auto" w:sz="12" w:space="0"/>
              <w:left w:val="single" w:color="auto" w:sz="4" w:space="0"/>
              <w:bottom w:val="single" w:color="auto" w:sz="4" w:space="0"/>
              <w:right w:val="single" w:color="auto" w:sz="4" w:space="0"/>
            </w:tcBorders>
            <w:vAlign w:val="center"/>
          </w:tcPr>
          <w:p w14:paraId="19641E86">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资产总计</w:t>
            </w:r>
          </w:p>
          <w:p w14:paraId="26EEE1D0">
            <w:pPr>
              <w:spacing w:line="320" w:lineRule="exact"/>
              <w:ind w:left="57" w:right="57" w:firstLine="0" w:firstLineChars="0"/>
              <w:jc w:val="center"/>
              <w:textAlignment w:val="auto"/>
              <w:rPr>
                <w:rFonts w:ascii="宋体" w:hAnsi="宋体" w:eastAsia="宋体"/>
                <w:b/>
                <w:bCs/>
                <w:sz w:val="21"/>
                <w:szCs w:val="24"/>
              </w:rPr>
            </w:pPr>
            <w:r>
              <w:rPr>
                <w:rFonts w:hint="eastAsia" w:ascii="宋体" w:hAnsi="宋体" w:eastAsia="宋体" w:cs="宋体"/>
                <w:b/>
                <w:bCs/>
                <w:kern w:val="0"/>
                <w:sz w:val="21"/>
                <w:szCs w:val="21"/>
              </w:rPr>
              <w:t>（亿元）</w:t>
            </w:r>
          </w:p>
        </w:tc>
        <w:tc>
          <w:tcPr>
            <w:tcW w:w="829" w:type="pct"/>
            <w:tcBorders>
              <w:top w:val="single" w:color="auto" w:sz="12" w:space="0"/>
              <w:left w:val="single" w:color="auto" w:sz="4" w:space="0"/>
              <w:bottom w:val="single" w:color="auto" w:sz="4" w:space="0"/>
              <w:right w:val="single" w:color="auto" w:sz="4" w:space="0"/>
            </w:tcBorders>
            <w:vAlign w:val="center"/>
          </w:tcPr>
          <w:p w14:paraId="4E1C780D">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负债合计</w:t>
            </w:r>
          </w:p>
          <w:p w14:paraId="4DAAB55B">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（亿元）</w:t>
            </w:r>
          </w:p>
        </w:tc>
        <w:tc>
          <w:tcPr>
            <w:tcW w:w="841" w:type="pct"/>
            <w:tcBorders>
              <w:top w:val="single" w:color="auto" w:sz="12" w:space="0"/>
              <w:left w:val="single" w:color="auto" w:sz="4" w:space="0"/>
              <w:bottom w:val="single" w:color="auto" w:sz="4" w:space="0"/>
              <w:right w:val="nil"/>
            </w:tcBorders>
            <w:vAlign w:val="center"/>
          </w:tcPr>
          <w:p w14:paraId="5D87F034">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营业收入</w:t>
            </w:r>
          </w:p>
          <w:p w14:paraId="4A282D4F">
            <w:pPr>
              <w:spacing w:line="320" w:lineRule="exact"/>
              <w:ind w:left="57" w:right="57" w:firstLine="0" w:firstLineChars="0"/>
              <w:jc w:val="center"/>
              <w:textAlignment w:val="auto"/>
              <w:rPr>
                <w:rFonts w:ascii="宋体" w:hAnsi="宋体" w:eastAsia="宋体" w:cs="宋体"/>
                <w:b/>
                <w:bCs/>
                <w:sz w:val="21"/>
                <w:szCs w:val="21"/>
              </w:rPr>
            </w:pPr>
            <w:r>
              <w:rPr>
                <w:rFonts w:hint="eastAsia" w:ascii="宋体" w:hAnsi="宋体" w:eastAsia="宋体" w:cs="宋体"/>
                <w:b/>
                <w:bCs/>
                <w:kern w:val="0"/>
                <w:sz w:val="21"/>
                <w:szCs w:val="21"/>
              </w:rPr>
              <w:t>（亿元）</w:t>
            </w:r>
          </w:p>
        </w:tc>
      </w:tr>
      <w:tr w14:paraId="1D5272D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80" w:type="pct"/>
            <w:tcBorders>
              <w:top w:val="single" w:color="auto" w:sz="4" w:space="0"/>
              <w:left w:val="nil"/>
              <w:bottom w:val="nil"/>
              <w:right w:val="single" w:color="auto" w:sz="4" w:space="0"/>
            </w:tcBorders>
            <w:vAlign w:val="center"/>
          </w:tcPr>
          <w:p w14:paraId="56E8CCAC">
            <w:pPr>
              <w:spacing w:line="320" w:lineRule="exact"/>
              <w:ind w:right="57" w:firstLine="0" w:firstLineChars="0"/>
              <w:jc w:val="center"/>
              <w:textAlignment w:val="auto"/>
              <w:rPr>
                <w:rFonts w:ascii="宋体" w:hAnsi="宋体" w:eastAsia="宋体" w:cs="宋体"/>
                <w:sz w:val="21"/>
                <w:szCs w:val="21"/>
              </w:rPr>
            </w:pPr>
            <w:r>
              <w:rPr>
                <w:rFonts w:hint="eastAsia" w:ascii="宋体" w:hAnsi="宋体" w:eastAsia="宋体" w:cs="宋体"/>
                <w:b/>
                <w:kern w:val="0"/>
                <w:sz w:val="21"/>
                <w:szCs w:val="21"/>
              </w:rPr>
              <w:t>合　计</w:t>
            </w:r>
          </w:p>
        </w:tc>
        <w:tc>
          <w:tcPr>
            <w:tcW w:w="848" w:type="pct"/>
            <w:tcBorders>
              <w:top w:val="single" w:color="auto" w:sz="4" w:space="0"/>
              <w:left w:val="single" w:color="auto" w:sz="4" w:space="0"/>
              <w:bottom w:val="nil"/>
              <w:right w:val="single" w:color="auto" w:sz="4" w:space="0"/>
            </w:tcBorders>
            <w:vAlign w:val="center"/>
          </w:tcPr>
          <w:p w14:paraId="28FDE40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3.1</w:t>
            </w:r>
          </w:p>
        </w:tc>
        <w:tc>
          <w:tcPr>
            <w:tcW w:w="829" w:type="pct"/>
            <w:tcBorders>
              <w:top w:val="single" w:color="auto" w:sz="4" w:space="0"/>
              <w:left w:val="single" w:color="auto" w:sz="4" w:space="0"/>
              <w:bottom w:val="nil"/>
              <w:right w:val="single" w:color="auto" w:sz="4" w:space="0"/>
            </w:tcBorders>
            <w:vAlign w:val="center"/>
          </w:tcPr>
          <w:p w14:paraId="771A87AD">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0.9</w:t>
            </w:r>
          </w:p>
        </w:tc>
        <w:tc>
          <w:tcPr>
            <w:tcW w:w="841" w:type="pct"/>
            <w:tcBorders>
              <w:top w:val="single" w:color="auto" w:sz="4" w:space="0"/>
              <w:left w:val="single" w:color="auto" w:sz="4" w:space="0"/>
              <w:bottom w:val="nil"/>
              <w:right w:val="nil"/>
            </w:tcBorders>
            <w:vAlign w:val="center"/>
          </w:tcPr>
          <w:p w14:paraId="411CCAFB">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b/>
                <w:bCs/>
                <w:sz w:val="21"/>
                <w:szCs w:val="21"/>
              </w:rPr>
            </w:pPr>
            <w:r>
              <w:rPr>
                <w:rFonts w:hint="eastAsia" w:ascii="宋体" w:hAnsi="宋体" w:eastAsia="宋体" w:cs="宋体"/>
                <w:b/>
                <w:bCs/>
                <w:sz w:val="21"/>
                <w:szCs w:val="21"/>
              </w:rPr>
              <w:t>5.7</w:t>
            </w:r>
          </w:p>
        </w:tc>
      </w:tr>
      <w:tr w14:paraId="2643F53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80" w:type="pct"/>
            <w:tcBorders>
              <w:top w:val="nil"/>
              <w:left w:val="nil"/>
              <w:bottom w:val="nil"/>
              <w:right w:val="single" w:color="auto" w:sz="4" w:space="0"/>
            </w:tcBorders>
            <w:vAlign w:val="center"/>
          </w:tcPr>
          <w:p w14:paraId="59C2EEC5">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居民服务业</w:t>
            </w:r>
          </w:p>
        </w:tc>
        <w:tc>
          <w:tcPr>
            <w:tcW w:w="848" w:type="pct"/>
            <w:tcBorders>
              <w:top w:val="nil"/>
              <w:left w:val="single" w:color="auto" w:sz="4" w:space="0"/>
              <w:bottom w:val="nil"/>
              <w:right w:val="single" w:color="auto" w:sz="4" w:space="0"/>
            </w:tcBorders>
            <w:vAlign w:val="center"/>
          </w:tcPr>
          <w:p w14:paraId="641E288C">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0.7</w:t>
            </w:r>
          </w:p>
        </w:tc>
        <w:tc>
          <w:tcPr>
            <w:tcW w:w="829" w:type="pct"/>
            <w:tcBorders>
              <w:top w:val="nil"/>
              <w:left w:val="single" w:color="auto" w:sz="4" w:space="0"/>
              <w:bottom w:val="nil"/>
              <w:right w:val="single" w:color="auto" w:sz="4" w:space="0"/>
            </w:tcBorders>
            <w:vAlign w:val="center"/>
          </w:tcPr>
          <w:p w14:paraId="4BFDF180">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0.3</w:t>
            </w:r>
          </w:p>
        </w:tc>
        <w:tc>
          <w:tcPr>
            <w:tcW w:w="841" w:type="pct"/>
            <w:tcBorders>
              <w:top w:val="nil"/>
              <w:left w:val="single" w:color="auto" w:sz="4" w:space="0"/>
              <w:bottom w:val="nil"/>
              <w:right w:val="nil"/>
            </w:tcBorders>
            <w:vAlign w:val="center"/>
          </w:tcPr>
          <w:p w14:paraId="51FD5BD6">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1.4</w:t>
            </w:r>
          </w:p>
        </w:tc>
      </w:tr>
      <w:tr w14:paraId="74BFD5D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80" w:type="pct"/>
            <w:tcBorders>
              <w:top w:val="nil"/>
              <w:left w:val="nil"/>
              <w:bottom w:val="nil"/>
              <w:right w:val="single" w:color="auto" w:sz="4" w:space="0"/>
            </w:tcBorders>
            <w:vAlign w:val="center"/>
          </w:tcPr>
          <w:p w14:paraId="5A58E604">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机动车、电子产品和日用产品修理业</w:t>
            </w:r>
          </w:p>
        </w:tc>
        <w:tc>
          <w:tcPr>
            <w:tcW w:w="848" w:type="pct"/>
            <w:tcBorders>
              <w:top w:val="nil"/>
              <w:left w:val="single" w:color="auto" w:sz="4" w:space="0"/>
              <w:bottom w:val="nil"/>
              <w:right w:val="single" w:color="auto" w:sz="4" w:space="0"/>
            </w:tcBorders>
            <w:vAlign w:val="center"/>
          </w:tcPr>
          <w:p w14:paraId="2C0D1652">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1.6</w:t>
            </w:r>
          </w:p>
        </w:tc>
        <w:tc>
          <w:tcPr>
            <w:tcW w:w="829" w:type="pct"/>
            <w:tcBorders>
              <w:top w:val="nil"/>
              <w:left w:val="single" w:color="auto" w:sz="4" w:space="0"/>
              <w:bottom w:val="nil"/>
              <w:right w:val="single" w:color="auto" w:sz="4" w:space="0"/>
            </w:tcBorders>
            <w:vAlign w:val="center"/>
          </w:tcPr>
          <w:p w14:paraId="720932C9">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0.5</w:t>
            </w:r>
          </w:p>
        </w:tc>
        <w:tc>
          <w:tcPr>
            <w:tcW w:w="841" w:type="pct"/>
            <w:tcBorders>
              <w:top w:val="nil"/>
              <w:left w:val="single" w:color="auto" w:sz="4" w:space="0"/>
              <w:bottom w:val="nil"/>
              <w:right w:val="nil"/>
            </w:tcBorders>
            <w:vAlign w:val="center"/>
          </w:tcPr>
          <w:p w14:paraId="3DC8409B">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2.9</w:t>
            </w:r>
          </w:p>
        </w:tc>
      </w:tr>
      <w:tr w14:paraId="1A5B20A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283" w:hRule="atLeast"/>
          <w:jc w:val="center"/>
        </w:trPr>
        <w:tc>
          <w:tcPr>
            <w:tcW w:w="2480" w:type="pct"/>
            <w:tcBorders>
              <w:top w:val="nil"/>
              <w:left w:val="nil"/>
              <w:bottom w:val="single" w:color="auto" w:sz="12" w:space="0"/>
              <w:right w:val="single" w:color="auto" w:sz="4" w:space="0"/>
            </w:tcBorders>
            <w:vAlign w:val="center"/>
          </w:tcPr>
          <w:p w14:paraId="19324C35">
            <w:pPr>
              <w:spacing w:line="320" w:lineRule="exact"/>
              <w:ind w:right="57" w:firstLine="0" w:firstLineChars="0"/>
              <w:jc w:val="left"/>
              <w:textAlignment w:val="auto"/>
              <w:rPr>
                <w:rFonts w:ascii="宋体" w:hAnsi="宋体" w:eastAsia="宋体" w:cs="宋体"/>
                <w:sz w:val="21"/>
                <w:szCs w:val="21"/>
              </w:rPr>
            </w:pPr>
            <w:r>
              <w:rPr>
                <w:rFonts w:hint="eastAsia" w:ascii="宋体" w:hAnsi="宋体" w:eastAsia="宋体" w:cs="宋体"/>
                <w:kern w:val="0"/>
                <w:sz w:val="21"/>
                <w:szCs w:val="21"/>
              </w:rPr>
              <w:t>其他服务业</w:t>
            </w:r>
          </w:p>
        </w:tc>
        <w:tc>
          <w:tcPr>
            <w:tcW w:w="848" w:type="pct"/>
            <w:tcBorders>
              <w:top w:val="nil"/>
              <w:left w:val="single" w:color="auto" w:sz="4" w:space="0"/>
              <w:bottom w:val="single" w:color="auto" w:sz="12" w:space="0"/>
              <w:right w:val="single" w:color="auto" w:sz="4" w:space="0"/>
            </w:tcBorders>
            <w:vAlign w:val="center"/>
          </w:tcPr>
          <w:p w14:paraId="2EB45E18">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0.8</w:t>
            </w:r>
          </w:p>
        </w:tc>
        <w:tc>
          <w:tcPr>
            <w:tcW w:w="829" w:type="pct"/>
            <w:tcBorders>
              <w:top w:val="nil"/>
              <w:left w:val="single" w:color="auto" w:sz="4" w:space="0"/>
              <w:bottom w:val="single" w:color="auto" w:sz="12" w:space="0"/>
              <w:right w:val="single" w:color="auto" w:sz="4" w:space="0"/>
            </w:tcBorders>
            <w:vAlign w:val="center"/>
          </w:tcPr>
          <w:p w14:paraId="3F1CF57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0.1</w:t>
            </w:r>
          </w:p>
        </w:tc>
        <w:tc>
          <w:tcPr>
            <w:tcW w:w="841" w:type="pct"/>
            <w:tcBorders>
              <w:top w:val="nil"/>
              <w:left w:val="single" w:color="auto" w:sz="4" w:space="0"/>
              <w:bottom w:val="single" w:color="auto" w:sz="12" w:space="0"/>
              <w:right w:val="nil"/>
            </w:tcBorders>
            <w:vAlign w:val="center"/>
          </w:tcPr>
          <w:p w14:paraId="73325331">
            <w:pPr>
              <w:keepNext w:val="0"/>
              <w:keepLines w:val="0"/>
              <w:pageBreakBefore w:val="0"/>
              <w:widowControl w:val="0"/>
              <w:kinsoku/>
              <w:wordWrap/>
              <w:overflowPunct/>
              <w:topLinePunct w:val="0"/>
              <w:autoSpaceDE/>
              <w:autoSpaceDN/>
              <w:bidi w:val="0"/>
              <w:adjustRightInd/>
              <w:snapToGrid/>
              <w:spacing w:line="320" w:lineRule="exact"/>
              <w:ind w:right="90" w:rightChars="30" w:firstLine="0" w:firstLineChars="0"/>
              <w:jc w:val="right"/>
              <w:textAlignment w:val="center"/>
              <w:rPr>
                <w:rFonts w:ascii="宋体" w:hAnsi="宋体" w:eastAsia="宋体" w:cs="宋体"/>
                <w:sz w:val="21"/>
                <w:szCs w:val="21"/>
              </w:rPr>
            </w:pPr>
            <w:r>
              <w:rPr>
                <w:rFonts w:hint="eastAsia" w:ascii="宋体" w:hAnsi="宋体" w:eastAsia="宋体" w:cs="宋体"/>
                <w:sz w:val="21"/>
                <w:szCs w:val="21"/>
              </w:rPr>
              <w:t>1.4</w:t>
            </w:r>
          </w:p>
        </w:tc>
      </w:tr>
    </w:tbl>
    <w:p w14:paraId="6FAAF5F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四、教育</w:t>
      </w:r>
    </w:p>
    <w:p w14:paraId="69EE2FB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ascii="宋体" w:hAnsi="宋体" w:eastAsia="方正楷体_GBK" w:cs="方正楷体_GBK"/>
          <w:sz w:val="32"/>
          <w:szCs w:val="32"/>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（一）法人单位数和从业人员</w:t>
      </w:r>
    </w:p>
    <w:p w14:paraId="2845BA6C">
      <w:pPr>
        <w:pStyle w:val="5"/>
        <w:snapToGrid w:val="0"/>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年末，全区共有教育法人单位</w:t>
      </w:r>
      <w:r>
        <w:rPr>
          <w:rFonts w:hint="eastAsia" w:ascii="Times New Roman" w:hAnsi="Times New Roman" w:eastAsia="方正仿宋简体" w:cs="Times New Roman"/>
          <w:spacing w:val="-6"/>
          <w:kern w:val="2"/>
          <w:sz w:val="32"/>
          <w:szCs w:val="32"/>
          <w:lang w:val="en-US" w:eastAsia="zh-CN" w:bidi="ar-SA"/>
        </w:rPr>
        <w:t>160</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kern w:val="2"/>
          <w:sz w:val="32"/>
          <w:szCs w:val="32"/>
          <w:lang w:val="en-US" w:eastAsia="zh-CN" w:bidi="ar-SA"/>
        </w:rPr>
        <w:t>9415</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29.0%</w:t>
      </w:r>
      <w:r>
        <w:rPr>
          <w:rFonts w:hint="eastAsia" w:ascii="方正仿宋简体" w:hAnsi="方正仿宋简体" w:eastAsia="方正仿宋简体" w:cs="方正仿宋简体"/>
          <w:spacing w:val="-6"/>
          <w:sz w:val="32"/>
          <w:szCs w:val="32"/>
        </w:rPr>
        <w:t>和</w:t>
      </w:r>
      <w:r>
        <w:rPr>
          <w:rFonts w:hint="eastAsia" w:ascii="Times New Roman" w:hAnsi="Times New Roman" w:eastAsia="方正仿宋简体" w:cs="Times New Roman"/>
          <w:spacing w:val="-6"/>
          <w:kern w:val="2"/>
          <w:sz w:val="32"/>
          <w:szCs w:val="32"/>
          <w:lang w:val="en-US" w:eastAsia="zh-CN" w:bidi="ar-SA"/>
        </w:rPr>
        <w:t>30.5%</w:t>
      </w:r>
      <w:r>
        <w:rPr>
          <w:rFonts w:hint="eastAsia" w:ascii="方正仿宋简体" w:hAnsi="方正仿宋简体" w:eastAsia="方正仿宋简体" w:cs="方正仿宋简体"/>
          <w:spacing w:val="-6"/>
          <w:sz w:val="32"/>
          <w:szCs w:val="32"/>
        </w:rPr>
        <w:t>。其中，行政事业及非企业法人单位</w:t>
      </w:r>
      <w:r>
        <w:rPr>
          <w:rFonts w:hint="eastAsia" w:ascii="Times New Roman" w:hAnsi="Times New Roman" w:eastAsia="方正仿宋简体" w:cs="Times New Roman"/>
          <w:spacing w:val="-6"/>
          <w:kern w:val="2"/>
          <w:sz w:val="32"/>
          <w:szCs w:val="32"/>
          <w:lang w:val="en-US" w:eastAsia="zh-CN" w:bidi="ar-SA"/>
        </w:rPr>
        <w:t>58</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kern w:val="2"/>
          <w:sz w:val="32"/>
          <w:szCs w:val="32"/>
          <w:lang w:val="en-US" w:eastAsia="zh-CN" w:bidi="ar-SA"/>
        </w:rPr>
        <w:t>7698</w:t>
      </w:r>
      <w:r>
        <w:rPr>
          <w:rFonts w:hint="eastAsia" w:ascii="方正仿宋简体" w:hAnsi="方正仿宋简体" w:eastAsia="方正仿宋简体" w:cs="方正仿宋简体"/>
          <w:spacing w:val="-6"/>
          <w:sz w:val="32"/>
          <w:szCs w:val="32"/>
        </w:rPr>
        <w:t>人。</w:t>
      </w:r>
    </w:p>
    <w:p w14:paraId="0D0CFC9D">
      <w:pPr>
        <w:spacing w:line="600" w:lineRule="exact"/>
        <w:ind w:firstLine="0" w:firstLineChars="0"/>
        <w:rPr>
          <w:rFonts w:ascii="宋体" w:hAnsi="宋体" w:eastAsia="方正楷体_GBK" w:cs="方正楷体_GBK"/>
          <w:sz w:val="32"/>
          <w:szCs w:val="32"/>
        </w:rPr>
      </w:pPr>
      <w:r>
        <w:rPr>
          <w:rFonts w:hint="eastAsia" w:ascii="宋体" w:hAnsi="宋体" w:eastAsia="楷体_GB2312" w:cs="楷体_GB2312"/>
          <w:spacing w:val="-6"/>
          <w:sz w:val="32"/>
          <w:szCs w:val="32"/>
        </w:rPr>
        <w:t xml:space="preserve">    </w:t>
      </w:r>
      <w:r>
        <w:rPr>
          <w:rFonts w:hint="eastAsia" w:ascii="Times New Roman" w:hAnsi="Times New Roman" w:eastAsia="楷体_GB2312" w:cs="楷体_GB2312"/>
          <w:i w:val="0"/>
          <w:caps w:val="0"/>
          <w:color w:val="0C0C0C"/>
          <w:spacing w:val="0"/>
          <w:kern w:val="0"/>
          <w:sz w:val="32"/>
          <w:szCs w:val="32"/>
          <w:highlight w:val="none"/>
          <w:lang w:val="en-US" w:eastAsia="zh-CN" w:bidi="ar"/>
        </w:rPr>
        <w:t>（二）主要经济指标</w:t>
      </w:r>
    </w:p>
    <w:p w14:paraId="151D6499">
      <w:pPr>
        <w:pStyle w:val="5"/>
        <w:spacing w:line="600" w:lineRule="exact"/>
        <w:ind w:firstLine="592" w:firstLineChars="0"/>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年末，教育法人单位资产总计</w:t>
      </w:r>
      <w:r>
        <w:rPr>
          <w:rFonts w:hint="eastAsia" w:ascii="Times New Roman" w:hAnsi="Times New Roman" w:eastAsia="方正仿宋简体" w:cs="Times New Roman"/>
          <w:spacing w:val="-6"/>
          <w:kern w:val="2"/>
          <w:sz w:val="32"/>
          <w:szCs w:val="32"/>
          <w:lang w:val="en-US" w:eastAsia="zh-CN" w:bidi="ar-SA"/>
        </w:rPr>
        <w:t>78.6</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98.8%</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kern w:val="2"/>
          <w:sz w:val="32"/>
          <w:szCs w:val="32"/>
          <w:lang w:val="en-US" w:eastAsia="zh-CN" w:bidi="ar-SA"/>
        </w:rPr>
        <w:t>9.4</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149.0%</w:t>
      </w:r>
      <w:r>
        <w:rPr>
          <w:rFonts w:hint="eastAsia" w:ascii="方正仿宋简体" w:hAnsi="方正仿宋简体" w:eastAsia="方正仿宋简体" w:cs="方正仿宋简体"/>
          <w:spacing w:val="-6"/>
          <w:sz w:val="32"/>
          <w:szCs w:val="32"/>
        </w:rPr>
        <w:t>。全年实现营业收入</w:t>
      </w:r>
      <w:r>
        <w:rPr>
          <w:rFonts w:hint="eastAsia" w:ascii="Times New Roman" w:hAnsi="Times New Roman" w:eastAsia="方正仿宋简体" w:cs="Times New Roman"/>
          <w:spacing w:val="-6"/>
          <w:kern w:val="2"/>
          <w:sz w:val="32"/>
          <w:szCs w:val="32"/>
          <w:lang w:val="en-US" w:eastAsia="zh-CN" w:bidi="ar-SA"/>
        </w:rPr>
        <w:t>32.4</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kern w:val="2"/>
          <w:sz w:val="32"/>
          <w:szCs w:val="32"/>
          <w:lang w:val="en-US" w:eastAsia="zh-CN" w:bidi="ar-SA"/>
        </w:rPr>
        <w:t>91.4%</w:t>
      </w:r>
      <w:r>
        <w:rPr>
          <w:rFonts w:hint="eastAsia" w:ascii="方正仿宋简体" w:hAnsi="方正仿宋简体" w:eastAsia="方正仿宋简体" w:cs="方正仿宋简体"/>
          <w:spacing w:val="-6"/>
          <w:sz w:val="32"/>
          <w:szCs w:val="32"/>
        </w:rPr>
        <w:t>。</w:t>
      </w:r>
    </w:p>
    <w:p w14:paraId="0276D183">
      <w:pPr>
        <w:pStyle w:val="5"/>
        <w:spacing w:line="600" w:lineRule="exact"/>
        <w:ind w:firstLine="592" w:firstLineChars="0"/>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行政事业及非企业法人单位年末资产</w:t>
      </w:r>
      <w:r>
        <w:rPr>
          <w:rFonts w:hint="eastAsia" w:ascii="Times New Roman" w:hAnsi="Times New Roman" w:eastAsia="方正仿宋简体" w:cs="Times New Roman"/>
          <w:spacing w:val="-6"/>
          <w:kern w:val="2"/>
          <w:sz w:val="32"/>
          <w:szCs w:val="32"/>
          <w:lang w:val="en-US" w:eastAsia="zh-CN" w:bidi="ar-SA"/>
        </w:rPr>
        <w:t>75.8</w:t>
      </w:r>
      <w:r>
        <w:rPr>
          <w:rFonts w:hint="eastAsia" w:ascii="方正仿宋简体" w:hAnsi="方正仿宋简体" w:eastAsia="方正仿宋简体" w:cs="方正仿宋简体"/>
          <w:spacing w:val="-6"/>
          <w:sz w:val="32"/>
          <w:szCs w:val="32"/>
        </w:rPr>
        <w:t>亿元，本年支出（费用）合计</w:t>
      </w:r>
      <w:r>
        <w:rPr>
          <w:rFonts w:hint="eastAsia" w:ascii="Times New Roman" w:hAnsi="Times New Roman" w:eastAsia="方正仿宋简体" w:cs="Times New Roman"/>
          <w:spacing w:val="-6"/>
          <w:kern w:val="2"/>
          <w:sz w:val="32"/>
          <w:szCs w:val="32"/>
          <w:lang w:val="en-US" w:eastAsia="zh-CN" w:bidi="ar-SA"/>
        </w:rPr>
        <w:t>28.6</w:t>
      </w:r>
      <w:r>
        <w:rPr>
          <w:rFonts w:hint="eastAsia" w:ascii="方正仿宋简体" w:hAnsi="方正仿宋简体" w:eastAsia="方正仿宋简体" w:cs="方正仿宋简体"/>
          <w:spacing w:val="-6"/>
          <w:sz w:val="32"/>
          <w:szCs w:val="32"/>
        </w:rPr>
        <w:t>亿元。</w:t>
      </w:r>
    </w:p>
    <w:p w14:paraId="5FE9995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五、卫生和社会工作</w:t>
      </w:r>
    </w:p>
    <w:p w14:paraId="31CAAF7F">
      <w:pPr>
        <w:keepNext w:val="0"/>
        <w:keepLines w:val="0"/>
        <w:pageBreakBefore w:val="0"/>
        <w:widowControl w:val="0"/>
        <w:kinsoku/>
        <w:wordWrap/>
        <w:overflowPunct/>
        <w:topLinePunct w:val="0"/>
        <w:autoSpaceDE/>
        <w:autoSpaceDN/>
        <w:bidi w:val="0"/>
        <w:adjustRightInd/>
        <w:snapToGrid/>
        <w:spacing w:line="600" w:lineRule="exact"/>
        <w:ind w:firstLine="640" w:firstLineChars="200"/>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（一）法人单位数和从业人员</w:t>
      </w:r>
    </w:p>
    <w:p w14:paraId="2267E6B0">
      <w:pPr>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sz w:val="32"/>
          <w:szCs w:val="32"/>
        </w:rPr>
        <w:t>2023</w:t>
      </w:r>
      <w:r>
        <w:rPr>
          <w:rFonts w:hint="eastAsia" w:ascii="方正仿宋简体" w:hAnsi="方正仿宋简体" w:eastAsia="方正仿宋简体" w:cs="方正仿宋简体"/>
          <w:spacing w:val="-6"/>
          <w:sz w:val="32"/>
          <w:szCs w:val="32"/>
        </w:rPr>
        <w:t>年末，全区共有卫生和社会工作法人单位</w:t>
      </w:r>
      <w:r>
        <w:rPr>
          <w:rFonts w:hint="eastAsia" w:ascii="Times New Roman" w:hAnsi="Times New Roman" w:eastAsia="方正仿宋简体" w:cs="Times New Roman"/>
          <w:spacing w:val="-6"/>
          <w:sz w:val="32"/>
          <w:szCs w:val="32"/>
        </w:rPr>
        <w:t>59</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2451人</w:t>
      </w:r>
      <w:r>
        <w:rPr>
          <w:rFonts w:hint="eastAsia" w:ascii="方正仿宋简体" w:hAnsi="方正仿宋简体" w:eastAsia="方正仿宋简体" w:cs="方正仿宋简体"/>
          <w:spacing w:val="-6"/>
          <w:sz w:val="32"/>
          <w:szCs w:val="32"/>
        </w:rPr>
        <w:t>，分别比</w:t>
      </w:r>
      <w:r>
        <w:rPr>
          <w:rFonts w:hint="eastAsia" w:ascii="Times New Roman" w:hAnsi="Times New Roman" w:eastAsia="方正仿宋简体" w:cs="Times New Roman"/>
          <w:spacing w:val="-6"/>
          <w:sz w:val="32"/>
          <w:szCs w:val="32"/>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sz w:val="32"/>
          <w:szCs w:val="32"/>
        </w:rPr>
        <w:t>73.5%</w:t>
      </w:r>
      <w:r>
        <w:rPr>
          <w:rFonts w:hint="eastAsia" w:ascii="方正仿宋简体" w:hAnsi="方正仿宋简体" w:eastAsia="方正仿宋简体" w:cs="方正仿宋简体"/>
          <w:spacing w:val="-6"/>
          <w:sz w:val="32"/>
          <w:szCs w:val="32"/>
        </w:rPr>
        <w:t>和</w:t>
      </w:r>
      <w:r>
        <w:rPr>
          <w:rFonts w:hint="eastAsia" w:ascii="Times New Roman" w:hAnsi="Times New Roman" w:eastAsia="方正仿宋简体" w:cs="Times New Roman"/>
          <w:spacing w:val="-6"/>
          <w:sz w:val="32"/>
          <w:szCs w:val="32"/>
        </w:rPr>
        <w:t>48.8%</w:t>
      </w:r>
      <w:r>
        <w:rPr>
          <w:rFonts w:hint="eastAsia" w:ascii="方正仿宋简体" w:hAnsi="方正仿宋简体" w:eastAsia="方正仿宋简体" w:cs="方正仿宋简体"/>
          <w:spacing w:val="-6"/>
          <w:sz w:val="32"/>
          <w:szCs w:val="32"/>
        </w:rPr>
        <w:t>。其中，行政事业及非企业法人单位</w:t>
      </w:r>
      <w:r>
        <w:rPr>
          <w:rFonts w:hint="eastAsia" w:ascii="Times New Roman" w:hAnsi="Times New Roman" w:eastAsia="方正仿宋简体" w:cs="Times New Roman"/>
          <w:spacing w:val="-6"/>
          <w:sz w:val="32"/>
          <w:szCs w:val="32"/>
        </w:rPr>
        <w:t>37</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sz w:val="32"/>
          <w:szCs w:val="32"/>
        </w:rPr>
        <w:t>1909</w:t>
      </w:r>
      <w:r>
        <w:rPr>
          <w:rFonts w:hint="eastAsia" w:ascii="方正仿宋简体" w:hAnsi="方正仿宋简体" w:eastAsia="方正仿宋简体" w:cs="方正仿宋简体"/>
          <w:spacing w:val="-6"/>
          <w:sz w:val="32"/>
          <w:szCs w:val="32"/>
        </w:rPr>
        <w:t>人。</w:t>
      </w:r>
    </w:p>
    <w:p w14:paraId="01668D4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center"/>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（二）主要经济指标</w:t>
      </w:r>
    </w:p>
    <w:p w14:paraId="22E75049">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年末，卫生和社会工作法人单位资产总计</w:t>
      </w:r>
      <w:r>
        <w:rPr>
          <w:rFonts w:hint="eastAsia" w:ascii="Times New Roman" w:hAnsi="Times New Roman" w:eastAsia="方正仿宋简体" w:cs="Times New Roman"/>
          <w:spacing w:val="-6"/>
          <w:kern w:val="2"/>
          <w:sz w:val="32"/>
          <w:szCs w:val="32"/>
          <w:lang w:val="en-US" w:eastAsia="zh-CN" w:bidi="ar-SA"/>
        </w:rPr>
        <w:t>10.3</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37.3%</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kern w:val="2"/>
          <w:sz w:val="32"/>
          <w:szCs w:val="32"/>
          <w:lang w:val="en-US" w:eastAsia="zh-CN" w:bidi="ar-SA"/>
        </w:rPr>
        <w:t>3.1</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33.6%</w:t>
      </w:r>
      <w:r>
        <w:rPr>
          <w:rFonts w:hint="eastAsia" w:ascii="方正仿宋简体" w:hAnsi="方正仿宋简体" w:eastAsia="方正仿宋简体" w:cs="方正仿宋简体"/>
          <w:spacing w:val="-6"/>
          <w:sz w:val="32"/>
          <w:szCs w:val="32"/>
        </w:rPr>
        <w:t>。全年实现营业收入</w:t>
      </w:r>
      <w:r>
        <w:rPr>
          <w:rFonts w:hint="eastAsia" w:ascii="Times New Roman" w:hAnsi="Times New Roman" w:eastAsia="方正仿宋简体" w:cs="Times New Roman"/>
          <w:spacing w:val="-6"/>
          <w:kern w:val="2"/>
          <w:sz w:val="32"/>
          <w:szCs w:val="32"/>
          <w:lang w:val="en-US" w:eastAsia="zh-CN" w:bidi="ar-SA"/>
        </w:rPr>
        <w:t>7.9</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kern w:val="2"/>
          <w:sz w:val="32"/>
          <w:szCs w:val="32"/>
          <w:lang w:val="en-US" w:eastAsia="zh-CN" w:bidi="ar-SA"/>
        </w:rPr>
        <w:t>61.8%</w:t>
      </w:r>
      <w:r>
        <w:rPr>
          <w:rFonts w:hint="eastAsia" w:ascii="方正仿宋简体" w:hAnsi="方正仿宋简体" w:eastAsia="方正仿宋简体" w:cs="方正仿宋简体"/>
          <w:spacing w:val="-6"/>
          <w:sz w:val="32"/>
          <w:szCs w:val="32"/>
        </w:rPr>
        <w:t>。</w:t>
      </w:r>
    </w:p>
    <w:p w14:paraId="408C1228">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行政事业及非企业法人单位年末资产</w:t>
      </w:r>
      <w:r>
        <w:rPr>
          <w:rFonts w:hint="eastAsia" w:ascii="Times New Roman" w:hAnsi="Times New Roman" w:eastAsia="方正仿宋简体" w:cs="Times New Roman"/>
          <w:spacing w:val="-6"/>
          <w:kern w:val="2"/>
          <w:sz w:val="32"/>
          <w:szCs w:val="32"/>
          <w:lang w:val="en-US" w:eastAsia="zh-CN" w:bidi="ar-SA"/>
        </w:rPr>
        <w:t>9.6</w:t>
      </w:r>
      <w:r>
        <w:rPr>
          <w:rFonts w:hint="eastAsia" w:ascii="方正仿宋简体" w:hAnsi="方正仿宋简体" w:eastAsia="方正仿宋简体" w:cs="方正仿宋简体"/>
          <w:spacing w:val="-6"/>
          <w:sz w:val="32"/>
          <w:szCs w:val="32"/>
        </w:rPr>
        <w:t>亿元，本年支出（费用）合计</w:t>
      </w:r>
      <w:r>
        <w:rPr>
          <w:rFonts w:hint="eastAsia" w:ascii="Times New Roman" w:hAnsi="Times New Roman" w:eastAsia="方正仿宋简体" w:cs="Times New Roman"/>
          <w:spacing w:val="-6"/>
          <w:kern w:val="2"/>
          <w:sz w:val="32"/>
          <w:szCs w:val="32"/>
          <w:lang w:val="en-US" w:eastAsia="zh-CN" w:bidi="ar-SA"/>
        </w:rPr>
        <w:t>6.9</w:t>
      </w:r>
      <w:r>
        <w:rPr>
          <w:rFonts w:hint="eastAsia" w:ascii="方正仿宋简体" w:hAnsi="方正仿宋简体" w:eastAsia="方正仿宋简体" w:cs="方正仿宋简体"/>
          <w:spacing w:val="-6"/>
          <w:sz w:val="32"/>
          <w:szCs w:val="32"/>
        </w:rPr>
        <w:t>亿元。</w:t>
      </w:r>
    </w:p>
    <w:p w14:paraId="2BA0691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六、文化、体育和娱乐业</w:t>
      </w:r>
    </w:p>
    <w:p w14:paraId="6560039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（一）法人单位数和从业人员</w:t>
      </w:r>
    </w:p>
    <w:p w14:paraId="2AC7AF5E">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年末，全区共有文化、体育和娱乐业法人单位</w:t>
      </w:r>
      <w:r>
        <w:rPr>
          <w:rFonts w:hint="eastAsia" w:ascii="Times New Roman" w:hAnsi="Times New Roman" w:eastAsia="方正仿宋简体" w:cs="Times New Roman"/>
          <w:spacing w:val="-6"/>
          <w:kern w:val="2"/>
          <w:sz w:val="32"/>
          <w:szCs w:val="32"/>
          <w:lang w:val="en-US" w:eastAsia="zh-CN" w:bidi="ar-SA"/>
        </w:rPr>
        <w:t>167</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kern w:val="2"/>
          <w:sz w:val="32"/>
          <w:szCs w:val="32"/>
          <w:lang w:val="en-US" w:eastAsia="zh-CN" w:bidi="ar-SA"/>
        </w:rPr>
        <w:t>894</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35.8%</w:t>
      </w:r>
      <w:r>
        <w:rPr>
          <w:rFonts w:hint="eastAsia" w:ascii="方正仿宋简体" w:hAnsi="方正仿宋简体" w:eastAsia="方正仿宋简体" w:cs="方正仿宋简体"/>
          <w:spacing w:val="-6"/>
          <w:sz w:val="32"/>
          <w:szCs w:val="32"/>
        </w:rPr>
        <w:t>和</w:t>
      </w:r>
      <w:r>
        <w:rPr>
          <w:rFonts w:hint="eastAsia" w:ascii="Times New Roman" w:hAnsi="Times New Roman" w:eastAsia="方正仿宋简体" w:cs="Times New Roman"/>
          <w:spacing w:val="-6"/>
          <w:kern w:val="2"/>
          <w:sz w:val="32"/>
          <w:szCs w:val="32"/>
          <w:lang w:val="en-US" w:eastAsia="zh-CN" w:bidi="ar-SA"/>
        </w:rPr>
        <w:t>71.3%</w:t>
      </w:r>
      <w:r>
        <w:rPr>
          <w:rFonts w:hint="eastAsia" w:ascii="方正仿宋简体" w:hAnsi="方正仿宋简体" w:eastAsia="方正仿宋简体" w:cs="方正仿宋简体"/>
          <w:spacing w:val="-6"/>
          <w:sz w:val="32"/>
          <w:szCs w:val="32"/>
        </w:rPr>
        <w:t>。其中，企业法人单位</w:t>
      </w:r>
      <w:r>
        <w:rPr>
          <w:rFonts w:hint="eastAsia" w:ascii="Times New Roman" w:hAnsi="Times New Roman" w:eastAsia="方正仿宋简体" w:cs="Times New Roman"/>
          <w:spacing w:val="-6"/>
          <w:kern w:val="2"/>
          <w:sz w:val="32"/>
          <w:szCs w:val="32"/>
          <w:lang w:val="en-US" w:eastAsia="zh-CN" w:bidi="ar-SA"/>
        </w:rPr>
        <w:t>163</w:t>
      </w:r>
      <w:r>
        <w:rPr>
          <w:rFonts w:hint="eastAsia" w:ascii="方正仿宋简体" w:hAnsi="方正仿宋简体" w:eastAsia="方正仿宋简体" w:cs="方正仿宋简体"/>
          <w:spacing w:val="-6"/>
          <w:sz w:val="32"/>
          <w:szCs w:val="32"/>
        </w:rPr>
        <w:t>个，从业人员</w:t>
      </w:r>
      <w:r>
        <w:rPr>
          <w:rFonts w:hint="eastAsia" w:ascii="Times New Roman" w:hAnsi="Times New Roman" w:eastAsia="方正仿宋简体" w:cs="Times New Roman"/>
          <w:spacing w:val="-6"/>
          <w:kern w:val="2"/>
          <w:sz w:val="32"/>
          <w:szCs w:val="32"/>
          <w:lang w:val="en-US" w:eastAsia="zh-CN" w:bidi="ar-SA"/>
        </w:rPr>
        <w:t>742</w:t>
      </w:r>
      <w:r>
        <w:rPr>
          <w:rFonts w:hint="eastAsia" w:ascii="方正仿宋简体" w:hAnsi="方正仿宋简体" w:eastAsia="方正仿宋简体" w:cs="方正仿宋简体"/>
          <w:spacing w:val="-6"/>
          <w:sz w:val="32"/>
          <w:szCs w:val="32"/>
        </w:rPr>
        <w:t>人，分别比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32.5%</w:t>
      </w:r>
      <w:r>
        <w:rPr>
          <w:rFonts w:hint="eastAsia" w:ascii="方正仿宋简体" w:hAnsi="方正仿宋简体" w:eastAsia="方正仿宋简体" w:cs="方正仿宋简体"/>
          <w:spacing w:val="-6"/>
          <w:sz w:val="32"/>
          <w:szCs w:val="32"/>
        </w:rPr>
        <w:t>和</w:t>
      </w:r>
      <w:r>
        <w:rPr>
          <w:rFonts w:hint="eastAsia" w:ascii="Times New Roman" w:hAnsi="Times New Roman" w:eastAsia="方正仿宋简体" w:cs="Times New Roman"/>
          <w:spacing w:val="-6"/>
          <w:kern w:val="2"/>
          <w:sz w:val="32"/>
          <w:szCs w:val="32"/>
          <w:lang w:val="en-US" w:eastAsia="zh-CN" w:bidi="ar-SA"/>
        </w:rPr>
        <w:t>42.1%</w:t>
      </w:r>
      <w:r>
        <w:rPr>
          <w:rFonts w:hint="eastAsia" w:ascii="方正仿宋简体" w:hAnsi="方正仿宋简体" w:eastAsia="方正仿宋简体" w:cs="方正仿宋简体"/>
          <w:spacing w:val="-6"/>
          <w:sz w:val="32"/>
          <w:szCs w:val="32"/>
        </w:rPr>
        <w:t>。</w:t>
      </w:r>
    </w:p>
    <w:p w14:paraId="4DC1B2C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Times New Roman" w:hAnsi="Times New Roman" w:eastAsia="楷体_GB2312" w:cs="楷体_GB2312"/>
          <w:i w:val="0"/>
          <w:caps w:val="0"/>
          <w:color w:val="0C0C0C"/>
          <w:spacing w:val="0"/>
          <w:kern w:val="0"/>
          <w:sz w:val="32"/>
          <w:szCs w:val="32"/>
          <w:highlight w:val="none"/>
          <w:lang w:val="en-US" w:eastAsia="zh-CN" w:bidi="ar"/>
        </w:rPr>
      </w:pPr>
      <w:r>
        <w:rPr>
          <w:rFonts w:hint="eastAsia" w:ascii="Times New Roman" w:hAnsi="Times New Roman" w:eastAsia="楷体_GB2312" w:cs="楷体_GB2312"/>
          <w:i w:val="0"/>
          <w:caps w:val="0"/>
          <w:color w:val="0C0C0C"/>
          <w:spacing w:val="0"/>
          <w:kern w:val="0"/>
          <w:sz w:val="32"/>
          <w:szCs w:val="32"/>
          <w:highlight w:val="none"/>
          <w:lang w:val="en-US" w:eastAsia="zh-CN" w:bidi="ar"/>
        </w:rPr>
        <w:t>（二）主要经济指标</w:t>
      </w:r>
    </w:p>
    <w:p w14:paraId="2244D632">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年末，文化、体育和娱乐业企业法人单位资产总计</w:t>
      </w:r>
      <w:r>
        <w:rPr>
          <w:rFonts w:hint="eastAsia" w:ascii="方正仿宋简体" w:hAnsi="方正仿宋简体" w:eastAsia="方正仿宋简体" w:cs="方正仿宋简体"/>
          <w:sz w:val="32"/>
          <w:szCs w:val="32"/>
        </w:rPr>
        <w:t>11.3</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142.6%</w:t>
      </w:r>
      <w:r>
        <w:rPr>
          <w:rFonts w:hint="eastAsia" w:ascii="方正仿宋简体" w:hAnsi="方正仿宋简体" w:eastAsia="方正仿宋简体" w:cs="方正仿宋简体"/>
          <w:spacing w:val="-6"/>
          <w:sz w:val="32"/>
          <w:szCs w:val="32"/>
        </w:rPr>
        <w:t>；负债合计</w:t>
      </w:r>
      <w:r>
        <w:rPr>
          <w:rFonts w:hint="eastAsia" w:ascii="Times New Roman" w:hAnsi="Times New Roman" w:eastAsia="方正仿宋简体" w:cs="Times New Roman"/>
          <w:spacing w:val="-6"/>
          <w:kern w:val="2"/>
          <w:sz w:val="32"/>
          <w:szCs w:val="32"/>
          <w:lang w:val="en-US" w:eastAsia="zh-CN" w:bidi="ar-SA"/>
        </w:rPr>
        <w:t>6.3</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565.3%</w:t>
      </w:r>
      <w:r>
        <w:rPr>
          <w:rFonts w:hint="eastAsia" w:ascii="方正仿宋简体" w:hAnsi="方正仿宋简体" w:eastAsia="方正仿宋简体" w:cs="方正仿宋简体"/>
          <w:spacing w:val="-6"/>
          <w:sz w:val="32"/>
          <w:szCs w:val="32"/>
        </w:rPr>
        <w:t>。全年实现营业收入</w:t>
      </w:r>
      <w:r>
        <w:rPr>
          <w:rFonts w:hint="eastAsia" w:ascii="Times New Roman" w:hAnsi="Times New Roman" w:eastAsia="方正仿宋简体" w:cs="Times New Roman"/>
          <w:spacing w:val="-6"/>
          <w:kern w:val="2"/>
          <w:sz w:val="32"/>
          <w:szCs w:val="32"/>
          <w:lang w:val="en-US" w:eastAsia="zh-CN" w:bidi="ar-SA"/>
        </w:rPr>
        <w:t>3.4</w:t>
      </w:r>
      <w:r>
        <w:rPr>
          <w:rFonts w:hint="eastAsia" w:ascii="方正仿宋简体" w:hAnsi="方正仿宋简体" w:eastAsia="方正仿宋简体" w:cs="方正仿宋简体"/>
          <w:spacing w:val="-6"/>
          <w:sz w:val="32"/>
          <w:szCs w:val="32"/>
        </w:rPr>
        <w:t>亿元，比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年增长</w:t>
      </w:r>
      <w:r>
        <w:rPr>
          <w:rFonts w:hint="eastAsia" w:ascii="Times New Roman" w:hAnsi="Times New Roman" w:eastAsia="方正仿宋简体" w:cs="Times New Roman"/>
          <w:spacing w:val="-6"/>
          <w:kern w:val="2"/>
          <w:sz w:val="32"/>
          <w:szCs w:val="32"/>
          <w:lang w:val="en-US" w:eastAsia="zh-CN" w:bidi="ar-SA"/>
        </w:rPr>
        <w:t>501.8%</w:t>
      </w:r>
      <w:r>
        <w:rPr>
          <w:rFonts w:hint="eastAsia" w:ascii="方正仿宋简体" w:hAnsi="方正仿宋简体" w:eastAsia="方正仿宋简体" w:cs="方正仿宋简体"/>
          <w:spacing w:val="-6"/>
          <w:sz w:val="32"/>
          <w:szCs w:val="32"/>
        </w:rPr>
        <w:t>。</w:t>
      </w:r>
    </w:p>
    <w:p w14:paraId="3433CCB3">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方正仿宋简体" w:hAnsi="方正仿宋简体" w:eastAsia="方正仿宋简体" w:cs="方正仿宋简体"/>
          <w:spacing w:val="-6"/>
          <w:sz w:val="32"/>
          <w:szCs w:val="32"/>
        </w:rPr>
        <w:t>行政事业及非企业法人单位年末资产</w:t>
      </w:r>
      <w:r>
        <w:rPr>
          <w:rFonts w:hint="eastAsia" w:ascii="Times New Roman" w:hAnsi="Times New Roman" w:eastAsia="方正仿宋简体" w:cs="Times New Roman"/>
          <w:spacing w:val="-6"/>
          <w:kern w:val="2"/>
          <w:sz w:val="32"/>
          <w:szCs w:val="32"/>
          <w:lang w:val="en-US" w:eastAsia="zh-CN" w:bidi="ar-SA"/>
        </w:rPr>
        <w:t>0.2</w:t>
      </w:r>
      <w:r>
        <w:rPr>
          <w:rFonts w:hint="eastAsia" w:ascii="方正仿宋简体" w:hAnsi="方正仿宋简体" w:eastAsia="方正仿宋简体" w:cs="方正仿宋简体"/>
          <w:spacing w:val="-6"/>
          <w:sz w:val="32"/>
          <w:szCs w:val="32"/>
        </w:rPr>
        <w:t>亿元，本年支出（费用）合计</w:t>
      </w:r>
      <w:r>
        <w:rPr>
          <w:rFonts w:hint="eastAsia" w:ascii="Times New Roman" w:hAnsi="Times New Roman" w:eastAsia="方正仿宋简体" w:cs="Times New Roman"/>
          <w:spacing w:val="-6"/>
          <w:kern w:val="2"/>
          <w:sz w:val="32"/>
          <w:szCs w:val="32"/>
          <w:lang w:val="en-US" w:eastAsia="zh-CN" w:bidi="ar-SA"/>
        </w:rPr>
        <w:t>0.3</w:t>
      </w:r>
      <w:r>
        <w:rPr>
          <w:rFonts w:hint="eastAsia" w:ascii="方正仿宋简体" w:hAnsi="方正仿宋简体" w:eastAsia="方正仿宋简体" w:cs="方正仿宋简体"/>
          <w:spacing w:val="-6"/>
          <w:sz w:val="32"/>
          <w:szCs w:val="32"/>
        </w:rPr>
        <w:t>亿元。</w:t>
      </w:r>
    </w:p>
    <w:p w14:paraId="4CEDC7CA">
      <w:pPr>
        <w:spacing w:line="600" w:lineRule="exact"/>
        <w:ind w:firstLine="640"/>
        <w:jc w:val="left"/>
        <w:textAlignment w:val="auto"/>
        <w:rPr>
          <w:rFonts w:hint="eastAsia" w:ascii="黑体" w:hAnsi="黑体" w:eastAsia="黑体" w:cs="黑体"/>
          <w:kern w:val="0"/>
          <w:sz w:val="32"/>
          <w:szCs w:val="32"/>
        </w:rPr>
      </w:pPr>
      <w:r>
        <w:rPr>
          <w:rFonts w:hint="eastAsia" w:ascii="黑体" w:hAnsi="黑体" w:eastAsia="黑体" w:cs="黑体"/>
          <w:kern w:val="0"/>
          <w:sz w:val="32"/>
          <w:szCs w:val="32"/>
        </w:rPr>
        <w:t>七、公共管理、社会保障和社会组织</w:t>
      </w:r>
    </w:p>
    <w:p w14:paraId="7B063319">
      <w:pPr>
        <w:pStyle w:val="5"/>
        <w:spacing w:line="600" w:lineRule="exact"/>
        <w:ind w:firstLine="616"/>
        <w:rPr>
          <w:rFonts w:hint="eastAsia" w:ascii="方正仿宋简体" w:hAnsi="方正仿宋简体" w:eastAsia="方正仿宋简体" w:cs="方正仿宋简体"/>
          <w:spacing w:val="-6"/>
          <w:sz w:val="32"/>
          <w:szCs w:val="32"/>
        </w:rPr>
      </w:pP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spacing w:val="-6"/>
          <w:sz w:val="32"/>
          <w:szCs w:val="32"/>
        </w:rPr>
        <w:t>年末，全区共有公共管理、社会保障和社会组织法人单位</w:t>
      </w:r>
      <w:r>
        <w:rPr>
          <w:rFonts w:hint="eastAsia" w:ascii="Times New Roman" w:hAnsi="Times New Roman" w:eastAsia="方正仿宋简体" w:cs="Times New Roman"/>
          <w:spacing w:val="-6"/>
          <w:kern w:val="2"/>
          <w:sz w:val="32"/>
          <w:szCs w:val="32"/>
          <w:lang w:val="en-US" w:eastAsia="zh-CN" w:bidi="ar-SA"/>
        </w:rPr>
        <w:t>212</w:t>
      </w:r>
      <w:r>
        <w:rPr>
          <w:rFonts w:hint="eastAsia" w:ascii="方正仿宋简体" w:hAnsi="方正仿宋简体" w:eastAsia="方正仿宋简体" w:cs="方正仿宋简体"/>
          <w:spacing w:val="-6"/>
          <w:sz w:val="32"/>
          <w:szCs w:val="32"/>
        </w:rPr>
        <w:t>个，比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年末下降</w:t>
      </w:r>
      <w:r>
        <w:rPr>
          <w:rFonts w:hint="eastAsia" w:ascii="Times New Roman" w:hAnsi="Times New Roman" w:eastAsia="方正仿宋简体" w:cs="Times New Roman"/>
          <w:spacing w:val="-6"/>
          <w:kern w:val="2"/>
          <w:sz w:val="32"/>
          <w:szCs w:val="32"/>
          <w:lang w:val="en-US" w:eastAsia="zh-CN" w:bidi="ar-SA"/>
        </w:rPr>
        <w:t>0.5%</w:t>
      </w:r>
      <w:r>
        <w:rPr>
          <w:rFonts w:hint="eastAsia" w:ascii="方正仿宋简体" w:hAnsi="方正仿宋简体" w:eastAsia="方正仿宋简体" w:cs="方正仿宋简体"/>
          <w:spacing w:val="-6"/>
          <w:sz w:val="32"/>
          <w:szCs w:val="32"/>
        </w:rPr>
        <w:t>；从业人员</w:t>
      </w:r>
      <w:r>
        <w:rPr>
          <w:rFonts w:hint="eastAsia" w:ascii="Times New Roman" w:hAnsi="Times New Roman" w:eastAsia="方正仿宋简体" w:cs="Times New Roman"/>
          <w:spacing w:val="-6"/>
          <w:kern w:val="2"/>
          <w:sz w:val="32"/>
          <w:szCs w:val="32"/>
          <w:lang w:val="en-US" w:eastAsia="zh-CN" w:bidi="ar-SA"/>
        </w:rPr>
        <w:t>11376</w:t>
      </w:r>
      <w:r>
        <w:rPr>
          <w:rFonts w:hint="eastAsia" w:ascii="方正仿宋简体" w:hAnsi="方正仿宋简体" w:eastAsia="方正仿宋简体" w:cs="方正仿宋简体"/>
          <w:spacing w:val="-6"/>
          <w:sz w:val="32"/>
          <w:szCs w:val="32"/>
        </w:rPr>
        <w:t>人，比</w:t>
      </w:r>
      <w:r>
        <w:rPr>
          <w:rFonts w:hint="eastAsia" w:ascii="Times New Roman" w:hAnsi="Times New Roman" w:eastAsia="方正仿宋简体" w:cs="Times New Roman"/>
          <w:spacing w:val="-6"/>
          <w:kern w:val="2"/>
          <w:sz w:val="32"/>
          <w:szCs w:val="32"/>
          <w:lang w:val="en-US" w:eastAsia="zh-CN" w:bidi="ar-SA"/>
        </w:rPr>
        <w:t>2018</w:t>
      </w:r>
      <w:r>
        <w:rPr>
          <w:rFonts w:hint="eastAsia" w:ascii="方正仿宋简体" w:hAnsi="方正仿宋简体" w:eastAsia="方正仿宋简体" w:cs="方正仿宋简体"/>
          <w:spacing w:val="-6"/>
          <w:sz w:val="32"/>
          <w:szCs w:val="32"/>
        </w:rPr>
        <w:t>年末增长</w:t>
      </w:r>
      <w:r>
        <w:rPr>
          <w:rFonts w:hint="eastAsia" w:ascii="Times New Roman" w:hAnsi="Times New Roman" w:eastAsia="方正仿宋简体" w:cs="Times New Roman"/>
          <w:spacing w:val="-6"/>
          <w:kern w:val="2"/>
          <w:sz w:val="32"/>
          <w:szCs w:val="32"/>
          <w:lang w:val="en-US" w:eastAsia="zh-CN" w:bidi="ar-SA"/>
        </w:rPr>
        <w:t>23.9%</w:t>
      </w:r>
      <w:r>
        <w:rPr>
          <w:rFonts w:hint="eastAsia" w:ascii="方正仿宋简体" w:hAnsi="方正仿宋简体" w:eastAsia="方正仿宋简体" w:cs="方正仿宋简体"/>
          <w:spacing w:val="-6"/>
          <w:sz w:val="32"/>
          <w:szCs w:val="32"/>
        </w:rPr>
        <w:t>。行政事业及非企业法人单位年末资产</w:t>
      </w:r>
      <w:r>
        <w:rPr>
          <w:rFonts w:hint="eastAsia" w:ascii="Times New Roman" w:hAnsi="Times New Roman" w:eastAsia="方正仿宋简体" w:cs="Times New Roman"/>
          <w:spacing w:val="-6"/>
          <w:kern w:val="2"/>
          <w:sz w:val="32"/>
          <w:szCs w:val="32"/>
          <w:lang w:val="en-US" w:eastAsia="zh-CN" w:bidi="ar-SA"/>
        </w:rPr>
        <w:t>96.4</w:t>
      </w:r>
      <w:r>
        <w:rPr>
          <w:rFonts w:hint="eastAsia" w:ascii="方正仿宋简体" w:hAnsi="方正仿宋简体" w:eastAsia="方正仿宋简体" w:cs="方正仿宋简体"/>
          <w:spacing w:val="-6"/>
          <w:sz w:val="32"/>
          <w:szCs w:val="32"/>
        </w:rPr>
        <w:t>亿元，本年支出（费用）合计</w:t>
      </w:r>
      <w:r>
        <w:rPr>
          <w:rFonts w:hint="eastAsia" w:ascii="Times New Roman" w:hAnsi="Times New Roman" w:eastAsia="方正仿宋简体" w:cs="Times New Roman"/>
          <w:spacing w:val="-6"/>
          <w:kern w:val="2"/>
          <w:sz w:val="32"/>
          <w:szCs w:val="32"/>
          <w:lang w:val="en-US" w:eastAsia="zh-CN" w:bidi="ar-SA"/>
        </w:rPr>
        <w:t>109.3</w:t>
      </w:r>
      <w:r>
        <w:rPr>
          <w:rFonts w:hint="eastAsia" w:ascii="方正仿宋简体" w:hAnsi="方正仿宋简体" w:eastAsia="方正仿宋简体" w:cs="方正仿宋简体"/>
          <w:spacing w:val="-6"/>
          <w:sz w:val="32"/>
          <w:szCs w:val="32"/>
        </w:rPr>
        <w:t>亿元。</w:t>
      </w:r>
    </w:p>
    <w:p w14:paraId="7538545D">
      <w:pPr>
        <w:spacing w:line="600" w:lineRule="exact"/>
        <w:ind w:firstLine="560"/>
        <w:textAlignment w:val="auto"/>
        <w:rPr>
          <w:rFonts w:hint="eastAsia" w:ascii="黑体" w:hAnsi="黑体" w:eastAsia="黑体" w:cs="黑体"/>
          <w:bCs/>
          <w:kern w:val="0"/>
          <w:sz w:val="28"/>
          <w:szCs w:val="28"/>
        </w:rPr>
      </w:pPr>
      <w:r>
        <w:rPr>
          <w:rFonts w:hint="eastAsia" w:ascii="黑体" w:hAnsi="黑体" w:eastAsia="黑体" w:cs="黑体"/>
          <w:bCs/>
          <w:kern w:val="0"/>
          <w:sz w:val="28"/>
          <w:szCs w:val="28"/>
        </w:rPr>
        <w:t>注释：</w:t>
      </w:r>
    </w:p>
    <w:p w14:paraId="099049F5">
      <w:pPr>
        <w:spacing w:line="600" w:lineRule="exact"/>
        <w:ind w:firstLine="560"/>
        <w:textAlignment w:val="auto"/>
        <w:rPr>
          <w:rFonts w:hint="eastAsia" w:ascii="方正仿宋简体" w:hAnsi="方正仿宋简体" w:eastAsia="方正仿宋简体" w:cs="方正仿宋简体"/>
          <w:kern w:val="0"/>
          <w:sz w:val="28"/>
          <w:szCs w:val="28"/>
        </w:rPr>
      </w:pPr>
      <w:r>
        <w:rPr>
          <w:rFonts w:hint="eastAsia" w:ascii="Times New Roman" w:hAnsi="Times New Roman" w:eastAsia="方正仿宋简体" w:cs="Times New Roman"/>
          <w:spacing w:val="-6"/>
          <w:kern w:val="2"/>
          <w:sz w:val="32"/>
          <w:szCs w:val="32"/>
          <w:lang w:val="en-US" w:eastAsia="zh-CN" w:bidi="ar-SA"/>
        </w:rPr>
        <w:t>[1]</w:t>
      </w:r>
      <w:r>
        <w:rPr>
          <w:rFonts w:hint="eastAsia" w:ascii="方正仿宋简体" w:hAnsi="方正仿宋简体" w:eastAsia="方正仿宋简体" w:cs="方正仿宋简体"/>
          <w:kern w:val="0"/>
          <w:sz w:val="28"/>
          <w:szCs w:val="28"/>
        </w:rPr>
        <w:t>本公报中的行政事业及非企业法人单位，不包括执行企业会计制度的事业法人单位、民办非企业法人单位和基金会，农民专业合作社，农村集体经济组织和除宗教活动场所以外的机构类型为其他组织机构的法人单位。</w:t>
      </w:r>
    </w:p>
    <w:p w14:paraId="704237C7">
      <w:pPr>
        <w:spacing w:line="600" w:lineRule="exact"/>
        <w:ind w:firstLine="560"/>
        <w:textAlignment w:val="auto"/>
        <w:rPr>
          <w:rFonts w:hint="eastAsia" w:ascii="方正仿宋简体" w:hAnsi="方正仿宋简体" w:eastAsia="方正仿宋简体" w:cs="方正仿宋简体"/>
          <w:kern w:val="0"/>
          <w:sz w:val="28"/>
          <w:szCs w:val="28"/>
        </w:rPr>
      </w:pPr>
      <w:r>
        <w:rPr>
          <w:rFonts w:hint="eastAsia" w:ascii="Times New Roman" w:hAnsi="Times New Roman" w:eastAsia="方正仿宋简体" w:cs="Times New Roman"/>
          <w:spacing w:val="-6"/>
          <w:kern w:val="2"/>
          <w:sz w:val="32"/>
          <w:szCs w:val="32"/>
          <w:lang w:val="en-US" w:eastAsia="zh-CN" w:bidi="ar-SA"/>
        </w:rPr>
        <w:t>[2]</w:t>
      </w:r>
      <w:r>
        <w:rPr>
          <w:rFonts w:hint="eastAsia" w:ascii="方正仿宋简体" w:hAnsi="方正仿宋简体" w:eastAsia="方正仿宋简体" w:cs="方正仿宋简体"/>
          <w:kern w:val="0"/>
          <w:sz w:val="28"/>
          <w:szCs w:val="28"/>
        </w:rPr>
        <w:t>登记注册统计类别：根据国家统计局、国家市场监督管理总局《关于市场主体统计分类的划分规定》（国统字〔</w:t>
      </w:r>
      <w:r>
        <w:rPr>
          <w:rFonts w:hint="eastAsia" w:ascii="Times New Roman" w:hAnsi="Times New Roman" w:eastAsia="方正仿宋简体" w:cs="Times New Roman"/>
          <w:spacing w:val="-6"/>
          <w:kern w:val="2"/>
          <w:sz w:val="32"/>
          <w:szCs w:val="32"/>
          <w:lang w:val="en-US" w:eastAsia="zh-CN" w:bidi="ar-SA"/>
        </w:rPr>
        <w:t>2023</w:t>
      </w:r>
      <w:r>
        <w:rPr>
          <w:rFonts w:hint="eastAsia" w:ascii="方正仿宋简体" w:hAnsi="方正仿宋简体" w:eastAsia="方正仿宋简体" w:cs="方正仿宋简体"/>
          <w:kern w:val="0"/>
          <w:sz w:val="28"/>
          <w:szCs w:val="28"/>
        </w:rPr>
        <w:t>〕</w:t>
      </w:r>
      <w:r>
        <w:rPr>
          <w:rFonts w:hint="eastAsia" w:ascii="Times New Roman" w:hAnsi="Times New Roman" w:eastAsia="方正仿宋简体" w:cs="Times New Roman"/>
          <w:spacing w:val="-6"/>
          <w:kern w:val="2"/>
          <w:sz w:val="32"/>
          <w:szCs w:val="32"/>
          <w:lang w:val="en-US" w:eastAsia="zh-CN" w:bidi="ar-SA"/>
        </w:rPr>
        <w:t>14</w:t>
      </w:r>
      <w:r>
        <w:rPr>
          <w:rFonts w:hint="eastAsia" w:ascii="方正仿宋简体" w:hAnsi="方正仿宋简体" w:eastAsia="方正仿宋简体" w:cs="方正仿宋简体"/>
          <w:kern w:val="0"/>
          <w:sz w:val="28"/>
          <w:szCs w:val="28"/>
        </w:rPr>
        <w:t>号）确定，包括内资企业、港澳台投资企业和外商投资企业，以及农民专业合作社（联合社）等其他统计类别。</w:t>
      </w:r>
    </w:p>
    <w:p w14:paraId="3B4FA146">
      <w:pPr>
        <w:spacing w:line="600" w:lineRule="exact"/>
        <w:ind w:firstLine="560"/>
        <w:textAlignment w:val="auto"/>
        <w:rPr>
          <w:rFonts w:hint="eastAsia" w:ascii="方正仿宋简体" w:hAnsi="方正仿宋简体" w:eastAsia="方正仿宋简体" w:cs="方正仿宋简体"/>
          <w:kern w:val="0"/>
          <w:sz w:val="28"/>
          <w:szCs w:val="28"/>
        </w:rPr>
      </w:pPr>
      <w:r>
        <w:rPr>
          <w:rFonts w:hint="eastAsia" w:ascii="Times New Roman" w:hAnsi="Times New Roman" w:eastAsia="方正仿宋简体" w:cs="Times New Roman"/>
          <w:spacing w:val="-6"/>
          <w:kern w:val="2"/>
          <w:sz w:val="32"/>
          <w:szCs w:val="32"/>
          <w:lang w:val="en-US" w:eastAsia="zh-CN" w:bidi="ar-SA"/>
        </w:rPr>
        <w:t>[3]</w:t>
      </w:r>
      <w:r>
        <w:rPr>
          <w:rFonts w:hint="eastAsia" w:ascii="方正仿宋简体" w:hAnsi="方正仿宋简体" w:eastAsia="方正仿宋简体" w:cs="方正仿宋简体"/>
          <w:kern w:val="0"/>
          <w:sz w:val="28"/>
          <w:szCs w:val="28"/>
        </w:rPr>
        <w:t>表中的合计数和部分计算数据因小数取舍而产生的误差，均未作机械调整。为保证数据精确度，个别数据保留</w:t>
      </w:r>
      <w:r>
        <w:rPr>
          <w:rFonts w:hint="eastAsia" w:ascii="Times New Roman" w:hAnsi="Times New Roman" w:eastAsia="方正仿宋简体" w:cs="Times New Roman"/>
          <w:spacing w:val="-6"/>
          <w:kern w:val="2"/>
          <w:sz w:val="32"/>
          <w:szCs w:val="32"/>
          <w:lang w:val="en-US" w:eastAsia="zh-CN" w:bidi="ar-SA"/>
        </w:rPr>
        <w:t>2</w:t>
      </w:r>
      <w:r>
        <w:rPr>
          <w:rFonts w:hint="eastAsia" w:ascii="方正仿宋简体" w:hAnsi="方正仿宋简体" w:eastAsia="方正仿宋简体" w:cs="方正仿宋简体"/>
          <w:kern w:val="0"/>
          <w:sz w:val="28"/>
          <w:szCs w:val="28"/>
        </w:rPr>
        <w:t>位小数。</w:t>
      </w:r>
    </w:p>
    <w:p w14:paraId="1D53BEBE">
      <w:pPr>
        <w:adjustRightInd w:val="0"/>
        <w:snapToGrid w:val="0"/>
        <w:spacing w:line="600" w:lineRule="exact"/>
        <w:ind w:firstLine="0" w:firstLineChars="0"/>
        <w:textAlignment w:val="auto"/>
        <w:rPr>
          <w:rFonts w:ascii="宋体" w:hAnsi="宋体"/>
          <w:sz w:val="36"/>
          <w:szCs w:val="36"/>
        </w:rPr>
      </w:pPr>
    </w:p>
    <w:p w14:paraId="013E72ED">
      <w:pPr>
        <w:adjustRightInd w:val="0"/>
        <w:snapToGrid w:val="0"/>
        <w:spacing w:line="600" w:lineRule="exact"/>
        <w:ind w:firstLine="0" w:firstLineChars="0"/>
        <w:textAlignment w:val="auto"/>
        <w:rPr>
          <w:rFonts w:ascii="宋体" w:hAnsi="宋体"/>
          <w:sz w:val="36"/>
          <w:szCs w:val="36"/>
        </w:rPr>
      </w:pPr>
    </w:p>
    <w:p w14:paraId="7C9DD302">
      <w:pPr>
        <w:adjustRightInd w:val="0"/>
        <w:snapToGrid w:val="0"/>
        <w:spacing w:line="600" w:lineRule="exact"/>
        <w:ind w:firstLine="0" w:firstLineChars="0"/>
        <w:textAlignment w:val="auto"/>
        <w:rPr>
          <w:rFonts w:ascii="宋体" w:hAnsi="宋体"/>
          <w:sz w:val="36"/>
          <w:szCs w:val="36"/>
        </w:rPr>
      </w:pPr>
    </w:p>
    <w:p w14:paraId="14EEBC4B">
      <w:pPr>
        <w:spacing w:line="600" w:lineRule="exact"/>
        <w:ind w:firstLine="0" w:firstLineChars="0"/>
        <w:textAlignment w:val="auto"/>
        <w:rPr>
          <w:rFonts w:ascii="宋体" w:hAnsi="宋体"/>
          <w:sz w:val="36"/>
          <w:szCs w:val="36"/>
        </w:rPr>
      </w:pPr>
    </w:p>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701" w:right="1616" w:bottom="1701" w:left="1616" w:header="851" w:footer="1474" w:gutter="0"/>
      <w:pgNumType w:fmt="decimal"/>
      <w:cols w:space="720" w:num="1"/>
      <w:docGrid w:type="lines" w:linePitch="5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Arial Unicode MS"/>
    <w:panose1 w:val="02000000000000000000"/>
    <w:charset w:val="86"/>
    <w:family w:val="script"/>
    <w:pitch w:val="default"/>
    <w:sig w:usb0="00000000" w:usb1="00000000" w:usb2="00000000" w:usb3="00000000" w:csb0="00040000" w:csb1="00000000"/>
  </w:font>
  <w:font w:name="方正黑体_GBK">
    <w:altName w:val="Arial Unicode MS"/>
    <w:panose1 w:val="02000000000000000000"/>
    <w:charset w:val="86"/>
    <w:family w:val="script"/>
    <w:pitch w:val="default"/>
    <w:sig w:usb0="00000000" w:usb1="00000000" w:usb2="00000000" w:usb3="00000000" w:csb0="00040000" w:csb1="00000000"/>
  </w:font>
  <w:font w:name="方正楷体_GBK">
    <w:altName w:val="Arial Unicode MS"/>
    <w:panose1 w:val="02000000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方正小标宋_GBK">
    <w:altName w:val="Arial Unicode MS"/>
    <w:panose1 w:val="02000000000000000000"/>
    <w:charset w:val="86"/>
    <w:family w:val="script"/>
    <w:pitch w:val="default"/>
    <w:sig w:usb0="00000000" w:usb1="0000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B07A0">
    <w:pPr>
      <w:pStyle w:val="11"/>
      <w:ind w:right="141" w:firstLine="560"/>
      <w:jc w:val="right"/>
      <w:rPr>
        <w:rFonts w:ascii="仿宋_GB2312" w:hAnsi="宋体" w:eastAsia="仿宋_GB2312"/>
        <w:caps/>
        <w:sz w:val="28"/>
        <w:szCs w:val="28"/>
      </w:rPr>
    </w:pPr>
    <w:r>
      <w:rPr>
        <w:sz w:val="28"/>
      </w:rPr>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5D9C4C4D">
                <w:pPr>
                  <w:pStyle w:val="11"/>
                  <w:ind w:firstLine="0" w:firstLineChars="0"/>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0F4F5">
    <w:pPr>
      <w:pStyle w:val="11"/>
      <w:ind w:right="141" w:firstLine="0" w:firstLineChars="0"/>
      <w:rPr>
        <w:rFonts w:ascii="仿宋_GB2312" w:hAnsi="宋体" w:eastAsia="仿宋_GB2312"/>
        <w:caps/>
        <w:sz w:val="28"/>
        <w:szCs w:val="28"/>
      </w:rPr>
    </w:pPr>
    <w:r>
      <w:rPr>
        <w:sz w:val="28"/>
      </w:rPr>
      <w:pict>
        <v:shape id="文本框 8" o:spid="_x0000_s1027"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P6rG3vHAQAAmQMAAA4AAAAAAAAA&#10;AQAgAAAANAEAAGRycy9lMm9Eb2MueG1sUEsFBgAAAAAGAAYAWQEAAG0FAAAAAA==&#10;">
          <v:path/>
          <v:fill on="f" focussize="0,0"/>
          <v:stroke on="f" joinstyle="miter"/>
          <v:imagedata o:title=""/>
          <o:lock v:ext="edit"/>
          <v:textbox inset="0mm,0mm,0mm,0mm" style="mso-fit-shape-to-text:t;">
            <w:txbxContent>
              <w:p w14:paraId="64DA559D">
                <w:pPr>
                  <w:pStyle w:val="11"/>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16</w:t>
                </w:r>
                <w:r>
                  <w:rPr>
                    <w:sz w:val="28"/>
                    <w:szCs w:val="28"/>
                  </w:rPr>
                  <w:fldChar w:fldCharType="end"/>
                </w:r>
                <w:r>
                  <w:rPr>
                    <w:sz w:val="28"/>
                    <w:szCs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F49EC">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E0EA1">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016E1">
    <w:pPr>
      <w:pStyle w:val="12"/>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DC891">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36A766"/>
    <w:multiLevelType w:val="singleLevel"/>
    <w:tmpl w:val="FA36A7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dit="readOnly" w:enforcement="0"/>
  <w:defaultTabStop w:val="419"/>
  <w:drawingGridHorizontalSpacing w:val="150"/>
  <w:drawingGridVerticalSpacing w:val="294"/>
  <w:noPunctuationKerning w:val="1"/>
  <w:characterSpacingControl w:val="compressPunctuation"/>
  <w:hdrShapeDefaults>
    <o:shapelayout v:ext="edit">
      <o:idmap v:ext="edit" data="1"/>
    </o:shapelayout>
  </w:hdrShapeDefaults>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7B0E"/>
    <w:rsid w:val="00001176"/>
    <w:rsid w:val="000119DD"/>
    <w:rsid w:val="00014B0F"/>
    <w:rsid w:val="00024AFC"/>
    <w:rsid w:val="0004755E"/>
    <w:rsid w:val="000607EF"/>
    <w:rsid w:val="0007110E"/>
    <w:rsid w:val="00093DE0"/>
    <w:rsid w:val="000945B2"/>
    <w:rsid w:val="000A3547"/>
    <w:rsid w:val="000A361D"/>
    <w:rsid w:val="000D4D61"/>
    <w:rsid w:val="000E1684"/>
    <w:rsid w:val="001106AF"/>
    <w:rsid w:val="0011180B"/>
    <w:rsid w:val="001251DD"/>
    <w:rsid w:val="00130B7A"/>
    <w:rsid w:val="00136454"/>
    <w:rsid w:val="0014395A"/>
    <w:rsid w:val="001552A6"/>
    <w:rsid w:val="00157B6B"/>
    <w:rsid w:val="00184254"/>
    <w:rsid w:val="001A0D48"/>
    <w:rsid w:val="001C6C77"/>
    <w:rsid w:val="00211339"/>
    <w:rsid w:val="00266182"/>
    <w:rsid w:val="00280636"/>
    <w:rsid w:val="002D53BB"/>
    <w:rsid w:val="00301315"/>
    <w:rsid w:val="00310F48"/>
    <w:rsid w:val="003163F4"/>
    <w:rsid w:val="0034241F"/>
    <w:rsid w:val="003427C7"/>
    <w:rsid w:val="003928E0"/>
    <w:rsid w:val="003976BE"/>
    <w:rsid w:val="003A5F91"/>
    <w:rsid w:val="003B2506"/>
    <w:rsid w:val="003B7D4D"/>
    <w:rsid w:val="003E6957"/>
    <w:rsid w:val="003F5C4B"/>
    <w:rsid w:val="004135D6"/>
    <w:rsid w:val="00467D15"/>
    <w:rsid w:val="00492CD9"/>
    <w:rsid w:val="00497D70"/>
    <w:rsid w:val="004B0E6D"/>
    <w:rsid w:val="004B486E"/>
    <w:rsid w:val="004D0491"/>
    <w:rsid w:val="00521108"/>
    <w:rsid w:val="0052258E"/>
    <w:rsid w:val="00542F01"/>
    <w:rsid w:val="00553C56"/>
    <w:rsid w:val="0055686B"/>
    <w:rsid w:val="00556D6D"/>
    <w:rsid w:val="00564D80"/>
    <w:rsid w:val="00570A5E"/>
    <w:rsid w:val="00573809"/>
    <w:rsid w:val="00586B00"/>
    <w:rsid w:val="00593159"/>
    <w:rsid w:val="005A3D96"/>
    <w:rsid w:val="00620235"/>
    <w:rsid w:val="00622F6F"/>
    <w:rsid w:val="0064048B"/>
    <w:rsid w:val="00640F6F"/>
    <w:rsid w:val="00687249"/>
    <w:rsid w:val="006B013A"/>
    <w:rsid w:val="006C4F52"/>
    <w:rsid w:val="00730C79"/>
    <w:rsid w:val="0078417E"/>
    <w:rsid w:val="007860EB"/>
    <w:rsid w:val="007E6099"/>
    <w:rsid w:val="00846681"/>
    <w:rsid w:val="00854DF9"/>
    <w:rsid w:val="008C15CD"/>
    <w:rsid w:val="008C32CF"/>
    <w:rsid w:val="008C5A13"/>
    <w:rsid w:val="009135A3"/>
    <w:rsid w:val="00965D56"/>
    <w:rsid w:val="00971DF7"/>
    <w:rsid w:val="00992916"/>
    <w:rsid w:val="009939D2"/>
    <w:rsid w:val="009A7FC0"/>
    <w:rsid w:val="009B7E3A"/>
    <w:rsid w:val="009C7D43"/>
    <w:rsid w:val="009E0973"/>
    <w:rsid w:val="009F1035"/>
    <w:rsid w:val="00A02838"/>
    <w:rsid w:val="00A44D28"/>
    <w:rsid w:val="00A46587"/>
    <w:rsid w:val="00A73C2A"/>
    <w:rsid w:val="00AD7B0E"/>
    <w:rsid w:val="00AF4E4D"/>
    <w:rsid w:val="00B344BA"/>
    <w:rsid w:val="00B449E5"/>
    <w:rsid w:val="00B607F0"/>
    <w:rsid w:val="00BC65C0"/>
    <w:rsid w:val="00BE20E4"/>
    <w:rsid w:val="00BE6358"/>
    <w:rsid w:val="00C07A75"/>
    <w:rsid w:val="00C813C6"/>
    <w:rsid w:val="00CA51AD"/>
    <w:rsid w:val="00CB34FD"/>
    <w:rsid w:val="00CC10F8"/>
    <w:rsid w:val="00CC208C"/>
    <w:rsid w:val="00D00035"/>
    <w:rsid w:val="00D01BC6"/>
    <w:rsid w:val="00D11B1F"/>
    <w:rsid w:val="00D26E3C"/>
    <w:rsid w:val="00D55768"/>
    <w:rsid w:val="00D72D8B"/>
    <w:rsid w:val="00D86BD8"/>
    <w:rsid w:val="00DA61D1"/>
    <w:rsid w:val="00DB350C"/>
    <w:rsid w:val="00DB5DB6"/>
    <w:rsid w:val="00DB755F"/>
    <w:rsid w:val="00DD43C3"/>
    <w:rsid w:val="00E05584"/>
    <w:rsid w:val="00E06613"/>
    <w:rsid w:val="00E24BB1"/>
    <w:rsid w:val="00E50D78"/>
    <w:rsid w:val="00E64FD0"/>
    <w:rsid w:val="00ED6856"/>
    <w:rsid w:val="00EF42E1"/>
    <w:rsid w:val="00F031F1"/>
    <w:rsid w:val="00F57676"/>
    <w:rsid w:val="00F658EB"/>
    <w:rsid w:val="00F6605B"/>
    <w:rsid w:val="00F6787A"/>
    <w:rsid w:val="00FA4044"/>
    <w:rsid w:val="00FD7729"/>
    <w:rsid w:val="00FF1A47"/>
    <w:rsid w:val="00FF1D5D"/>
    <w:rsid w:val="00FF6638"/>
    <w:rsid w:val="00FF6802"/>
    <w:rsid w:val="01BB2CB6"/>
    <w:rsid w:val="020E4AAB"/>
    <w:rsid w:val="02A15CE2"/>
    <w:rsid w:val="02FA184C"/>
    <w:rsid w:val="048043F7"/>
    <w:rsid w:val="06C60B10"/>
    <w:rsid w:val="07FDD03F"/>
    <w:rsid w:val="088B519F"/>
    <w:rsid w:val="08F17998"/>
    <w:rsid w:val="094731F9"/>
    <w:rsid w:val="0A744383"/>
    <w:rsid w:val="0A9F5332"/>
    <w:rsid w:val="0BA32D07"/>
    <w:rsid w:val="0BF93B68"/>
    <w:rsid w:val="0C426AAC"/>
    <w:rsid w:val="0CD7685D"/>
    <w:rsid w:val="0D7410F4"/>
    <w:rsid w:val="0F5629E1"/>
    <w:rsid w:val="0FCED597"/>
    <w:rsid w:val="0FD97682"/>
    <w:rsid w:val="13BA1189"/>
    <w:rsid w:val="13FE1F96"/>
    <w:rsid w:val="145E31EC"/>
    <w:rsid w:val="14A92FF0"/>
    <w:rsid w:val="164B6F7F"/>
    <w:rsid w:val="16F7A5AD"/>
    <w:rsid w:val="171B638F"/>
    <w:rsid w:val="17EFA947"/>
    <w:rsid w:val="17FF2253"/>
    <w:rsid w:val="19D7956D"/>
    <w:rsid w:val="1ADC1CF7"/>
    <w:rsid w:val="1B4E0845"/>
    <w:rsid w:val="1B76429E"/>
    <w:rsid w:val="1BF777DE"/>
    <w:rsid w:val="1BF92182"/>
    <w:rsid w:val="1BFF8275"/>
    <w:rsid w:val="1DF78592"/>
    <w:rsid w:val="1EDA7168"/>
    <w:rsid w:val="1F1F845E"/>
    <w:rsid w:val="1F3513EE"/>
    <w:rsid w:val="1F7D891F"/>
    <w:rsid w:val="1F990D83"/>
    <w:rsid w:val="1FB543A2"/>
    <w:rsid w:val="1FBFF3C8"/>
    <w:rsid w:val="1FDF0803"/>
    <w:rsid w:val="1FEF11E6"/>
    <w:rsid w:val="1FF2D086"/>
    <w:rsid w:val="1FFF2E1C"/>
    <w:rsid w:val="1FFF7604"/>
    <w:rsid w:val="203514EB"/>
    <w:rsid w:val="208C5DEF"/>
    <w:rsid w:val="2154329C"/>
    <w:rsid w:val="218C38AA"/>
    <w:rsid w:val="21F86EF1"/>
    <w:rsid w:val="233E28EC"/>
    <w:rsid w:val="23B40CCC"/>
    <w:rsid w:val="24337ADC"/>
    <w:rsid w:val="24576199"/>
    <w:rsid w:val="245872B7"/>
    <w:rsid w:val="247E734F"/>
    <w:rsid w:val="24BF3D01"/>
    <w:rsid w:val="25335F94"/>
    <w:rsid w:val="25ED9684"/>
    <w:rsid w:val="263266E7"/>
    <w:rsid w:val="277F4471"/>
    <w:rsid w:val="27DF4134"/>
    <w:rsid w:val="27F7A832"/>
    <w:rsid w:val="286950AB"/>
    <w:rsid w:val="28DE0848"/>
    <w:rsid w:val="299F26BF"/>
    <w:rsid w:val="2A3F10C0"/>
    <w:rsid w:val="2A996CA6"/>
    <w:rsid w:val="2ADB133E"/>
    <w:rsid w:val="2B3F47E3"/>
    <w:rsid w:val="2BFF4474"/>
    <w:rsid w:val="2DFB07DF"/>
    <w:rsid w:val="2E5B0595"/>
    <w:rsid w:val="2ED73919"/>
    <w:rsid w:val="2EE2584B"/>
    <w:rsid w:val="2EFB1545"/>
    <w:rsid w:val="2EFFBB79"/>
    <w:rsid w:val="2F137074"/>
    <w:rsid w:val="2F3446BC"/>
    <w:rsid w:val="2F6F264E"/>
    <w:rsid w:val="2FC30B07"/>
    <w:rsid w:val="2FDE77DF"/>
    <w:rsid w:val="2FDFEF9A"/>
    <w:rsid w:val="2FFB9CB3"/>
    <w:rsid w:val="2FFBBBE7"/>
    <w:rsid w:val="2FFFB3C2"/>
    <w:rsid w:val="2FFFF09F"/>
    <w:rsid w:val="313752AF"/>
    <w:rsid w:val="31A0085A"/>
    <w:rsid w:val="32761C27"/>
    <w:rsid w:val="32A56DF0"/>
    <w:rsid w:val="336ED43F"/>
    <w:rsid w:val="33FE1CAA"/>
    <w:rsid w:val="3424045D"/>
    <w:rsid w:val="358F570B"/>
    <w:rsid w:val="35BB2451"/>
    <w:rsid w:val="35E00704"/>
    <w:rsid w:val="35F4492C"/>
    <w:rsid w:val="35FE7C75"/>
    <w:rsid w:val="35FF2481"/>
    <w:rsid w:val="364D16E5"/>
    <w:rsid w:val="364FBC95"/>
    <w:rsid w:val="36FD8BFE"/>
    <w:rsid w:val="373B95BF"/>
    <w:rsid w:val="377DE033"/>
    <w:rsid w:val="3788E336"/>
    <w:rsid w:val="37A048B0"/>
    <w:rsid w:val="37DB3423"/>
    <w:rsid w:val="37DD16EE"/>
    <w:rsid w:val="37E9B8FB"/>
    <w:rsid w:val="37F88C10"/>
    <w:rsid w:val="37FE4D9D"/>
    <w:rsid w:val="37FEBAFE"/>
    <w:rsid w:val="3828C0DF"/>
    <w:rsid w:val="38BE7D64"/>
    <w:rsid w:val="392E12F9"/>
    <w:rsid w:val="3967FCC5"/>
    <w:rsid w:val="39752B2C"/>
    <w:rsid w:val="39797585"/>
    <w:rsid w:val="39AB74AD"/>
    <w:rsid w:val="39C7E559"/>
    <w:rsid w:val="39FE005B"/>
    <w:rsid w:val="3AE47CD5"/>
    <w:rsid w:val="3B1CC29E"/>
    <w:rsid w:val="3B3F7D6C"/>
    <w:rsid w:val="3B7E03B0"/>
    <w:rsid w:val="3B7FF208"/>
    <w:rsid w:val="3B966D80"/>
    <w:rsid w:val="3C7B3A80"/>
    <w:rsid w:val="3C8619C1"/>
    <w:rsid w:val="3CB6A8E4"/>
    <w:rsid w:val="3CBCCEDB"/>
    <w:rsid w:val="3D79E0D3"/>
    <w:rsid w:val="3D7F77DA"/>
    <w:rsid w:val="3DAF2F47"/>
    <w:rsid w:val="3DCE2C96"/>
    <w:rsid w:val="3DF9EA1E"/>
    <w:rsid w:val="3DFF8516"/>
    <w:rsid w:val="3E405308"/>
    <w:rsid w:val="3EAF8340"/>
    <w:rsid w:val="3EE355C7"/>
    <w:rsid w:val="3EEEFAF5"/>
    <w:rsid w:val="3EF69AB6"/>
    <w:rsid w:val="3EF6C577"/>
    <w:rsid w:val="3EFE3D92"/>
    <w:rsid w:val="3EFF110E"/>
    <w:rsid w:val="3F035B34"/>
    <w:rsid w:val="3F370204"/>
    <w:rsid w:val="3F3A7C32"/>
    <w:rsid w:val="3F6C638F"/>
    <w:rsid w:val="3F6FA6E2"/>
    <w:rsid w:val="3F794A82"/>
    <w:rsid w:val="3F7FC2E7"/>
    <w:rsid w:val="3F882D75"/>
    <w:rsid w:val="3FBCA29C"/>
    <w:rsid w:val="3FBD932F"/>
    <w:rsid w:val="3FBFBFB3"/>
    <w:rsid w:val="3FDACAF9"/>
    <w:rsid w:val="3FDBB7F6"/>
    <w:rsid w:val="3FDF7A7E"/>
    <w:rsid w:val="3FE988C8"/>
    <w:rsid w:val="3FE9A05D"/>
    <w:rsid w:val="3FEFBB25"/>
    <w:rsid w:val="3FF3766B"/>
    <w:rsid w:val="3FF3E1E5"/>
    <w:rsid w:val="3FFDD182"/>
    <w:rsid w:val="3FFE2BD1"/>
    <w:rsid w:val="3FFF3881"/>
    <w:rsid w:val="3FFFCD8D"/>
    <w:rsid w:val="3FFFD0A8"/>
    <w:rsid w:val="3FFFF6B6"/>
    <w:rsid w:val="40124070"/>
    <w:rsid w:val="405C254E"/>
    <w:rsid w:val="42863A85"/>
    <w:rsid w:val="42EB6426"/>
    <w:rsid w:val="436F5290"/>
    <w:rsid w:val="437A1224"/>
    <w:rsid w:val="44874831"/>
    <w:rsid w:val="44A45929"/>
    <w:rsid w:val="457BE601"/>
    <w:rsid w:val="46786229"/>
    <w:rsid w:val="46B3584F"/>
    <w:rsid w:val="4780A15D"/>
    <w:rsid w:val="4787A648"/>
    <w:rsid w:val="47C8C0B6"/>
    <w:rsid w:val="47EFF6C2"/>
    <w:rsid w:val="493C1E50"/>
    <w:rsid w:val="49D56DEF"/>
    <w:rsid w:val="4AFFFB5C"/>
    <w:rsid w:val="4B4E3AFE"/>
    <w:rsid w:val="4B555515"/>
    <w:rsid w:val="4B671843"/>
    <w:rsid w:val="4BFDB641"/>
    <w:rsid w:val="4BFF516E"/>
    <w:rsid w:val="4C170BEA"/>
    <w:rsid w:val="4D514407"/>
    <w:rsid w:val="4DAB4057"/>
    <w:rsid w:val="4E6C1C21"/>
    <w:rsid w:val="4E8D9E4F"/>
    <w:rsid w:val="4ECF780B"/>
    <w:rsid w:val="4EEA6C4D"/>
    <w:rsid w:val="4F19032F"/>
    <w:rsid w:val="4F191BB2"/>
    <w:rsid w:val="4F1F9E04"/>
    <w:rsid w:val="4F3F3AB0"/>
    <w:rsid w:val="4F4F996B"/>
    <w:rsid w:val="4F846F8A"/>
    <w:rsid w:val="4F9EB871"/>
    <w:rsid w:val="4FD77DB4"/>
    <w:rsid w:val="4FDDFC9A"/>
    <w:rsid w:val="4FDF6E9D"/>
    <w:rsid w:val="4FE84F5A"/>
    <w:rsid w:val="50EF7AB6"/>
    <w:rsid w:val="50FDCC9A"/>
    <w:rsid w:val="51402D84"/>
    <w:rsid w:val="51B314F1"/>
    <w:rsid w:val="52E849BB"/>
    <w:rsid w:val="52EF8584"/>
    <w:rsid w:val="532072A2"/>
    <w:rsid w:val="5349DDD2"/>
    <w:rsid w:val="53690DE6"/>
    <w:rsid w:val="53836650"/>
    <w:rsid w:val="53BE7452"/>
    <w:rsid w:val="53BEDF87"/>
    <w:rsid w:val="53BFD2C2"/>
    <w:rsid w:val="547F94BF"/>
    <w:rsid w:val="551957BF"/>
    <w:rsid w:val="55465EF2"/>
    <w:rsid w:val="557FA8DF"/>
    <w:rsid w:val="55FB87A0"/>
    <w:rsid w:val="566B346B"/>
    <w:rsid w:val="56D30AEE"/>
    <w:rsid w:val="56EF7312"/>
    <w:rsid w:val="56FFFFF0"/>
    <w:rsid w:val="57778108"/>
    <w:rsid w:val="579E22B3"/>
    <w:rsid w:val="57AAB092"/>
    <w:rsid w:val="57AF36EC"/>
    <w:rsid w:val="57B6A4D2"/>
    <w:rsid w:val="57CFD1C4"/>
    <w:rsid w:val="57D3D6EF"/>
    <w:rsid w:val="57F7137D"/>
    <w:rsid w:val="57F7950D"/>
    <w:rsid w:val="57FD8CB0"/>
    <w:rsid w:val="57FFEE2E"/>
    <w:rsid w:val="58FE01EC"/>
    <w:rsid w:val="58FF2310"/>
    <w:rsid w:val="5926587E"/>
    <w:rsid w:val="59B1E942"/>
    <w:rsid w:val="59DCB919"/>
    <w:rsid w:val="59FF3DDF"/>
    <w:rsid w:val="59FFE264"/>
    <w:rsid w:val="5A080678"/>
    <w:rsid w:val="5B0E5771"/>
    <w:rsid w:val="5B7B778A"/>
    <w:rsid w:val="5B8FE9A4"/>
    <w:rsid w:val="5BB65EFB"/>
    <w:rsid w:val="5BBFADCD"/>
    <w:rsid w:val="5BE75640"/>
    <w:rsid w:val="5BEF77BE"/>
    <w:rsid w:val="5BEFEE2A"/>
    <w:rsid w:val="5C290B14"/>
    <w:rsid w:val="5C3CE6AB"/>
    <w:rsid w:val="5C684F6F"/>
    <w:rsid w:val="5C8C39A8"/>
    <w:rsid w:val="5CBA94C3"/>
    <w:rsid w:val="5D76FE7A"/>
    <w:rsid w:val="5D7B803F"/>
    <w:rsid w:val="5D7F6CFA"/>
    <w:rsid w:val="5D9B9EDA"/>
    <w:rsid w:val="5DBFC919"/>
    <w:rsid w:val="5DDF4958"/>
    <w:rsid w:val="5DFF415E"/>
    <w:rsid w:val="5E0F33C4"/>
    <w:rsid w:val="5E7B35D5"/>
    <w:rsid w:val="5EA5D34F"/>
    <w:rsid w:val="5EB52B1A"/>
    <w:rsid w:val="5EB85706"/>
    <w:rsid w:val="5EFA2AA4"/>
    <w:rsid w:val="5EFEB2AB"/>
    <w:rsid w:val="5EFF8CA2"/>
    <w:rsid w:val="5F560E7E"/>
    <w:rsid w:val="5F6B1E1F"/>
    <w:rsid w:val="5F771625"/>
    <w:rsid w:val="5F77C50B"/>
    <w:rsid w:val="5F7B21AE"/>
    <w:rsid w:val="5F99066A"/>
    <w:rsid w:val="5F9D0631"/>
    <w:rsid w:val="5F9D495D"/>
    <w:rsid w:val="5FB4560A"/>
    <w:rsid w:val="5FBDD67C"/>
    <w:rsid w:val="5FE7D4FF"/>
    <w:rsid w:val="5FEBAE1D"/>
    <w:rsid w:val="5FEF3068"/>
    <w:rsid w:val="5FEFC1BA"/>
    <w:rsid w:val="5FF32205"/>
    <w:rsid w:val="5FF77964"/>
    <w:rsid w:val="5FF9308B"/>
    <w:rsid w:val="5FFC3055"/>
    <w:rsid w:val="5FFDE742"/>
    <w:rsid w:val="5FFEA1F0"/>
    <w:rsid w:val="5FFEA941"/>
    <w:rsid w:val="5FFF6F3E"/>
    <w:rsid w:val="5FFFA1C4"/>
    <w:rsid w:val="5FFFB282"/>
    <w:rsid w:val="5FFFBB0F"/>
    <w:rsid w:val="6004301F"/>
    <w:rsid w:val="60920D3C"/>
    <w:rsid w:val="61225778"/>
    <w:rsid w:val="62F9DC1F"/>
    <w:rsid w:val="63AFF813"/>
    <w:rsid w:val="63F42CF2"/>
    <w:rsid w:val="648D6577"/>
    <w:rsid w:val="64DFB11B"/>
    <w:rsid w:val="6565979E"/>
    <w:rsid w:val="6597E980"/>
    <w:rsid w:val="65D612DA"/>
    <w:rsid w:val="65FFD2EB"/>
    <w:rsid w:val="667DC1BF"/>
    <w:rsid w:val="66BEA5D1"/>
    <w:rsid w:val="66DC4A17"/>
    <w:rsid w:val="66F3C287"/>
    <w:rsid w:val="66F73158"/>
    <w:rsid w:val="671F0847"/>
    <w:rsid w:val="675CDF69"/>
    <w:rsid w:val="6777F0F0"/>
    <w:rsid w:val="677F94E6"/>
    <w:rsid w:val="67AB8142"/>
    <w:rsid w:val="67B31AFA"/>
    <w:rsid w:val="67D7A838"/>
    <w:rsid w:val="67DE33DC"/>
    <w:rsid w:val="67DF81A9"/>
    <w:rsid w:val="67EF69AF"/>
    <w:rsid w:val="67FF64BD"/>
    <w:rsid w:val="67FFB144"/>
    <w:rsid w:val="69FD92C5"/>
    <w:rsid w:val="69FF2363"/>
    <w:rsid w:val="6AA343B6"/>
    <w:rsid w:val="6AB6AAFD"/>
    <w:rsid w:val="6AF10865"/>
    <w:rsid w:val="6AF6DE1F"/>
    <w:rsid w:val="6B26AE95"/>
    <w:rsid w:val="6B5E76D6"/>
    <w:rsid w:val="6B7A305C"/>
    <w:rsid w:val="6BCF67BB"/>
    <w:rsid w:val="6BDB43A5"/>
    <w:rsid w:val="6BDF1904"/>
    <w:rsid w:val="6BDF2B02"/>
    <w:rsid w:val="6BEB4331"/>
    <w:rsid w:val="6BED904C"/>
    <w:rsid w:val="6BEFEA6C"/>
    <w:rsid w:val="6BF7CB23"/>
    <w:rsid w:val="6C89162F"/>
    <w:rsid w:val="6CDE5020"/>
    <w:rsid w:val="6CEF216E"/>
    <w:rsid w:val="6CFE5F65"/>
    <w:rsid w:val="6CFFBA0B"/>
    <w:rsid w:val="6D265075"/>
    <w:rsid w:val="6D3E78C0"/>
    <w:rsid w:val="6D714D4D"/>
    <w:rsid w:val="6D9CFC7E"/>
    <w:rsid w:val="6DB50625"/>
    <w:rsid w:val="6DB854D9"/>
    <w:rsid w:val="6DD744A7"/>
    <w:rsid w:val="6DFDB33B"/>
    <w:rsid w:val="6DFF9C7B"/>
    <w:rsid w:val="6DFFBC17"/>
    <w:rsid w:val="6E3F8DD3"/>
    <w:rsid w:val="6E645517"/>
    <w:rsid w:val="6EBED6D5"/>
    <w:rsid w:val="6ECA1356"/>
    <w:rsid w:val="6EDBBFFD"/>
    <w:rsid w:val="6EF03E78"/>
    <w:rsid w:val="6F2B4CD8"/>
    <w:rsid w:val="6F3CEEB6"/>
    <w:rsid w:val="6F6F9B37"/>
    <w:rsid w:val="6F79F453"/>
    <w:rsid w:val="6F7F1E4F"/>
    <w:rsid w:val="6F7FCC20"/>
    <w:rsid w:val="6FACDB2B"/>
    <w:rsid w:val="6FAF50A6"/>
    <w:rsid w:val="6FBAC5E5"/>
    <w:rsid w:val="6FBFB665"/>
    <w:rsid w:val="6FCFAE0A"/>
    <w:rsid w:val="6FD1D765"/>
    <w:rsid w:val="6FD6FDC6"/>
    <w:rsid w:val="6FDB184C"/>
    <w:rsid w:val="6FDEA5E8"/>
    <w:rsid w:val="6FDF8AD7"/>
    <w:rsid w:val="6FE87451"/>
    <w:rsid w:val="6FF61EF6"/>
    <w:rsid w:val="6FF6BFE9"/>
    <w:rsid w:val="6FF7A61A"/>
    <w:rsid w:val="6FF7F1E6"/>
    <w:rsid w:val="6FFD919F"/>
    <w:rsid w:val="6FFE1B0C"/>
    <w:rsid w:val="6FFE2679"/>
    <w:rsid w:val="6FFF2D4B"/>
    <w:rsid w:val="6FFF4A67"/>
    <w:rsid w:val="71042290"/>
    <w:rsid w:val="711C1764"/>
    <w:rsid w:val="717B472E"/>
    <w:rsid w:val="71B041AF"/>
    <w:rsid w:val="71BBBF4A"/>
    <w:rsid w:val="71EC9C23"/>
    <w:rsid w:val="71FC2881"/>
    <w:rsid w:val="729FB07C"/>
    <w:rsid w:val="733694F8"/>
    <w:rsid w:val="73DF17B3"/>
    <w:rsid w:val="73FEF5BD"/>
    <w:rsid w:val="751C428C"/>
    <w:rsid w:val="754B847B"/>
    <w:rsid w:val="756A7825"/>
    <w:rsid w:val="756F314B"/>
    <w:rsid w:val="757C2695"/>
    <w:rsid w:val="759F3253"/>
    <w:rsid w:val="75DE0066"/>
    <w:rsid w:val="75EF6EC8"/>
    <w:rsid w:val="75F728F1"/>
    <w:rsid w:val="75F769BA"/>
    <w:rsid w:val="75FC3A6A"/>
    <w:rsid w:val="75FE7C71"/>
    <w:rsid w:val="75FEE4E5"/>
    <w:rsid w:val="75FF0002"/>
    <w:rsid w:val="761B12C1"/>
    <w:rsid w:val="76BD7FB9"/>
    <w:rsid w:val="76DA0954"/>
    <w:rsid w:val="76E4715B"/>
    <w:rsid w:val="76FDBE97"/>
    <w:rsid w:val="773F2B1D"/>
    <w:rsid w:val="776970C0"/>
    <w:rsid w:val="776B3CBD"/>
    <w:rsid w:val="776DD1E5"/>
    <w:rsid w:val="777B91D2"/>
    <w:rsid w:val="7782132C"/>
    <w:rsid w:val="77B506F1"/>
    <w:rsid w:val="77B682F7"/>
    <w:rsid w:val="77BF378A"/>
    <w:rsid w:val="77BF7886"/>
    <w:rsid w:val="77CE3069"/>
    <w:rsid w:val="77D88B69"/>
    <w:rsid w:val="77DB9043"/>
    <w:rsid w:val="77DBA79B"/>
    <w:rsid w:val="77E74A37"/>
    <w:rsid w:val="77FB63BB"/>
    <w:rsid w:val="77FB718A"/>
    <w:rsid w:val="77FE0681"/>
    <w:rsid w:val="77FF3FD6"/>
    <w:rsid w:val="77FFD5DC"/>
    <w:rsid w:val="77FFD787"/>
    <w:rsid w:val="785B576A"/>
    <w:rsid w:val="78AE4455"/>
    <w:rsid w:val="78F65FB6"/>
    <w:rsid w:val="791E46C5"/>
    <w:rsid w:val="797EAE71"/>
    <w:rsid w:val="79AE27CB"/>
    <w:rsid w:val="79DE60FF"/>
    <w:rsid w:val="79FBAA59"/>
    <w:rsid w:val="79FF782B"/>
    <w:rsid w:val="79FFD869"/>
    <w:rsid w:val="7A71C983"/>
    <w:rsid w:val="7ABFF5D1"/>
    <w:rsid w:val="7ACCD912"/>
    <w:rsid w:val="7AEABAA8"/>
    <w:rsid w:val="7AECA1F1"/>
    <w:rsid w:val="7AF7F4C8"/>
    <w:rsid w:val="7B3F958A"/>
    <w:rsid w:val="7B427F36"/>
    <w:rsid w:val="7B525C37"/>
    <w:rsid w:val="7B59D48F"/>
    <w:rsid w:val="7B77E435"/>
    <w:rsid w:val="7B9BFD50"/>
    <w:rsid w:val="7BAF7FDD"/>
    <w:rsid w:val="7BBB3B9B"/>
    <w:rsid w:val="7BBB7943"/>
    <w:rsid w:val="7BBF268A"/>
    <w:rsid w:val="7BCF095B"/>
    <w:rsid w:val="7BCFAF3F"/>
    <w:rsid w:val="7BD740B6"/>
    <w:rsid w:val="7BE4A644"/>
    <w:rsid w:val="7BECBD5E"/>
    <w:rsid w:val="7BEFA03F"/>
    <w:rsid w:val="7BEFC472"/>
    <w:rsid w:val="7BF55460"/>
    <w:rsid w:val="7BF658CC"/>
    <w:rsid w:val="7BFAF6F5"/>
    <w:rsid w:val="7BFD3F94"/>
    <w:rsid w:val="7BFEDE25"/>
    <w:rsid w:val="7BFF7DA2"/>
    <w:rsid w:val="7BFFAA7F"/>
    <w:rsid w:val="7BFFC2F8"/>
    <w:rsid w:val="7C1BCD30"/>
    <w:rsid w:val="7C6FD7A3"/>
    <w:rsid w:val="7C974DAF"/>
    <w:rsid w:val="7C9FA705"/>
    <w:rsid w:val="7CAF68BB"/>
    <w:rsid w:val="7CCF08D7"/>
    <w:rsid w:val="7CEF34C0"/>
    <w:rsid w:val="7CF766AD"/>
    <w:rsid w:val="7CFE0B2C"/>
    <w:rsid w:val="7CFF17D1"/>
    <w:rsid w:val="7D3BE43D"/>
    <w:rsid w:val="7D3D678F"/>
    <w:rsid w:val="7D3EBDFD"/>
    <w:rsid w:val="7D4F17C0"/>
    <w:rsid w:val="7D5F09D1"/>
    <w:rsid w:val="7D761636"/>
    <w:rsid w:val="7D7F3892"/>
    <w:rsid w:val="7D7F53A3"/>
    <w:rsid w:val="7D9E8636"/>
    <w:rsid w:val="7DAF1609"/>
    <w:rsid w:val="7DAF571B"/>
    <w:rsid w:val="7DBCC9F8"/>
    <w:rsid w:val="7DC79A0F"/>
    <w:rsid w:val="7DC7FEAE"/>
    <w:rsid w:val="7DD784F3"/>
    <w:rsid w:val="7DDA3667"/>
    <w:rsid w:val="7DDC8189"/>
    <w:rsid w:val="7DDD02A5"/>
    <w:rsid w:val="7DDD936E"/>
    <w:rsid w:val="7DDFEEC8"/>
    <w:rsid w:val="7DF369A1"/>
    <w:rsid w:val="7DF7011E"/>
    <w:rsid w:val="7DF99FDF"/>
    <w:rsid w:val="7DF9D301"/>
    <w:rsid w:val="7DFB64B3"/>
    <w:rsid w:val="7DFBF617"/>
    <w:rsid w:val="7DFD1D1F"/>
    <w:rsid w:val="7DFE9093"/>
    <w:rsid w:val="7DFEC43C"/>
    <w:rsid w:val="7DFF979E"/>
    <w:rsid w:val="7DFFD495"/>
    <w:rsid w:val="7DFFF398"/>
    <w:rsid w:val="7DFFFF1E"/>
    <w:rsid w:val="7E4A7341"/>
    <w:rsid w:val="7E5DE123"/>
    <w:rsid w:val="7E7D5D84"/>
    <w:rsid w:val="7E7F3665"/>
    <w:rsid w:val="7E7F4D9C"/>
    <w:rsid w:val="7E85BF34"/>
    <w:rsid w:val="7E910A8D"/>
    <w:rsid w:val="7EB2F1A6"/>
    <w:rsid w:val="7EB349AD"/>
    <w:rsid w:val="7EB6C63F"/>
    <w:rsid w:val="7EBB2D53"/>
    <w:rsid w:val="7EBD16D2"/>
    <w:rsid w:val="7ECFE83B"/>
    <w:rsid w:val="7ED72962"/>
    <w:rsid w:val="7EDA51E1"/>
    <w:rsid w:val="7EDB33D3"/>
    <w:rsid w:val="7EEDCA17"/>
    <w:rsid w:val="7EEDEDD0"/>
    <w:rsid w:val="7EF3B29A"/>
    <w:rsid w:val="7EFB7D40"/>
    <w:rsid w:val="7EFC5661"/>
    <w:rsid w:val="7EFE3B00"/>
    <w:rsid w:val="7EFF24CF"/>
    <w:rsid w:val="7EFF5C10"/>
    <w:rsid w:val="7EFF8B5D"/>
    <w:rsid w:val="7EFF9AAE"/>
    <w:rsid w:val="7EFFAEFB"/>
    <w:rsid w:val="7F05D170"/>
    <w:rsid w:val="7F1B6520"/>
    <w:rsid w:val="7F2B1768"/>
    <w:rsid w:val="7F33D521"/>
    <w:rsid w:val="7F37374F"/>
    <w:rsid w:val="7F374C53"/>
    <w:rsid w:val="7F3F50F1"/>
    <w:rsid w:val="7F3FA11C"/>
    <w:rsid w:val="7F4B1E7C"/>
    <w:rsid w:val="7F4FD834"/>
    <w:rsid w:val="7F576C47"/>
    <w:rsid w:val="7F5F3797"/>
    <w:rsid w:val="7F6B5CE6"/>
    <w:rsid w:val="7F6DB752"/>
    <w:rsid w:val="7F6F2F9F"/>
    <w:rsid w:val="7F6F66F8"/>
    <w:rsid w:val="7F6FBD46"/>
    <w:rsid w:val="7F6FE163"/>
    <w:rsid w:val="7F7327C2"/>
    <w:rsid w:val="7F75065C"/>
    <w:rsid w:val="7F7D5A4E"/>
    <w:rsid w:val="7F7E8C31"/>
    <w:rsid w:val="7F7F9434"/>
    <w:rsid w:val="7F7F96E8"/>
    <w:rsid w:val="7F7FB06F"/>
    <w:rsid w:val="7F933C5A"/>
    <w:rsid w:val="7F942210"/>
    <w:rsid w:val="7F9C0C87"/>
    <w:rsid w:val="7F9C2CC4"/>
    <w:rsid w:val="7F9F588B"/>
    <w:rsid w:val="7FA219AA"/>
    <w:rsid w:val="7FADE3A0"/>
    <w:rsid w:val="7FAFC38E"/>
    <w:rsid w:val="7FB3A74E"/>
    <w:rsid w:val="7FB7ADD3"/>
    <w:rsid w:val="7FBB0E1B"/>
    <w:rsid w:val="7FBB3E29"/>
    <w:rsid w:val="7FBCE82B"/>
    <w:rsid w:val="7FBF2831"/>
    <w:rsid w:val="7FBF9599"/>
    <w:rsid w:val="7FBFC5B8"/>
    <w:rsid w:val="7FC45B5E"/>
    <w:rsid w:val="7FC6934E"/>
    <w:rsid w:val="7FCF87F9"/>
    <w:rsid w:val="7FD50703"/>
    <w:rsid w:val="7FD59F66"/>
    <w:rsid w:val="7FD7B89C"/>
    <w:rsid w:val="7FDBC184"/>
    <w:rsid w:val="7FDD08F7"/>
    <w:rsid w:val="7FDE53F4"/>
    <w:rsid w:val="7FDF1E08"/>
    <w:rsid w:val="7FDF5405"/>
    <w:rsid w:val="7FE7317F"/>
    <w:rsid w:val="7FE76965"/>
    <w:rsid w:val="7FEB9590"/>
    <w:rsid w:val="7FEBD8BC"/>
    <w:rsid w:val="7FEF3938"/>
    <w:rsid w:val="7FEF9B80"/>
    <w:rsid w:val="7FF286AB"/>
    <w:rsid w:val="7FF3500D"/>
    <w:rsid w:val="7FF49565"/>
    <w:rsid w:val="7FF58DDA"/>
    <w:rsid w:val="7FF9C0C0"/>
    <w:rsid w:val="7FF9CBE9"/>
    <w:rsid w:val="7FFB72D0"/>
    <w:rsid w:val="7FFBB85E"/>
    <w:rsid w:val="7FFBFDBF"/>
    <w:rsid w:val="7FFC377A"/>
    <w:rsid w:val="7FFC93B9"/>
    <w:rsid w:val="7FFCC2F9"/>
    <w:rsid w:val="7FFD8135"/>
    <w:rsid w:val="7FFD854E"/>
    <w:rsid w:val="7FFE1F5E"/>
    <w:rsid w:val="7FFE30BA"/>
    <w:rsid w:val="7FFF1B9B"/>
    <w:rsid w:val="7FFF49BF"/>
    <w:rsid w:val="7FFF77EE"/>
    <w:rsid w:val="7FFF82FD"/>
    <w:rsid w:val="7FFFFD5E"/>
    <w:rsid w:val="8D9FFEE8"/>
    <w:rsid w:val="8DFF67B0"/>
    <w:rsid w:val="8F6FD51A"/>
    <w:rsid w:val="8FB35B80"/>
    <w:rsid w:val="93BF9B53"/>
    <w:rsid w:val="94E18266"/>
    <w:rsid w:val="96F603F7"/>
    <w:rsid w:val="97375D13"/>
    <w:rsid w:val="97F7966C"/>
    <w:rsid w:val="99FFF18B"/>
    <w:rsid w:val="99FFF911"/>
    <w:rsid w:val="9AE08F2C"/>
    <w:rsid w:val="9BFFCE5B"/>
    <w:rsid w:val="9C74FD07"/>
    <w:rsid w:val="9D374CC7"/>
    <w:rsid w:val="9D7D53A7"/>
    <w:rsid w:val="9DEF6A5A"/>
    <w:rsid w:val="9DFFCB30"/>
    <w:rsid w:val="9E34E811"/>
    <w:rsid w:val="9E5F3B43"/>
    <w:rsid w:val="9F8D6B16"/>
    <w:rsid w:val="9FF9A152"/>
    <w:rsid w:val="9FFD6A54"/>
    <w:rsid w:val="9FFE46A0"/>
    <w:rsid w:val="9FFE7BD0"/>
    <w:rsid w:val="9FFF077D"/>
    <w:rsid w:val="9FFF97C9"/>
    <w:rsid w:val="A15DCB5A"/>
    <w:rsid w:val="A16782ED"/>
    <w:rsid w:val="A2E9026E"/>
    <w:rsid w:val="A3ED03F0"/>
    <w:rsid w:val="A3EF6A25"/>
    <w:rsid w:val="A5CF0D4C"/>
    <w:rsid w:val="A64A05E4"/>
    <w:rsid w:val="A6EEF8CC"/>
    <w:rsid w:val="A95FFDF1"/>
    <w:rsid w:val="AAFDD565"/>
    <w:rsid w:val="AB22C6FA"/>
    <w:rsid w:val="AB7FE89D"/>
    <w:rsid w:val="ADD63F42"/>
    <w:rsid w:val="AEB77811"/>
    <w:rsid w:val="AECF359B"/>
    <w:rsid w:val="AED38D05"/>
    <w:rsid w:val="AEF85348"/>
    <w:rsid w:val="AEFE876B"/>
    <w:rsid w:val="AEFF8DF0"/>
    <w:rsid w:val="AEFFE182"/>
    <w:rsid w:val="AFCD6EEF"/>
    <w:rsid w:val="AFF46019"/>
    <w:rsid w:val="AFFF1F22"/>
    <w:rsid w:val="B0B919CB"/>
    <w:rsid w:val="B0BEF232"/>
    <w:rsid w:val="B0DE7C14"/>
    <w:rsid w:val="B33FD52D"/>
    <w:rsid w:val="B3BF527B"/>
    <w:rsid w:val="B3FF0A75"/>
    <w:rsid w:val="B6F49A31"/>
    <w:rsid w:val="B73D3AFC"/>
    <w:rsid w:val="B74A1BFD"/>
    <w:rsid w:val="B77F1D9C"/>
    <w:rsid w:val="B7861478"/>
    <w:rsid w:val="B7B71C23"/>
    <w:rsid w:val="B7EC800D"/>
    <w:rsid w:val="B7F5E5CA"/>
    <w:rsid w:val="B7FB3351"/>
    <w:rsid w:val="B7FF4ACB"/>
    <w:rsid w:val="B7FF4F3A"/>
    <w:rsid w:val="B7FFA23A"/>
    <w:rsid w:val="B8F7B852"/>
    <w:rsid w:val="B8FF4E09"/>
    <w:rsid w:val="B97377C5"/>
    <w:rsid w:val="B97E1F6B"/>
    <w:rsid w:val="B9FB8F61"/>
    <w:rsid w:val="BABF1E9E"/>
    <w:rsid w:val="BAFBCB66"/>
    <w:rsid w:val="BB28C152"/>
    <w:rsid w:val="BB3B49A9"/>
    <w:rsid w:val="BB77E093"/>
    <w:rsid w:val="BB79F0E8"/>
    <w:rsid w:val="BBB90825"/>
    <w:rsid w:val="BBEBB27A"/>
    <w:rsid w:val="BBEE0192"/>
    <w:rsid w:val="BBF5A28A"/>
    <w:rsid w:val="BBFD23F5"/>
    <w:rsid w:val="BBFDE05B"/>
    <w:rsid w:val="BBFED913"/>
    <w:rsid w:val="BBFF236B"/>
    <w:rsid w:val="BD3D16BF"/>
    <w:rsid w:val="BD6DBFA0"/>
    <w:rsid w:val="BDDD025F"/>
    <w:rsid w:val="BDEEFD45"/>
    <w:rsid w:val="BDF78318"/>
    <w:rsid w:val="BDFF08BB"/>
    <w:rsid w:val="BE7D6112"/>
    <w:rsid w:val="BE7E8957"/>
    <w:rsid w:val="BEB4BDE6"/>
    <w:rsid w:val="BEBF7556"/>
    <w:rsid w:val="BECD258E"/>
    <w:rsid w:val="BEFF170A"/>
    <w:rsid w:val="BF3F4CA2"/>
    <w:rsid w:val="BF5C16C1"/>
    <w:rsid w:val="BF7F1AD2"/>
    <w:rsid w:val="BFB69314"/>
    <w:rsid w:val="BFBEE5A2"/>
    <w:rsid w:val="BFC713CE"/>
    <w:rsid w:val="BFEFEE90"/>
    <w:rsid w:val="BFFB1FDE"/>
    <w:rsid w:val="BFFB9B3B"/>
    <w:rsid w:val="BFFDA345"/>
    <w:rsid w:val="BFFEC18C"/>
    <w:rsid w:val="BFFF7B73"/>
    <w:rsid w:val="C53EFA8F"/>
    <w:rsid w:val="C787E456"/>
    <w:rsid w:val="C7D7C6AA"/>
    <w:rsid w:val="C7E71591"/>
    <w:rsid w:val="C7FCD653"/>
    <w:rsid w:val="C7FF6631"/>
    <w:rsid w:val="CB79D3C3"/>
    <w:rsid w:val="CBFE179A"/>
    <w:rsid w:val="CCBFED94"/>
    <w:rsid w:val="CCFE67FE"/>
    <w:rsid w:val="CDFF3C25"/>
    <w:rsid w:val="CDFFDEF6"/>
    <w:rsid w:val="CEF434F0"/>
    <w:rsid w:val="CEFD0BE1"/>
    <w:rsid w:val="CEFF0E57"/>
    <w:rsid w:val="CEFFFD95"/>
    <w:rsid w:val="CF3BC05B"/>
    <w:rsid w:val="CF6EEAD5"/>
    <w:rsid w:val="CFBCD9E7"/>
    <w:rsid w:val="CFBFA188"/>
    <w:rsid w:val="CFE411C9"/>
    <w:rsid w:val="CFFB484C"/>
    <w:rsid w:val="CFFBE29A"/>
    <w:rsid w:val="D1DF1E58"/>
    <w:rsid w:val="D2D7F132"/>
    <w:rsid w:val="D353B270"/>
    <w:rsid w:val="D3DF06B8"/>
    <w:rsid w:val="D5FD6B9B"/>
    <w:rsid w:val="D6698FE4"/>
    <w:rsid w:val="D67FE14D"/>
    <w:rsid w:val="D6D74AE6"/>
    <w:rsid w:val="D6EFAD74"/>
    <w:rsid w:val="D71FF13A"/>
    <w:rsid w:val="D73A1D94"/>
    <w:rsid w:val="D75FDA64"/>
    <w:rsid w:val="D776037F"/>
    <w:rsid w:val="D7D7BD3C"/>
    <w:rsid w:val="D7EFFD09"/>
    <w:rsid w:val="D7FB9C66"/>
    <w:rsid w:val="D7FBDA8E"/>
    <w:rsid w:val="D7FCF921"/>
    <w:rsid w:val="D97D7B60"/>
    <w:rsid w:val="D9C7CDB8"/>
    <w:rsid w:val="D9D9097C"/>
    <w:rsid w:val="DB5B58ED"/>
    <w:rsid w:val="DBCEFB98"/>
    <w:rsid w:val="DBDE03C6"/>
    <w:rsid w:val="DBF383D7"/>
    <w:rsid w:val="DBF757DB"/>
    <w:rsid w:val="DBF7F320"/>
    <w:rsid w:val="DBFB338A"/>
    <w:rsid w:val="DCD79A75"/>
    <w:rsid w:val="DCDD8B9B"/>
    <w:rsid w:val="DD772335"/>
    <w:rsid w:val="DDAB440D"/>
    <w:rsid w:val="DDBF8B9D"/>
    <w:rsid w:val="DDC38E72"/>
    <w:rsid w:val="DDD79BD8"/>
    <w:rsid w:val="DDF44EA1"/>
    <w:rsid w:val="DDFBC6EE"/>
    <w:rsid w:val="DE6DCD1F"/>
    <w:rsid w:val="DE7F8832"/>
    <w:rsid w:val="DEBDFC51"/>
    <w:rsid w:val="DEDD9858"/>
    <w:rsid w:val="DEE84B83"/>
    <w:rsid w:val="DEEF68F5"/>
    <w:rsid w:val="DEFBCFDC"/>
    <w:rsid w:val="DEFF2D4C"/>
    <w:rsid w:val="DEFFD126"/>
    <w:rsid w:val="DF3FAA81"/>
    <w:rsid w:val="DF6FA601"/>
    <w:rsid w:val="DF6FC28F"/>
    <w:rsid w:val="DF750BCD"/>
    <w:rsid w:val="DF7C41F7"/>
    <w:rsid w:val="DF891F66"/>
    <w:rsid w:val="DF95AF6E"/>
    <w:rsid w:val="DF9FA9A1"/>
    <w:rsid w:val="DFB7C284"/>
    <w:rsid w:val="DFBBB04B"/>
    <w:rsid w:val="DFBE38F9"/>
    <w:rsid w:val="DFDBB725"/>
    <w:rsid w:val="DFDFB9FE"/>
    <w:rsid w:val="DFDFFB66"/>
    <w:rsid w:val="DFF3741C"/>
    <w:rsid w:val="DFF730EA"/>
    <w:rsid w:val="DFF78A4F"/>
    <w:rsid w:val="DFF9CA48"/>
    <w:rsid w:val="DFFE5456"/>
    <w:rsid w:val="E1E2AF4F"/>
    <w:rsid w:val="E3BF832D"/>
    <w:rsid w:val="E3FD1390"/>
    <w:rsid w:val="E3FF3C7F"/>
    <w:rsid w:val="E47A8668"/>
    <w:rsid w:val="E4BBC74D"/>
    <w:rsid w:val="E4BFF5FA"/>
    <w:rsid w:val="E57E358C"/>
    <w:rsid w:val="E5DF44D2"/>
    <w:rsid w:val="E5DF996B"/>
    <w:rsid w:val="E69FE65E"/>
    <w:rsid w:val="E73E98D2"/>
    <w:rsid w:val="E772FB3D"/>
    <w:rsid w:val="E7975A33"/>
    <w:rsid w:val="E7A71296"/>
    <w:rsid w:val="E7CFA36C"/>
    <w:rsid w:val="E7F54BC4"/>
    <w:rsid w:val="E7FFA82A"/>
    <w:rsid w:val="E8BFEACD"/>
    <w:rsid w:val="E9BFB38A"/>
    <w:rsid w:val="EAFEEDC8"/>
    <w:rsid w:val="EB3A2BC8"/>
    <w:rsid w:val="EB7D48AC"/>
    <w:rsid w:val="EB7FC1AB"/>
    <w:rsid w:val="EBDD3012"/>
    <w:rsid w:val="EBEB6DD6"/>
    <w:rsid w:val="EBFB4791"/>
    <w:rsid w:val="EBFE3F41"/>
    <w:rsid w:val="ECBA09BE"/>
    <w:rsid w:val="ECE54688"/>
    <w:rsid w:val="ED3584B4"/>
    <w:rsid w:val="ED5AEA48"/>
    <w:rsid w:val="EDBE4C0F"/>
    <w:rsid w:val="EDD54DDF"/>
    <w:rsid w:val="EDDFAED2"/>
    <w:rsid w:val="EDF96367"/>
    <w:rsid w:val="EDFB0E30"/>
    <w:rsid w:val="EDFBB2FD"/>
    <w:rsid w:val="EDFEDEB5"/>
    <w:rsid w:val="EDFFA5F3"/>
    <w:rsid w:val="EE2B0EE9"/>
    <w:rsid w:val="EE5EBA5C"/>
    <w:rsid w:val="EE7F3328"/>
    <w:rsid w:val="EE7FC9F4"/>
    <w:rsid w:val="EEB7B614"/>
    <w:rsid w:val="EEF6B240"/>
    <w:rsid w:val="EEF6EDD4"/>
    <w:rsid w:val="EF3A60F7"/>
    <w:rsid w:val="EF3E6A70"/>
    <w:rsid w:val="EF4C63EB"/>
    <w:rsid w:val="EF570B43"/>
    <w:rsid w:val="EF5EB496"/>
    <w:rsid w:val="EF7DA01E"/>
    <w:rsid w:val="EF7E59C7"/>
    <w:rsid w:val="EF9E7CA9"/>
    <w:rsid w:val="EFBD51E9"/>
    <w:rsid w:val="EFBF1154"/>
    <w:rsid w:val="EFBFFC22"/>
    <w:rsid w:val="EFCF1159"/>
    <w:rsid w:val="EFD51FDB"/>
    <w:rsid w:val="EFD649C0"/>
    <w:rsid w:val="EFDB004E"/>
    <w:rsid w:val="EFDB83A9"/>
    <w:rsid w:val="EFDC7317"/>
    <w:rsid w:val="EFEBB7BA"/>
    <w:rsid w:val="EFEE05B5"/>
    <w:rsid w:val="EFF3D71E"/>
    <w:rsid w:val="EFF7AE5B"/>
    <w:rsid w:val="EFF9B878"/>
    <w:rsid w:val="EFFBB2BF"/>
    <w:rsid w:val="EFFBB332"/>
    <w:rsid w:val="EFFC8E48"/>
    <w:rsid w:val="EFFDDDC0"/>
    <w:rsid w:val="F19729E1"/>
    <w:rsid w:val="F2DFA15D"/>
    <w:rsid w:val="F37D70D9"/>
    <w:rsid w:val="F3BDF6F8"/>
    <w:rsid w:val="F3BF9559"/>
    <w:rsid w:val="F3DB9E74"/>
    <w:rsid w:val="F3EC1020"/>
    <w:rsid w:val="F3FB2769"/>
    <w:rsid w:val="F3FD4BD8"/>
    <w:rsid w:val="F3FEB245"/>
    <w:rsid w:val="F3FF4888"/>
    <w:rsid w:val="F3FF7313"/>
    <w:rsid w:val="F4FDAC36"/>
    <w:rsid w:val="F56FFD99"/>
    <w:rsid w:val="F578DEA9"/>
    <w:rsid w:val="F57D80C2"/>
    <w:rsid w:val="F5A6FAB2"/>
    <w:rsid w:val="F5BD25CA"/>
    <w:rsid w:val="F5BFC38E"/>
    <w:rsid w:val="F5DDE00C"/>
    <w:rsid w:val="F5ED59BE"/>
    <w:rsid w:val="F5F5E510"/>
    <w:rsid w:val="F5FA480E"/>
    <w:rsid w:val="F5FED98C"/>
    <w:rsid w:val="F5FF54A3"/>
    <w:rsid w:val="F66ED806"/>
    <w:rsid w:val="F66FF0C4"/>
    <w:rsid w:val="F67F4D98"/>
    <w:rsid w:val="F6BB3242"/>
    <w:rsid w:val="F6BBEE3A"/>
    <w:rsid w:val="F6C79109"/>
    <w:rsid w:val="F6D344D4"/>
    <w:rsid w:val="F6DC9A90"/>
    <w:rsid w:val="F6E7A6B9"/>
    <w:rsid w:val="F6FA9BB0"/>
    <w:rsid w:val="F6FFCCA0"/>
    <w:rsid w:val="F73FFB86"/>
    <w:rsid w:val="F76B5F3E"/>
    <w:rsid w:val="F76D1472"/>
    <w:rsid w:val="F7BFA75C"/>
    <w:rsid w:val="F7D55553"/>
    <w:rsid w:val="F7E7B038"/>
    <w:rsid w:val="F7EB9E18"/>
    <w:rsid w:val="F7EE2E45"/>
    <w:rsid w:val="F7F3C19D"/>
    <w:rsid w:val="F7F97F4C"/>
    <w:rsid w:val="F7FB2DA9"/>
    <w:rsid w:val="F7FC0651"/>
    <w:rsid w:val="F7FF48AF"/>
    <w:rsid w:val="F7FF77A5"/>
    <w:rsid w:val="F84F6BCA"/>
    <w:rsid w:val="F947E6F8"/>
    <w:rsid w:val="F95B1724"/>
    <w:rsid w:val="F9C7D009"/>
    <w:rsid w:val="F9DE0C82"/>
    <w:rsid w:val="F9F6F188"/>
    <w:rsid w:val="F9F7C2DE"/>
    <w:rsid w:val="F9FBA1FD"/>
    <w:rsid w:val="FA1A8C87"/>
    <w:rsid w:val="FA5F28DA"/>
    <w:rsid w:val="FA770C3E"/>
    <w:rsid w:val="FA7CB5F9"/>
    <w:rsid w:val="FAB2A516"/>
    <w:rsid w:val="FAFD5022"/>
    <w:rsid w:val="FAFE4C17"/>
    <w:rsid w:val="FAFF2CAB"/>
    <w:rsid w:val="FB353988"/>
    <w:rsid w:val="FB37831A"/>
    <w:rsid w:val="FB5FDB16"/>
    <w:rsid w:val="FB761826"/>
    <w:rsid w:val="FB7B23E2"/>
    <w:rsid w:val="FBAFBA5F"/>
    <w:rsid w:val="FBB0E278"/>
    <w:rsid w:val="FBB4B03D"/>
    <w:rsid w:val="FBBAC5F4"/>
    <w:rsid w:val="FBCA2701"/>
    <w:rsid w:val="FBD32E91"/>
    <w:rsid w:val="FBEB5B89"/>
    <w:rsid w:val="FBEEEE22"/>
    <w:rsid w:val="FBF35A1C"/>
    <w:rsid w:val="FBF3C4F3"/>
    <w:rsid w:val="FBF52CA8"/>
    <w:rsid w:val="FBF6D388"/>
    <w:rsid w:val="FBF81654"/>
    <w:rsid w:val="FBFB1268"/>
    <w:rsid w:val="FBFDD31B"/>
    <w:rsid w:val="FBFE2CCB"/>
    <w:rsid w:val="FBFF66B1"/>
    <w:rsid w:val="FBFF7972"/>
    <w:rsid w:val="FC7F06E1"/>
    <w:rsid w:val="FCB73164"/>
    <w:rsid w:val="FCB9850F"/>
    <w:rsid w:val="FCFA55D1"/>
    <w:rsid w:val="FCFB3BFF"/>
    <w:rsid w:val="FCFC1072"/>
    <w:rsid w:val="FCFF597E"/>
    <w:rsid w:val="FD411F61"/>
    <w:rsid w:val="FD7462A5"/>
    <w:rsid w:val="FD7B9578"/>
    <w:rsid w:val="FD7EC8D2"/>
    <w:rsid w:val="FDB02A90"/>
    <w:rsid w:val="FDBD03C9"/>
    <w:rsid w:val="FDBF0559"/>
    <w:rsid w:val="FDBF0EB3"/>
    <w:rsid w:val="FDBFE0F4"/>
    <w:rsid w:val="FDCD25D2"/>
    <w:rsid w:val="FDCF5887"/>
    <w:rsid w:val="FDDCECF0"/>
    <w:rsid w:val="FDEB76A3"/>
    <w:rsid w:val="FDEE3C07"/>
    <w:rsid w:val="FDF70207"/>
    <w:rsid w:val="FDF7C9CA"/>
    <w:rsid w:val="FDFB874C"/>
    <w:rsid w:val="FDFEB004"/>
    <w:rsid w:val="FDFF3BD8"/>
    <w:rsid w:val="FDFF5147"/>
    <w:rsid w:val="FDFF81C1"/>
    <w:rsid w:val="FE3E2DE8"/>
    <w:rsid w:val="FE5B511C"/>
    <w:rsid w:val="FE639D78"/>
    <w:rsid w:val="FE6F15F4"/>
    <w:rsid w:val="FE6FB8F4"/>
    <w:rsid w:val="FE791E90"/>
    <w:rsid w:val="FE9E4482"/>
    <w:rsid w:val="FEBA7528"/>
    <w:rsid w:val="FEBCC523"/>
    <w:rsid w:val="FEBFF021"/>
    <w:rsid w:val="FEDB6F1E"/>
    <w:rsid w:val="FEEA10A3"/>
    <w:rsid w:val="FEEDB980"/>
    <w:rsid w:val="FEEECE37"/>
    <w:rsid w:val="FEEEEDC1"/>
    <w:rsid w:val="FEF76BD3"/>
    <w:rsid w:val="FEF7F4AB"/>
    <w:rsid w:val="FEFAD0F8"/>
    <w:rsid w:val="FEFC0CCB"/>
    <w:rsid w:val="FEFC12E5"/>
    <w:rsid w:val="FEFC9427"/>
    <w:rsid w:val="FEFEE61A"/>
    <w:rsid w:val="FEFF199F"/>
    <w:rsid w:val="FEFFB4B8"/>
    <w:rsid w:val="FF1E8F36"/>
    <w:rsid w:val="FF2A26BC"/>
    <w:rsid w:val="FF3D4CCF"/>
    <w:rsid w:val="FF3FCECD"/>
    <w:rsid w:val="FF52375B"/>
    <w:rsid w:val="FF53FF38"/>
    <w:rsid w:val="FF57B32D"/>
    <w:rsid w:val="FF5B46D6"/>
    <w:rsid w:val="FF770AF0"/>
    <w:rsid w:val="FF7AE14D"/>
    <w:rsid w:val="FF7BBBA7"/>
    <w:rsid w:val="FF7D9DF9"/>
    <w:rsid w:val="FF7F4875"/>
    <w:rsid w:val="FF7F5E02"/>
    <w:rsid w:val="FF7F851A"/>
    <w:rsid w:val="FF9DBFED"/>
    <w:rsid w:val="FFA7A4FA"/>
    <w:rsid w:val="FFAA93DB"/>
    <w:rsid w:val="FFAB09E8"/>
    <w:rsid w:val="FFB5FA03"/>
    <w:rsid w:val="FFB710DF"/>
    <w:rsid w:val="FFB8B9E1"/>
    <w:rsid w:val="FFBB3901"/>
    <w:rsid w:val="FFBB7EAD"/>
    <w:rsid w:val="FFBD116E"/>
    <w:rsid w:val="FFBEE444"/>
    <w:rsid w:val="FFBF19B9"/>
    <w:rsid w:val="FFBF5C6D"/>
    <w:rsid w:val="FFBFAC64"/>
    <w:rsid w:val="FFCDEE64"/>
    <w:rsid w:val="FFCF87AD"/>
    <w:rsid w:val="FFCF9EA2"/>
    <w:rsid w:val="FFCFB67F"/>
    <w:rsid w:val="FFCFEE96"/>
    <w:rsid w:val="FFD662CA"/>
    <w:rsid w:val="FFD9DCB4"/>
    <w:rsid w:val="FFDE8917"/>
    <w:rsid w:val="FFDEAB6C"/>
    <w:rsid w:val="FFDF692A"/>
    <w:rsid w:val="FFDF6D78"/>
    <w:rsid w:val="FFDFF9A5"/>
    <w:rsid w:val="FFE55730"/>
    <w:rsid w:val="FFE66B95"/>
    <w:rsid w:val="FFE737CD"/>
    <w:rsid w:val="FFEB6A4E"/>
    <w:rsid w:val="FFEBB628"/>
    <w:rsid w:val="FFEF7932"/>
    <w:rsid w:val="FFEFEC9B"/>
    <w:rsid w:val="FFEFF8BF"/>
    <w:rsid w:val="FFF2E2E8"/>
    <w:rsid w:val="FFF5FF60"/>
    <w:rsid w:val="FFF79CEC"/>
    <w:rsid w:val="FFF7FBEB"/>
    <w:rsid w:val="FFF881EB"/>
    <w:rsid w:val="FFF9A72A"/>
    <w:rsid w:val="FFFB7081"/>
    <w:rsid w:val="FFFD8124"/>
    <w:rsid w:val="FFFDDCBA"/>
    <w:rsid w:val="FFFF1388"/>
    <w:rsid w:val="FFFF18EE"/>
    <w:rsid w:val="FFFF1C3D"/>
    <w:rsid w:val="FFFF2AEE"/>
    <w:rsid w:val="FFFF3DC5"/>
    <w:rsid w:val="FFFF41FF"/>
    <w:rsid w:val="FFFF506C"/>
    <w:rsid w:val="FFFF7105"/>
    <w:rsid w:val="FFFFC5D8"/>
    <w:rsid w:val="FFFFCA33"/>
    <w:rsid w:val="FFFFF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99" w:name="index 1" w:locked="1"/>
    <w:lsdException w:unhideWhenUsed="0" w:uiPriority="99" w:name="index 2" w:locked="1"/>
    <w:lsdException w:unhideWhenUsed="0" w:uiPriority="99" w:name="index 3" w:locked="1"/>
    <w:lsdException w:unhideWhenUsed="0" w:uiPriority="99" w:name="index 4" w:locked="1"/>
    <w:lsdException w:unhideWhenUsed="0" w:uiPriority="99" w:name="index 5" w:locked="1"/>
    <w:lsdException w:unhideWhenUsed="0" w:uiPriority="99" w:name="index 6" w:locked="1"/>
    <w:lsdException w:unhideWhenUsed="0" w:uiPriority="99" w:name="index 7" w:locked="1"/>
    <w:lsdException w:unhideWhenUsed="0" w:uiPriority="99" w:name="index 8" w:locked="1"/>
    <w:lsdException w:unhideWhenUsed="0" w:uiPriority="99" w:name="index 9" w:locked="1"/>
    <w:lsdException w:unhideWhenUsed="0" w:uiPriority="39" w:name="toc 1" w:locked="1"/>
    <w:lsdException w:qFormat="1" w:uiPriority="39" w:semiHidden="0" w:name="toc 2" w:locked="1"/>
    <w:lsdException w:qFormat="1" w:uiPriority="39" w:semiHidden="0" w:name="toc 3" w:locked="1"/>
    <w:lsdException w:unhideWhenUsed="0" w:uiPriority="39" w:name="toc 4" w:locked="1"/>
    <w:lsdException w:qFormat="1" w:unhideWhenUsed="0" w:uiPriority="0" w:semiHidden="0" w:name="toc 5" w:locked="1"/>
    <w:lsdException w:unhideWhenUsed="0" w:uiPriority="39" w:name="toc 6" w:locked="1"/>
    <w:lsdException w:unhideWhenUsed="0" w:uiPriority="39" w:name="toc 7" w:locked="1"/>
    <w:lsdException w:unhideWhenUsed="0" w:uiPriority="39" w:name="toc 8" w:locked="1"/>
    <w:lsdException w:unhideWhenUsed="0" w:uiPriority="39" w:name="toc 9" w:locked="1"/>
    <w:lsdException w:qFormat="1" w:unhideWhenUsed="0" w:uiPriority="0" w:semiHidden="0" w:name="Normal Indent" w:locked="1"/>
    <w:lsdException w:qFormat="1" w:uiPriority="99" w:semiHidden="0" w:name="footnote text" w:locked="1"/>
    <w:lsdException w:unhideWhenUsed="0" w:uiPriority="99" w:name="annotation text" w:locked="1"/>
    <w:lsdException w:qFormat="1" w:unhideWhenUsed="0" w:uiPriority="99" w:name="header" w:locked="1"/>
    <w:lsdException w:qFormat="1" w:unhideWhenUsed="0" w:uiPriority="99" w:name="footer" w:locked="1"/>
    <w:lsdException w:unhideWhenUsed="0" w:uiPriority="99" w:name="index heading" w:locked="1"/>
    <w:lsdException w:qFormat="1" w:uiPriority="35" w:name="caption" w:locked="1"/>
    <w:lsdException w:unhideWhenUsed="0" w:uiPriority="99" w:name="table of figures" w:locked="1"/>
    <w:lsdException w:unhideWhenUsed="0" w:uiPriority="99" w:name="envelope address" w:locked="1"/>
    <w:lsdException w:unhideWhenUsed="0" w:uiPriority="99" w:name="envelope return" w:locked="1"/>
    <w:lsdException w:qFormat="1" w:uiPriority="99" w:semiHidden="0" w:name="footnote reference" w:locked="1"/>
    <w:lsdException w:unhideWhenUsed="0" w:uiPriority="99" w:name="annotation reference" w:locked="1"/>
    <w:lsdException w:unhideWhenUsed="0" w:uiPriority="99" w:name="line number" w:locked="1"/>
    <w:lsdException w:qFormat="1" w:unhideWhenUsed="0" w:uiPriority="0" w:semiHidden="0" w:name="page number" w:locked="1"/>
    <w:lsdException w:unhideWhenUsed="0" w:uiPriority="99" w:name="endnote reference" w:locked="1"/>
    <w:lsdException w:unhideWhenUsed="0" w:uiPriority="99" w:name="endnote text" w:locked="1"/>
    <w:lsdException w:unhideWhenUsed="0" w:uiPriority="99" w:name="table of authorities" w:locked="1"/>
    <w:lsdException w:unhideWhenUsed="0" w:uiPriority="99" w:name="macro" w:locked="1"/>
    <w:lsdException w:unhideWhenUsed="0" w:uiPriority="99" w:name="toa heading" w:locked="1"/>
    <w:lsdException w:unhideWhenUsed="0" w:uiPriority="99" w:name="List" w:locked="1"/>
    <w:lsdException w:unhideWhenUsed="0" w:uiPriority="99" w:name="List Bullet" w:locked="1"/>
    <w:lsdException w:unhideWhenUsed="0" w:uiPriority="99" w:name="List Number" w:locked="1"/>
    <w:lsdException w:unhideWhenUsed="0" w:uiPriority="99" w:name="List 2" w:locked="1"/>
    <w:lsdException w:unhideWhenUsed="0" w:uiPriority="99" w:name="List 3" w:locked="1"/>
    <w:lsdException w:unhideWhenUsed="0" w:uiPriority="99" w:name="List 4" w:locked="1"/>
    <w:lsdException w:unhideWhenUsed="0" w:uiPriority="99" w:name="List 5" w:locked="1"/>
    <w:lsdException w:unhideWhenUsed="0" w:uiPriority="99" w:name="List Bullet 2" w:locked="1"/>
    <w:lsdException w:unhideWhenUsed="0" w:uiPriority="99" w:name="List Bullet 3" w:locked="1"/>
    <w:lsdException w:unhideWhenUsed="0" w:uiPriority="99" w:name="List Bullet 4" w:locked="1"/>
    <w:lsdException w:unhideWhenUsed="0" w:uiPriority="99" w:name="List Bullet 5" w:locked="1"/>
    <w:lsdException w:unhideWhenUsed="0" w:uiPriority="99" w:name="List Number 2" w:locked="1"/>
    <w:lsdException w:unhideWhenUsed="0" w:uiPriority="99" w:name="List Number 3" w:locked="1"/>
    <w:lsdException w:unhideWhenUsed="0" w:uiPriority="99" w:name="List Number 4" w:locked="1"/>
    <w:lsdException w:unhideWhenUsed="0" w:uiPriority="99" w:name="List Number 5" w:locked="1"/>
    <w:lsdException w:qFormat="1" w:unhideWhenUsed="0" w:uiPriority="10" w:semiHidden="0" w:name="Title" w:locked="1"/>
    <w:lsdException w:unhideWhenUsed="0" w:uiPriority="99" w:name="Closing" w:locked="1"/>
    <w:lsdException w:unhideWhenUsed="0" w:uiPriority="99" w:name="Signature" w:locked="1"/>
    <w:lsdException w:qFormat="1" w:uiPriority="1" w:name="Default Paragraph Font"/>
    <w:lsdException w:qFormat="1" w:unhideWhenUsed="0" w:uiPriority="0" w:semiHidden="0" w:name="Body Text" w:locked="1"/>
    <w:lsdException w:qFormat="1" w:unhideWhenUsed="0" w:uiPriority="99" w:semiHidden="0" w:name="Body Text Indent" w:locked="1"/>
    <w:lsdException w:unhideWhenUsed="0" w:uiPriority="99" w:name="List Continue" w:locked="1"/>
    <w:lsdException w:unhideWhenUsed="0" w:uiPriority="99" w:name="List Continue 2" w:locked="1"/>
    <w:lsdException w:unhideWhenUsed="0" w:uiPriority="99" w:name="List Continue 3" w:locked="1"/>
    <w:lsdException w:unhideWhenUsed="0" w:uiPriority="99" w:name="List Continue 4" w:locked="1"/>
    <w:lsdException w:unhideWhenUsed="0" w:uiPriority="99" w:name="List Continue 5" w:locked="1"/>
    <w:lsdException w:unhideWhenUsed="0" w:uiPriority="99" w:name="Message Header" w:locked="1"/>
    <w:lsdException w:qFormat="1" w:unhideWhenUsed="0" w:uiPriority="11" w:semiHidden="0" w:name="Subtitle" w:locked="1"/>
    <w:lsdException w:unhideWhenUsed="0" w:uiPriority="99" w:name="Salutation" w:locked="1"/>
    <w:lsdException w:unhideWhenUsed="0" w:uiPriority="99" w:name="Date" w:locked="1"/>
    <w:lsdException w:qFormat="1" w:uiPriority="99" w:semiHidden="0" w:name="Body Text First Indent" w:locked="1"/>
    <w:lsdException w:qFormat="1" w:unhideWhenUsed="0" w:uiPriority="0" w:semiHidden="0" w:name="Body Text First Indent 2" w:locked="1"/>
    <w:lsdException w:unhideWhenUsed="0" w:uiPriority="99" w:name="Note Heading" w:locked="1"/>
    <w:lsdException w:unhideWhenUsed="0" w:uiPriority="99" w:name="Body Text 2" w:locked="1"/>
    <w:lsdException w:unhideWhenUsed="0" w:uiPriority="99" w:name="Body Text 3" w:locked="1"/>
    <w:lsdException w:unhideWhenUsed="0" w:uiPriority="99" w:name="Body Text Indent 2" w:locked="1"/>
    <w:lsdException w:unhideWhenUsed="0" w:uiPriority="99" w:name="Body Text Indent 3" w:locked="1"/>
    <w:lsdException w:unhideWhenUsed="0" w:uiPriority="99" w:name="Block Text" w:locked="1"/>
    <w:lsdException w:unhideWhenUsed="0" w:uiPriority="99" w:name="Hyperlink" w:locked="1"/>
    <w:lsdException w:unhideWhenUsed="0" w:uiPriority="99" w:name="FollowedHyperlink" w:locked="1"/>
    <w:lsdException w:qFormat="1" w:unhideWhenUsed="0" w:uiPriority="0" w:semiHidden="0" w:name="Strong" w:locked="1"/>
    <w:lsdException w:qFormat="1" w:unhideWhenUsed="0" w:uiPriority="20" w:semiHidden="0" w:name="Emphasis" w:locked="1"/>
    <w:lsdException w:unhideWhenUsed="0" w:uiPriority="99" w:name="Document Map" w:locked="1"/>
    <w:lsdException w:unhideWhenUsed="0" w:uiPriority="99" w:name="Plain Text" w:locked="1"/>
    <w:lsdException w:unhideWhenUsed="0" w:uiPriority="99" w:name="E-mail Signature" w:locked="1"/>
    <w:lsdException w:qFormat="1" w:unhideWhenUsed="0" w:uiPriority="0" w:semiHidden="0" w:name="Normal (Web)" w:locked="1"/>
    <w:lsdException w:unhideWhenUsed="0" w:uiPriority="99" w:name="HTML Acronym" w:locked="1"/>
    <w:lsdException w:unhideWhenUsed="0" w:uiPriority="99" w:name="HTML Address" w:locked="1"/>
    <w:lsdException w:unhideWhenUsed="0" w:uiPriority="99" w:name="HTML Cite" w:locked="1"/>
    <w:lsdException w:unhideWhenUsed="0" w:uiPriority="99" w:name="HTML Code" w:locked="1"/>
    <w:lsdException w:unhideWhenUsed="0" w:uiPriority="99" w:name="HTML Definition" w:locked="1"/>
    <w:lsdException w:unhideWhenUsed="0" w:uiPriority="99" w:name="HTML Keyboard" w:locked="1"/>
    <w:lsdException w:unhideWhenUsed="0" w:uiPriority="99" w:name="HTML Preformatted" w:locked="1"/>
    <w:lsdException w:unhideWhenUsed="0" w:uiPriority="99" w:name="HTML Sample" w:locked="1"/>
    <w:lsdException w:unhideWhenUsed="0" w:uiPriority="99" w:name="HTML Typewriter" w:locked="1"/>
    <w:lsdException w:unhideWhenUsed="0" w:uiPriority="99" w:name="HTML Variable" w:locked="1"/>
    <w:lsdException w:qFormat="1" w:uiPriority="99" w:name="Normal Table"/>
    <w:lsdException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8" w:lineRule="exact"/>
      <w:ind w:firstLine="200" w:firstLineChars="200"/>
      <w:jc w:val="both"/>
      <w:textAlignment w:val="center"/>
    </w:pPr>
    <w:rPr>
      <w:rFonts w:ascii="Times New Roman" w:hAnsi="Times New Roman" w:eastAsia="方正仿宋_GBK" w:cs="Times New Roman"/>
      <w:kern w:val="2"/>
      <w:sz w:val="30"/>
      <w:szCs w:val="22"/>
      <w:lang w:val="en-US" w:eastAsia="zh-CN" w:bidi="ar-SA"/>
    </w:rPr>
  </w:style>
  <w:style w:type="paragraph" w:styleId="2">
    <w:name w:val="heading 1"/>
    <w:basedOn w:val="1"/>
    <w:next w:val="1"/>
    <w:link w:val="23"/>
    <w:qFormat/>
    <w:uiPriority w:val="9"/>
    <w:pPr>
      <w:keepNext/>
      <w:keepLines/>
      <w:ind w:firstLine="0" w:firstLineChars="0"/>
      <w:outlineLvl w:val="0"/>
    </w:pPr>
    <w:rPr>
      <w:rFonts w:eastAsia="方正黑体_GBK"/>
      <w:bCs/>
      <w:kern w:val="44"/>
      <w:szCs w:val="44"/>
    </w:rPr>
  </w:style>
  <w:style w:type="paragraph" w:styleId="3">
    <w:name w:val="heading 2"/>
    <w:basedOn w:val="1"/>
    <w:next w:val="1"/>
    <w:link w:val="24"/>
    <w:qFormat/>
    <w:uiPriority w:val="9"/>
    <w:pPr>
      <w:keepNext/>
      <w:keepLines/>
      <w:ind w:firstLine="0" w:firstLineChars="0"/>
      <w:outlineLvl w:val="1"/>
    </w:pPr>
    <w:rPr>
      <w:rFonts w:eastAsia="方正楷体_GBK"/>
      <w:bCs/>
      <w:szCs w:val="32"/>
    </w:rPr>
  </w:style>
  <w:style w:type="paragraph" w:styleId="4">
    <w:name w:val="heading 3"/>
    <w:basedOn w:val="1"/>
    <w:next w:val="1"/>
    <w:link w:val="25"/>
    <w:qFormat/>
    <w:uiPriority w:val="9"/>
    <w:pPr>
      <w:keepNext/>
      <w:keepLines/>
      <w:ind w:firstLine="0" w:firstLineChars="0"/>
      <w:outlineLvl w:val="2"/>
    </w:pPr>
    <w:rPr>
      <w:rFonts w:eastAsia="方正楷体_GBK"/>
      <w:bCs/>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locked/>
    <w:uiPriority w:val="0"/>
  </w:style>
  <w:style w:type="paragraph" w:styleId="6">
    <w:name w:val="Body Text"/>
    <w:basedOn w:val="1"/>
    <w:next w:val="7"/>
    <w:qFormat/>
    <w:locked/>
    <w:uiPriority w:val="0"/>
    <w:pPr>
      <w:spacing w:after="120"/>
    </w:pPr>
  </w:style>
  <w:style w:type="paragraph" w:styleId="7">
    <w:name w:val="Title"/>
    <w:basedOn w:val="1"/>
    <w:next w:val="1"/>
    <w:qFormat/>
    <w:locked/>
    <w:uiPriority w:val="10"/>
    <w:pPr>
      <w:widowControl/>
      <w:ind w:firstLine="0" w:firstLineChars="0"/>
      <w:jc w:val="center"/>
    </w:pPr>
    <w:rPr>
      <w:rFonts w:eastAsia="方正小标宋简体"/>
      <w:b/>
      <w:bCs/>
      <w:sz w:val="40"/>
    </w:rPr>
  </w:style>
  <w:style w:type="paragraph" w:styleId="8">
    <w:name w:val="Body Text Indent"/>
    <w:basedOn w:val="1"/>
    <w:next w:val="1"/>
    <w:qFormat/>
    <w:locked/>
    <w:uiPriority w:val="99"/>
    <w:pPr>
      <w:adjustRightInd w:val="0"/>
      <w:spacing w:line="360" w:lineRule="atLeast"/>
      <w:ind w:firstLine="600"/>
      <w:textAlignment w:val="baseline"/>
    </w:pPr>
    <w:rPr>
      <w:kern w:val="0"/>
      <w:szCs w:val="20"/>
    </w:rPr>
  </w:style>
  <w:style w:type="paragraph" w:styleId="9">
    <w:name w:val="toc 5"/>
    <w:next w:val="1"/>
    <w:qFormat/>
    <w:locked/>
    <w:uiPriority w:val="0"/>
    <w:pPr>
      <w:widowControl w:val="0"/>
      <w:overflowPunct w:val="0"/>
      <w:spacing w:line="588" w:lineRule="exact"/>
      <w:ind w:left="1680" w:leftChars="800" w:firstLine="420" w:firstLineChars="200"/>
      <w:jc w:val="both"/>
      <w:textAlignment w:val="center"/>
    </w:pPr>
    <w:rPr>
      <w:rFonts w:ascii="Times New Roman" w:hAnsi="Times New Roman" w:eastAsia="方正仿宋_GBK" w:cs="方正仿宋_GBK"/>
      <w:kern w:val="2"/>
      <w:sz w:val="30"/>
      <w:szCs w:val="30"/>
      <w:lang w:val="en-US" w:eastAsia="zh-CN" w:bidi="ar-SA"/>
    </w:rPr>
  </w:style>
  <w:style w:type="paragraph" w:styleId="10">
    <w:name w:val="toc 3"/>
    <w:basedOn w:val="1"/>
    <w:next w:val="1"/>
    <w:unhideWhenUsed/>
    <w:qFormat/>
    <w:locked/>
    <w:uiPriority w:val="39"/>
  </w:style>
  <w:style w:type="paragraph" w:styleId="11">
    <w:name w:val="footer"/>
    <w:basedOn w:val="1"/>
    <w:link w:val="26"/>
    <w:semiHidden/>
    <w:qFormat/>
    <w:locked/>
    <w:uiPriority w:val="99"/>
    <w:pPr>
      <w:tabs>
        <w:tab w:val="center" w:pos="4153"/>
        <w:tab w:val="right" w:pos="8306"/>
      </w:tabs>
      <w:snapToGrid w:val="0"/>
      <w:spacing w:line="240" w:lineRule="atLeast"/>
      <w:jc w:val="left"/>
    </w:pPr>
    <w:rPr>
      <w:rFonts w:ascii="Calibri" w:hAnsi="Calibri"/>
      <w:kern w:val="0"/>
      <w:sz w:val="18"/>
      <w:szCs w:val="18"/>
    </w:rPr>
  </w:style>
  <w:style w:type="paragraph" w:styleId="12">
    <w:name w:val="header"/>
    <w:basedOn w:val="1"/>
    <w:link w:val="27"/>
    <w:semiHidden/>
    <w:qFormat/>
    <w:locked/>
    <w:uiPriority w:val="99"/>
    <w:pPr>
      <w:pBdr>
        <w:bottom w:val="single" w:color="auto" w:sz="6" w:space="1"/>
      </w:pBdr>
      <w:tabs>
        <w:tab w:val="center" w:pos="4153"/>
        <w:tab w:val="right" w:pos="8306"/>
      </w:tabs>
      <w:snapToGrid w:val="0"/>
      <w:spacing w:line="240" w:lineRule="atLeast"/>
      <w:jc w:val="center"/>
    </w:pPr>
    <w:rPr>
      <w:rFonts w:ascii="Calibri" w:hAnsi="Calibri"/>
      <w:kern w:val="0"/>
      <w:sz w:val="18"/>
      <w:szCs w:val="18"/>
    </w:rPr>
  </w:style>
  <w:style w:type="paragraph" w:styleId="13">
    <w:name w:val="footnote text"/>
    <w:basedOn w:val="1"/>
    <w:unhideWhenUsed/>
    <w:qFormat/>
    <w:locked/>
    <w:uiPriority w:val="99"/>
    <w:pPr>
      <w:snapToGrid w:val="0"/>
      <w:jc w:val="left"/>
    </w:pPr>
    <w:rPr>
      <w:sz w:val="18"/>
    </w:rPr>
  </w:style>
  <w:style w:type="paragraph" w:styleId="14">
    <w:name w:val="toc 2"/>
    <w:basedOn w:val="1"/>
    <w:next w:val="1"/>
    <w:unhideWhenUsed/>
    <w:qFormat/>
    <w:locked/>
    <w:uiPriority w:val="39"/>
    <w:pPr>
      <w:tabs>
        <w:tab w:val="right" w:leader="dot" w:pos="8664"/>
      </w:tabs>
      <w:ind w:firstLine="320" w:firstLineChars="100"/>
    </w:pPr>
    <w:rPr>
      <w:rFonts w:eastAsia="方正楷体_GBK"/>
    </w:rPr>
  </w:style>
  <w:style w:type="paragraph" w:styleId="15">
    <w:name w:val="Normal (Web)"/>
    <w:basedOn w:val="1"/>
    <w:qFormat/>
    <w:locked/>
    <w:uiPriority w:val="0"/>
    <w:pPr>
      <w:spacing w:before="100" w:beforeAutospacing="1" w:after="100" w:afterAutospacing="1"/>
      <w:jc w:val="left"/>
    </w:pPr>
    <w:rPr>
      <w:kern w:val="0"/>
      <w:sz w:val="24"/>
    </w:rPr>
  </w:style>
  <w:style w:type="paragraph" w:styleId="16">
    <w:name w:val="Body Text First Indent"/>
    <w:basedOn w:val="6"/>
    <w:next w:val="17"/>
    <w:unhideWhenUsed/>
    <w:qFormat/>
    <w:locked/>
    <w:uiPriority w:val="99"/>
    <w:pPr>
      <w:ind w:firstLine="420" w:firstLineChars="100"/>
    </w:pPr>
    <w:rPr>
      <w:rFonts w:ascii="等线" w:hAnsi="等线" w:eastAsia="等线"/>
      <w:sz w:val="21"/>
    </w:rPr>
  </w:style>
  <w:style w:type="paragraph" w:styleId="17">
    <w:name w:val="Body Text First Indent 2"/>
    <w:basedOn w:val="8"/>
    <w:next w:val="1"/>
    <w:qFormat/>
    <w:locked/>
    <w:uiPriority w:val="0"/>
    <w:pPr>
      <w:ind w:firstLine="420"/>
    </w:pPr>
  </w:style>
  <w:style w:type="character" w:styleId="20">
    <w:name w:val="Strong"/>
    <w:qFormat/>
    <w:locked/>
    <w:uiPriority w:val="0"/>
    <w:rPr>
      <w:b/>
    </w:rPr>
  </w:style>
  <w:style w:type="character" w:styleId="21">
    <w:name w:val="page number"/>
    <w:qFormat/>
    <w:locked/>
    <w:uiPriority w:val="0"/>
  </w:style>
  <w:style w:type="character" w:styleId="22">
    <w:name w:val="footnote reference"/>
    <w:unhideWhenUsed/>
    <w:qFormat/>
    <w:locked/>
    <w:uiPriority w:val="99"/>
    <w:rPr>
      <w:vertAlign w:val="superscript"/>
    </w:rPr>
  </w:style>
  <w:style w:type="character" w:customStyle="1" w:styleId="23">
    <w:name w:val="标题 1 Char"/>
    <w:link w:val="2"/>
    <w:qFormat/>
    <w:uiPriority w:val="9"/>
    <w:rPr>
      <w:rFonts w:ascii="Times New Roman" w:hAnsi="Times New Roman" w:eastAsia="方正黑体_GBK"/>
      <w:bCs/>
      <w:kern w:val="44"/>
      <w:sz w:val="30"/>
      <w:szCs w:val="44"/>
    </w:rPr>
  </w:style>
  <w:style w:type="character" w:customStyle="1" w:styleId="24">
    <w:name w:val="标题 2 Char2"/>
    <w:link w:val="3"/>
    <w:qFormat/>
    <w:uiPriority w:val="9"/>
    <w:rPr>
      <w:rFonts w:ascii="Times New Roman" w:hAnsi="Times New Roman" w:eastAsia="方正楷体_GBK"/>
      <w:bCs/>
      <w:kern w:val="2"/>
      <w:sz w:val="30"/>
      <w:szCs w:val="32"/>
    </w:rPr>
  </w:style>
  <w:style w:type="character" w:customStyle="1" w:styleId="25">
    <w:name w:val="标题 3 Char"/>
    <w:link w:val="4"/>
    <w:qFormat/>
    <w:uiPriority w:val="9"/>
    <w:rPr>
      <w:rFonts w:ascii="Times New Roman" w:hAnsi="Times New Roman" w:eastAsia="方正楷体_GBK"/>
      <w:bCs/>
      <w:kern w:val="2"/>
      <w:sz w:val="30"/>
      <w:szCs w:val="32"/>
    </w:rPr>
  </w:style>
  <w:style w:type="character" w:customStyle="1" w:styleId="26">
    <w:name w:val="页脚 Char"/>
    <w:link w:val="11"/>
    <w:semiHidden/>
    <w:qFormat/>
    <w:uiPriority w:val="99"/>
    <w:rPr>
      <w:rFonts w:eastAsia="方正仿宋_GBK"/>
      <w:sz w:val="18"/>
      <w:szCs w:val="18"/>
    </w:rPr>
  </w:style>
  <w:style w:type="character" w:customStyle="1" w:styleId="27">
    <w:name w:val="页眉 Char"/>
    <w:link w:val="12"/>
    <w:semiHidden/>
    <w:qFormat/>
    <w:uiPriority w:val="99"/>
    <w:rPr>
      <w:rFonts w:eastAsia="方正仿宋_GBK"/>
      <w:sz w:val="18"/>
      <w:szCs w:val="18"/>
    </w:rPr>
  </w:style>
  <w:style w:type="character" w:customStyle="1" w:styleId="28">
    <w:name w:val="标题 2 Char"/>
    <w:qFormat/>
    <w:uiPriority w:val="0"/>
    <w:rPr>
      <w:rFonts w:ascii="Times New Roman" w:hAnsi="Times New Roman" w:eastAsia="方正楷体_GBK"/>
      <w:kern w:val="0"/>
      <w:sz w:val="30"/>
      <w:szCs w:val="20"/>
      <w:lang w:val="en-US" w:eastAsia="zh-CN" w:bidi="ar-SA"/>
    </w:rPr>
  </w:style>
  <w:style w:type="character" w:customStyle="1" w:styleId="29">
    <w:name w:val="标题 2 Char1"/>
    <w:qFormat/>
    <w:uiPriority w:val="0"/>
    <w:rPr>
      <w:rFonts w:eastAsia="方正楷体_GBK"/>
      <w:szCs w:val="30"/>
    </w:rPr>
  </w:style>
  <w:style w:type="character" w:customStyle="1" w:styleId="30">
    <w:name w:val="font01"/>
    <w:qFormat/>
    <w:uiPriority w:val="0"/>
    <w:rPr>
      <w:rFonts w:hint="default" w:ascii="Times New Roman" w:hAnsi="Times New Roman" w:cs="Times New Roman"/>
      <w:color w:val="000000"/>
      <w:sz w:val="36"/>
      <w:szCs w:val="36"/>
      <w:u w:val="none"/>
    </w:rPr>
  </w:style>
  <w:style w:type="character" w:customStyle="1" w:styleId="31">
    <w:name w:val="font41"/>
    <w:qFormat/>
    <w:uiPriority w:val="0"/>
    <w:rPr>
      <w:rFonts w:hint="default" w:ascii="Times New Roman" w:hAnsi="Times New Roman" w:cs="Times New Roman"/>
      <w:color w:val="000000"/>
      <w:sz w:val="24"/>
      <w:szCs w:val="24"/>
      <w:u w:val="none"/>
    </w:rPr>
  </w:style>
  <w:style w:type="paragraph" w:customStyle="1" w:styleId="32">
    <w:name w:val="Body Text First Indent 21"/>
    <w:basedOn w:val="33"/>
    <w:unhideWhenUsed/>
    <w:qFormat/>
    <w:uiPriority w:val="99"/>
    <w:pPr>
      <w:ind w:left="0" w:firstLine="420"/>
    </w:pPr>
    <w:rPr>
      <w:rFonts w:hint="default" w:eastAsia="Times New Roman"/>
      <w:sz w:val="32"/>
    </w:rPr>
  </w:style>
  <w:style w:type="paragraph" w:customStyle="1" w:styleId="33">
    <w:name w:val="Body Text Indent1"/>
    <w:basedOn w:val="1"/>
    <w:unhideWhenUsed/>
    <w:qFormat/>
    <w:uiPriority w:val="99"/>
    <w:pPr>
      <w:ind w:left="420" w:leftChars="200"/>
    </w:pPr>
    <w:rPr>
      <w:rFonts w:hint="eastAsia"/>
      <w:sz w:val="21"/>
    </w:rPr>
  </w:style>
  <w:style w:type="paragraph" w:customStyle="1" w:styleId="3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5">
    <w:name w:val="纯文本1"/>
    <w:basedOn w:val="1"/>
    <w:qFormat/>
    <w:uiPriority w:val="0"/>
    <w:rPr>
      <w:rFonts w:ascii="宋体" w:hAnsi="Courier New" w:cs="Courier New"/>
      <w:szCs w:val="21"/>
    </w:rPr>
  </w:style>
  <w:style w:type="paragraph" w:customStyle="1" w:styleId="36">
    <w:name w:val="正文（缩进）"/>
    <w:qFormat/>
    <w:uiPriority w:val="0"/>
    <w:pPr>
      <w:widowControl w:val="0"/>
      <w:spacing w:line="594" w:lineRule="exact"/>
      <w:ind w:firstLine="482"/>
      <w:jc w:val="both"/>
    </w:pPr>
    <w:rPr>
      <w:rFonts w:ascii="仿宋_GB2312" w:hAnsi="Calibri" w:eastAsia="方正仿宋_GBK" w:cs="仿宋_GB2312"/>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2473</Words>
  <Characters>3097</Characters>
  <Lines>24</Lines>
  <Paragraphs>6</Paragraphs>
  <TotalTime>37</TotalTime>
  <ScaleCrop>false</ScaleCrop>
  <LinksUpToDate>false</LinksUpToDate>
  <CharactersWithSpaces>3147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2017-02-12T18:19:00Z</dcterms:created>
  <dc:creator>程建林</dc:creator>
  <cp:lastModifiedBy>大朋友</cp:lastModifiedBy>
  <cp:lastPrinted>2025-06-11T08:01:32Z</cp:lastPrinted>
  <dcterms:modified xsi:type="dcterms:W3CDTF">2025-06-11T08:16:54Z</dcterms:modified>
  <dc:title>附件2</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1CB582AFD2624DC28CB8EF6CE0B94DED_13</vt:lpwstr>
  </property>
  <property fmtid="{D5CDD505-2E9C-101B-9397-08002B2CF9AE}" pid="4" name="KSOTemplateDocerSaveRecord">
    <vt:lpwstr>eyJoZGlkIjoiNDM1NzA2ODgyYTFhNzA0YjhmZTQ4NThiNWUxNWE5N2QiLCJ1c2VySWQiOiIxMDE5NzIyODE4In0=</vt:lpwstr>
  </property>
</Properties>
</file>