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AB63C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1" w:name="_GoBack"/>
      <w:bookmarkEnd w:id="1"/>
      <w:r>
        <w:rPr>
          <w:rFonts w:hint="eastAsia" w:ascii="Times New Roman" w:hAnsi="Times New Roman" w:eastAsia="方正小标宋_GBK" w:cs="Times New Roman"/>
          <w:sz w:val="44"/>
          <w:szCs w:val="44"/>
        </w:rPr>
        <w:t>中共唐山市曹妃甸区委区直机关工委</w:t>
      </w:r>
    </w:p>
    <w:p w14:paraId="747786E9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年部门预算信息公开</w:t>
      </w:r>
    </w:p>
    <w:p w14:paraId="4787DFEE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按照《预算法》、《河北省预决算公开操作规程实施细则》规定，现将202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3</w:t>
      </w:r>
      <w:r>
        <w:rPr>
          <w:rFonts w:hint="eastAsia" w:ascii="方正仿宋简体" w:hAnsi="??_GB2312" w:eastAsia="方正仿宋简体" w:cs="??_GB2312"/>
          <w:sz w:val="32"/>
          <w:szCs w:val="32"/>
        </w:rPr>
        <w:t>年部门预算公开如下：</w:t>
      </w:r>
    </w:p>
    <w:p w14:paraId="2217332A">
      <w:pPr>
        <w:numPr>
          <w:ilvl w:val="0"/>
          <w:numId w:val="1"/>
        </w:numPr>
        <w:ind w:firstLine="64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部门职责及机构设置情况</w:t>
      </w:r>
    </w:p>
    <w:p w14:paraId="2476004F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 xml:space="preserve">部门职责：按照区委对中国共产党唐山市曹妃甸区委员会区直机关工作委员会（简称区直机关工委）的职责定位，区直机关工委为区委的派出机构，统一领导区直机关党的工作。主要负责党建规划，指导区直机关党的政治建设、思想建设、组织建设、作风建设、纪律建设，把制度建设贯彻其中，深入推进反腐败斗争；指导区直机关各级党组织和广大党员学习马克思列宁主义、毛泽东思想、邓小平理论、“三个代表”重要思想、科学发展观、习近平新时代中国特色社会主义思想，加强对区直机关党员的教育和管理；对区直机关各级党组织、党员领导干部落实党建责任制、遵守政治纪律和政治规矩情况进行监督检查，并向区委报告；指导实施对党员、特别是党员领导干部的监督，指导区直机关精神文明建设和统战、武装工作；领导区直各部门机关党的纪律检查及工、青、妇等。 </w:t>
      </w:r>
    </w:p>
    <w:p w14:paraId="4672BFBF">
      <w:pPr>
        <w:spacing w:line="50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 w14:paraId="2507BC77">
      <w:pPr>
        <w:autoSpaceDE w:val="0"/>
        <w:autoSpaceDN w:val="0"/>
        <w:adjustRightInd w:val="0"/>
        <w:jc w:val="left"/>
        <w:rPr>
          <w:rFonts w:ascii="????_GBK" w:hAnsi="Times New Roman" w:eastAsia="Times New Roman" w:cs="Times New Roman"/>
          <w:b/>
          <w:sz w:val="32"/>
          <w:szCs w:val="32"/>
        </w:rPr>
      </w:pPr>
      <w:r>
        <w:rPr>
          <w:rFonts w:ascii="????_GBK" w:hAnsi="Times New Roman" w:eastAsia="Times New Roman" w:cs="Times New Roman"/>
          <w:b/>
          <w:sz w:val="32"/>
          <w:szCs w:val="32"/>
        </w:rPr>
        <w:t xml:space="preserve">    机构设置：</w:t>
      </w:r>
    </w:p>
    <w:p w14:paraId="2039A7D3">
      <w:pPr>
        <w:autoSpaceDE w:val="0"/>
        <w:autoSpaceDN w:val="0"/>
        <w:adjustRightInd w:val="0"/>
        <w:jc w:val="left"/>
        <w:rPr>
          <w:rFonts w:ascii="方正仿宋简体" w:hAnsi="Times New Roman" w:eastAsia="方正仿宋简体" w:cs="Times New Roman"/>
          <w:b/>
          <w:sz w:val="32"/>
          <w:szCs w:val="32"/>
        </w:rPr>
      </w:pPr>
      <w:r>
        <w:rPr>
          <w:rFonts w:ascii="????_GBK" w:hAnsi="Times New Roman" w:eastAsia="Times New Roman" w:cs="Times New Roman"/>
          <w:b/>
          <w:sz w:val="32"/>
          <w:szCs w:val="32"/>
        </w:rPr>
        <w:t xml:space="preserve">   </w:t>
      </w:r>
      <w:r>
        <w:rPr>
          <w:rFonts w:ascii="方正仿宋简体" w:hAnsi="Times New Roman" w:eastAsia="方正仿宋简体" w:cs="Times New Roman"/>
          <w:b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sz w:val="32"/>
        </w:rPr>
        <w:t>中国共产党唐山市曹妃甸区委员会区直机关工作委员会机关设</w:t>
      </w:r>
      <w:r>
        <w:rPr>
          <w:rFonts w:hint="eastAsia" w:ascii="方正仿宋简体" w:eastAsia="方正仿宋简体"/>
          <w:sz w:val="32"/>
        </w:rPr>
        <w:t>3</w:t>
      </w:r>
      <w:r>
        <w:rPr>
          <w:rFonts w:hint="eastAsia" w:ascii="方正仿宋简体" w:hAnsi="宋体" w:eastAsia="方正仿宋简体" w:cs="宋体"/>
          <w:sz w:val="32"/>
        </w:rPr>
        <w:t>个内设机构。</w:t>
      </w:r>
    </w:p>
    <w:tbl>
      <w:tblPr>
        <w:tblStyle w:val="9"/>
        <w:tblpPr w:leftFromText="180" w:rightFromText="180" w:vertAnchor="text" w:horzAnchor="page" w:tblpX="1446" w:tblpY="323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242B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43" w:type="dxa"/>
          </w:tcPr>
          <w:p w14:paraId="1252EDEA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内设机构名称</w:t>
            </w:r>
          </w:p>
        </w:tc>
        <w:tc>
          <w:tcPr>
            <w:tcW w:w="3543" w:type="dxa"/>
          </w:tcPr>
          <w:p w14:paraId="51548F74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性质</w:t>
            </w:r>
          </w:p>
        </w:tc>
        <w:tc>
          <w:tcPr>
            <w:tcW w:w="3544" w:type="dxa"/>
          </w:tcPr>
          <w:p w14:paraId="7189E2C3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规格</w:t>
            </w:r>
          </w:p>
        </w:tc>
        <w:tc>
          <w:tcPr>
            <w:tcW w:w="3544" w:type="dxa"/>
          </w:tcPr>
          <w:p w14:paraId="5A7C1530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经费保障形式</w:t>
            </w:r>
          </w:p>
        </w:tc>
      </w:tr>
      <w:tr w14:paraId="03F0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3543" w:type="dxa"/>
            <w:vAlign w:val="center"/>
          </w:tcPr>
          <w:p w14:paraId="39E984CE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办公室</w:t>
            </w:r>
          </w:p>
        </w:tc>
        <w:tc>
          <w:tcPr>
            <w:tcW w:w="3543" w:type="dxa"/>
            <w:vAlign w:val="center"/>
          </w:tcPr>
          <w:p w14:paraId="282AB5FA">
            <w:pPr>
              <w:spacing w:line="300" w:lineRule="exact"/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行政</w:t>
            </w:r>
          </w:p>
        </w:tc>
        <w:tc>
          <w:tcPr>
            <w:tcW w:w="3544" w:type="dxa"/>
            <w:vAlign w:val="center"/>
          </w:tcPr>
          <w:p w14:paraId="35CA3ED7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??_GB2312" w:hAnsi="??_GB2312" w:cs="??_GB2312"/>
                <w:sz w:val="32"/>
                <w:szCs w:val="32"/>
              </w:rPr>
              <w:t>副科</w:t>
            </w:r>
          </w:p>
        </w:tc>
        <w:tc>
          <w:tcPr>
            <w:tcW w:w="3544" w:type="dxa"/>
            <w:vAlign w:val="center"/>
          </w:tcPr>
          <w:p w14:paraId="24E81550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财政拨款</w:t>
            </w:r>
          </w:p>
        </w:tc>
      </w:tr>
      <w:tr w14:paraId="5D2D6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3543" w:type="dxa"/>
            <w:vAlign w:val="center"/>
          </w:tcPr>
          <w:p w14:paraId="1E5D823C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组宣科</w:t>
            </w:r>
          </w:p>
        </w:tc>
        <w:tc>
          <w:tcPr>
            <w:tcW w:w="3543" w:type="dxa"/>
            <w:vAlign w:val="center"/>
          </w:tcPr>
          <w:p w14:paraId="20C63DF2">
            <w:pPr>
              <w:spacing w:line="300" w:lineRule="exact"/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行政</w:t>
            </w:r>
          </w:p>
        </w:tc>
        <w:tc>
          <w:tcPr>
            <w:tcW w:w="3544" w:type="dxa"/>
            <w:vAlign w:val="center"/>
          </w:tcPr>
          <w:p w14:paraId="04AE5800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??_GB2312" w:hAnsi="??_GB2312" w:cs="??_GB2312"/>
                <w:sz w:val="32"/>
                <w:szCs w:val="32"/>
              </w:rPr>
              <w:t>副科</w:t>
            </w:r>
          </w:p>
        </w:tc>
        <w:tc>
          <w:tcPr>
            <w:tcW w:w="3544" w:type="dxa"/>
            <w:vAlign w:val="center"/>
          </w:tcPr>
          <w:p w14:paraId="5982F63A">
            <w:pPr>
              <w:spacing w:line="300" w:lineRule="exact"/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财政拨款</w:t>
            </w:r>
          </w:p>
        </w:tc>
      </w:tr>
      <w:tr w14:paraId="0A1F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3543" w:type="dxa"/>
            <w:vAlign w:val="center"/>
          </w:tcPr>
          <w:p w14:paraId="2EDE6C57">
            <w:pPr>
              <w:jc w:val="center"/>
              <w:outlineLvl w:val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纪工委</w:t>
            </w:r>
          </w:p>
        </w:tc>
        <w:tc>
          <w:tcPr>
            <w:tcW w:w="3543" w:type="dxa"/>
            <w:vAlign w:val="center"/>
          </w:tcPr>
          <w:p w14:paraId="6C81C301">
            <w:pPr>
              <w:spacing w:line="3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行政</w:t>
            </w:r>
          </w:p>
        </w:tc>
        <w:tc>
          <w:tcPr>
            <w:tcW w:w="3544" w:type="dxa"/>
            <w:vAlign w:val="center"/>
          </w:tcPr>
          <w:p w14:paraId="5F79B1D5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??_GB2312" w:hAnsi="??_GB2312" w:cs="??_GB2312"/>
                <w:sz w:val="32"/>
                <w:szCs w:val="32"/>
              </w:rPr>
              <w:t>副科</w:t>
            </w:r>
          </w:p>
        </w:tc>
        <w:tc>
          <w:tcPr>
            <w:tcW w:w="3544" w:type="dxa"/>
            <w:vAlign w:val="center"/>
          </w:tcPr>
          <w:p w14:paraId="129D8AFE">
            <w:pPr>
              <w:spacing w:line="3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财政拨款</w:t>
            </w:r>
          </w:p>
        </w:tc>
      </w:tr>
    </w:tbl>
    <w:p w14:paraId="75E90AB7">
      <w:pPr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ascii="黑体" w:hAnsi="黑体" w:eastAsia="黑体" w:cs="Times New Roman"/>
          <w:b/>
          <w:bCs/>
          <w:sz w:val="32"/>
          <w:szCs w:val="32"/>
        </w:rPr>
        <w:t xml:space="preserve">    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二、部门预算安排的总体情况</w:t>
      </w:r>
    </w:p>
    <w:p w14:paraId="22A39781">
      <w:pPr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ascii="方正楷体简体" w:hAnsi="Times New Roman" w:eastAsia="方正楷体简体" w:cs="Times New Roman"/>
          <w:sz w:val="32"/>
          <w:szCs w:val="32"/>
        </w:rPr>
        <w:t>1</w:t>
      </w:r>
      <w:r>
        <w:rPr>
          <w:rFonts w:hint="eastAsia" w:ascii="方正楷体简体" w:hAnsi="宋体" w:eastAsia="方正楷体简体" w:cs="宋体"/>
          <w:sz w:val="32"/>
          <w:szCs w:val="32"/>
        </w:rPr>
        <w:t>、收入说明</w:t>
      </w:r>
      <w:r>
        <w:rPr>
          <w:rFonts w:ascii="方正楷体简体" w:hAnsi="Times New Roman" w:eastAsia="方正楷体简体" w:cs="Times New Roman"/>
          <w:sz w:val="32"/>
          <w:szCs w:val="32"/>
        </w:rPr>
        <w:t xml:space="preserve"> </w:t>
      </w:r>
    </w:p>
    <w:p w14:paraId="5CA74DEB">
      <w:pPr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本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单位</w:t>
      </w:r>
      <w:r>
        <w:rPr>
          <w:rFonts w:hint="eastAsia" w:ascii="方正仿宋简体" w:hAnsi="宋体" w:eastAsia="方正仿宋简体" w:cs="宋体"/>
          <w:sz w:val="32"/>
          <w:szCs w:val="32"/>
        </w:rPr>
        <w:t>当年全部收入</w:t>
      </w:r>
      <w:r>
        <w:rPr>
          <w:rFonts w:ascii="方正仿宋简体" w:hAnsi="??_GB2312" w:eastAsia="方正仿宋简体" w:cs="??_GB2312"/>
          <w:sz w:val="32"/>
          <w:szCs w:val="32"/>
        </w:rPr>
        <w:t>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年预算收入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233.71</w:t>
      </w:r>
      <w:r>
        <w:rPr>
          <w:rFonts w:hint="eastAsia" w:ascii="方正仿宋简体" w:hAnsi="宋体" w:eastAsia="方正仿宋简体" w:cs="宋体"/>
          <w:sz w:val="32"/>
          <w:szCs w:val="32"/>
        </w:rPr>
        <w:t>万元，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其中：人员经费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167.48万元，日常公用经费34.7万元，项目经费31.53万元，</w:t>
      </w:r>
      <w:r>
        <w:rPr>
          <w:rFonts w:hint="eastAsia" w:ascii="方正仿宋简体" w:hAnsi="宋体" w:eastAsia="方正仿宋简体" w:cs="宋体"/>
          <w:sz w:val="32"/>
          <w:szCs w:val="32"/>
        </w:rPr>
        <w:t>全部为财政拨款收入。</w:t>
      </w:r>
    </w:p>
    <w:p w14:paraId="77BBE531">
      <w:pPr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ascii="方正楷体简体" w:hAnsi="Times New Roman" w:eastAsia="方正楷体简体" w:cs="Times New Roman"/>
          <w:sz w:val="32"/>
          <w:szCs w:val="32"/>
        </w:rPr>
        <w:t>2.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支出说明</w:t>
      </w:r>
    </w:p>
    <w:p w14:paraId="24AD484A">
      <w:pPr>
        <w:rPr>
          <w:rFonts w:ascii="方正仿宋简体" w:hAnsi="??_GB2312" w:eastAsia="方正仿宋简体" w:cs="??_GB2312"/>
          <w:sz w:val="32"/>
          <w:szCs w:val="32"/>
        </w:rPr>
      </w:pPr>
      <w:r>
        <w:rPr>
          <w:rFonts w:ascii="方正仿宋简体" w:hAnsi="Times New Roman" w:eastAsia="方正仿宋简体" w:cs="Times New Roman"/>
          <w:sz w:val="32"/>
          <w:szCs w:val="32"/>
        </w:rPr>
        <w:t xml:space="preserve">    </w:t>
      </w:r>
      <w:r>
        <w:rPr>
          <w:rFonts w:ascii="方正仿宋简体" w:hAnsi="??_GB2312" w:eastAsia="方正仿宋简体" w:cs="??_GB2312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sz w:val="32"/>
          <w:szCs w:val="32"/>
        </w:rPr>
        <w:t>收支预算总表支出栏、基本支出表、项目支出表按经济分类和支出功能分类科目编制，反映</w:t>
      </w:r>
      <w:r>
        <w:rPr>
          <w:rFonts w:hint="eastAsia" w:ascii="方正仿宋简体" w:hAnsi="宋体" w:eastAsia="方正仿宋简体" w:cs="宋体"/>
          <w:sz w:val="32"/>
        </w:rPr>
        <w:t>中国共产党唐山市曹妃甸区委员会区直机关工作委员会</w:t>
      </w:r>
      <w:r>
        <w:rPr>
          <w:rFonts w:hint="eastAsia" w:ascii="方正仿宋简体" w:hAnsi="宋体" w:eastAsia="方正仿宋简体" w:cs="宋体"/>
          <w:sz w:val="32"/>
          <w:szCs w:val="32"/>
        </w:rPr>
        <w:t>年度部门预算中支出预算的总体情况。</w:t>
      </w:r>
      <w:r>
        <w:rPr>
          <w:rFonts w:ascii="方正仿宋简体" w:hAnsi="??_GB2312" w:eastAsia="方正仿宋简体" w:cs="??_GB2312"/>
          <w:sz w:val="32"/>
          <w:szCs w:val="32"/>
        </w:rPr>
        <w:t>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年部门支出预算为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233.71</w:t>
      </w:r>
      <w:r>
        <w:rPr>
          <w:rFonts w:hint="eastAsia" w:ascii="方正仿宋简体" w:hAnsi="宋体" w:eastAsia="方正仿宋简体" w:cs="宋体"/>
          <w:sz w:val="32"/>
          <w:szCs w:val="32"/>
        </w:rPr>
        <w:t>万元，其中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：</w:t>
      </w:r>
      <w:r>
        <w:rPr>
          <w:rFonts w:hint="eastAsia" w:ascii="方正仿宋简体" w:hAnsi="宋体" w:eastAsia="方正仿宋简体" w:cs="宋体"/>
          <w:sz w:val="32"/>
          <w:szCs w:val="32"/>
        </w:rPr>
        <w:t>基本支出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202.18</w:t>
      </w:r>
      <w:r>
        <w:rPr>
          <w:rFonts w:hint="eastAsia" w:ascii="方正仿宋简体" w:hAnsi="宋体" w:eastAsia="方正仿宋简体" w:cs="宋体"/>
          <w:sz w:val="32"/>
          <w:szCs w:val="32"/>
        </w:rPr>
        <w:t>万元，包括人员经费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167.48</w:t>
      </w:r>
      <w:r>
        <w:rPr>
          <w:rFonts w:hint="eastAsia" w:ascii="方正仿宋简体" w:hAnsi="宋体" w:eastAsia="方正仿宋简体" w:cs="宋体"/>
          <w:sz w:val="32"/>
          <w:szCs w:val="32"/>
        </w:rPr>
        <w:t>万元和公用经费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34.70</w:t>
      </w:r>
      <w:r>
        <w:rPr>
          <w:rFonts w:hint="eastAsia" w:ascii="方正仿宋简体" w:hAnsi="宋体" w:eastAsia="方正仿宋简体" w:cs="宋体"/>
          <w:sz w:val="32"/>
          <w:szCs w:val="32"/>
        </w:rPr>
        <w:t>万元；项目支出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31.53</w:t>
      </w:r>
      <w:r>
        <w:rPr>
          <w:rFonts w:hint="eastAsia" w:ascii="方正仿宋简体" w:hAnsi="宋体" w:eastAsia="方正仿宋简体" w:cs="宋体"/>
          <w:sz w:val="32"/>
          <w:szCs w:val="32"/>
        </w:rPr>
        <w:t>万元，全部为本级支出。</w:t>
      </w:r>
    </w:p>
    <w:p w14:paraId="25D3EE2E">
      <w:pPr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ascii="方正楷体简体" w:hAnsi="Times New Roman" w:eastAsia="方正楷体简体" w:cs="Times New Roman"/>
          <w:sz w:val="32"/>
          <w:szCs w:val="32"/>
        </w:rPr>
        <w:t>3.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比上年增减情况</w:t>
      </w:r>
    </w:p>
    <w:p w14:paraId="28672B52">
      <w:pPr>
        <w:rPr>
          <w:rFonts w:hint="eastAsia" w:ascii="方正仿宋简体" w:hAnsi="??_GB2312" w:eastAsia="方正仿宋简体" w:cs="??_GB2312"/>
          <w:sz w:val="32"/>
          <w:szCs w:val="32"/>
          <w:lang w:eastAsia="zh-CN"/>
        </w:rPr>
      </w:pPr>
      <w:r>
        <w:rPr>
          <w:rFonts w:ascii="方正仿宋简体" w:hAnsi="Times New Roman" w:eastAsia="方正仿宋简体" w:cs="Times New Roman"/>
          <w:sz w:val="32"/>
          <w:szCs w:val="32"/>
        </w:rPr>
        <w:t xml:space="preserve">   </w:t>
      </w:r>
      <w:r>
        <w:rPr>
          <w:rFonts w:ascii="方正仿宋简体" w:hAnsi="??_GB2312" w:eastAsia="方正仿宋简体" w:cs="??_GB2312"/>
          <w:sz w:val="32"/>
          <w:szCs w:val="32"/>
        </w:rPr>
        <w:t xml:space="preserve"> 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3</w:t>
      </w:r>
      <w:r>
        <w:rPr>
          <w:rFonts w:hint="eastAsia" w:ascii="方正仿宋简体" w:hAnsi="??_GB2312" w:eastAsia="方正仿宋简体" w:cs="??_GB2312"/>
          <w:sz w:val="32"/>
          <w:szCs w:val="32"/>
        </w:rPr>
        <w:t>年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单位</w:t>
      </w:r>
      <w:r>
        <w:rPr>
          <w:rFonts w:hint="eastAsia" w:ascii="方正仿宋简体" w:hAnsi="??_GB2312" w:eastAsia="方正仿宋简体" w:cs="??_GB2312"/>
          <w:sz w:val="32"/>
          <w:szCs w:val="32"/>
        </w:rPr>
        <w:t>预算较</w:t>
      </w:r>
      <w:r>
        <w:rPr>
          <w:rFonts w:ascii="方正仿宋简体" w:hAnsi="??_GB2312" w:eastAsia="方正仿宋简体" w:cs="??_GB2312"/>
          <w:sz w:val="32"/>
          <w:szCs w:val="32"/>
        </w:rPr>
        <w:t>20</w:t>
      </w:r>
      <w:r>
        <w:rPr>
          <w:rFonts w:hint="eastAsia" w:ascii="方正仿宋简体" w:hAnsi="??_GB2312" w:eastAsia="方正仿宋简体" w:cs="??_GB2312"/>
          <w:sz w:val="32"/>
          <w:szCs w:val="32"/>
        </w:rPr>
        <w:t>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</w:t>
      </w:r>
      <w:r>
        <w:rPr>
          <w:rFonts w:hint="eastAsia" w:ascii="方正仿宋简体" w:hAnsi="??_GB2312" w:eastAsia="方正仿宋简体" w:cs="??_GB2312"/>
          <w:sz w:val="32"/>
          <w:szCs w:val="32"/>
        </w:rPr>
        <w:t>年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增加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41.14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万元，主要是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增加</w:t>
      </w:r>
      <w:r>
        <w:rPr>
          <w:rFonts w:hint="eastAsia" w:ascii="方正仿宋简体" w:hAnsi="??_GB2312" w:eastAsia="方正仿宋简体" w:cs="??_GB2312"/>
          <w:sz w:val="32"/>
          <w:szCs w:val="32"/>
        </w:rPr>
        <w:t>人员经费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48.12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，原因为人员增资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。</w:t>
      </w:r>
      <w:r>
        <w:rPr>
          <w:rFonts w:hint="eastAsia" w:ascii="方正仿宋简体" w:hAnsi="??_GB2312" w:eastAsia="方正仿宋简体" w:cs="??_GB2312"/>
          <w:sz w:val="32"/>
          <w:szCs w:val="32"/>
        </w:rPr>
        <w:t>公用经费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增加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0.9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</w:t>
      </w:r>
      <w:r>
        <w:rPr>
          <w:rFonts w:ascii="方正仿宋简体" w:hAnsi="??_GB2312" w:eastAsia="方正仿宋简体" w:cs="??_GB2312"/>
          <w:sz w:val="32"/>
          <w:szCs w:val="32"/>
        </w:rPr>
        <w:t>,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原因为工会经费增加。</w:t>
      </w:r>
      <w:r>
        <w:rPr>
          <w:rFonts w:hint="eastAsia" w:ascii="方正仿宋简体" w:hAnsi="??_GB2312" w:eastAsia="方正仿宋简体" w:cs="??_GB2312"/>
          <w:sz w:val="32"/>
          <w:szCs w:val="32"/>
        </w:rPr>
        <w:t>项目支出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减少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7.88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。原因为财政压减项目经费。</w:t>
      </w:r>
    </w:p>
    <w:p w14:paraId="210FC634">
      <w:pPr>
        <w:numPr>
          <w:ilvl w:val="0"/>
          <w:numId w:val="2"/>
        </w:numPr>
        <w:autoSpaceDE w:val="0"/>
        <w:autoSpaceDN w:val="0"/>
        <w:adjustRightInd w:val="0"/>
        <w:ind w:firstLine="641" w:firstLineChars="200"/>
        <w:jc w:val="left"/>
        <w:rPr>
          <w:rFonts w:ascii="方正黑体简体" w:hAnsi="黑体" w:eastAsia="方正黑体简体" w:cs="Times New Roman"/>
          <w:b/>
          <w:bCs/>
          <w:sz w:val="32"/>
          <w:szCs w:val="32"/>
        </w:rPr>
      </w:pPr>
      <w:r>
        <w:rPr>
          <w:rFonts w:hint="eastAsia" w:ascii="方正黑体简体" w:hAnsi="黑体" w:eastAsia="方正黑体简体" w:cs="Times New Roman"/>
          <w:b/>
          <w:bCs/>
          <w:sz w:val="32"/>
          <w:szCs w:val="32"/>
        </w:rPr>
        <w:t>机关运行经费安排情况</w:t>
      </w:r>
    </w:p>
    <w:p w14:paraId="6E64A0E8">
      <w:pPr>
        <w:autoSpaceDE w:val="0"/>
        <w:autoSpaceDN w:val="0"/>
        <w:adjustRightInd w:val="0"/>
        <w:ind w:left="198" w:firstLine="640" w:firstLineChars="200"/>
        <w:jc w:val="left"/>
        <w:rPr>
          <w:rFonts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机关运行经费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2023年</w:t>
      </w:r>
      <w:r>
        <w:rPr>
          <w:rFonts w:hint="eastAsia" w:ascii="方正仿宋简体" w:hAnsi="宋体" w:eastAsia="方正仿宋简体" w:cs="宋体"/>
          <w:sz w:val="32"/>
          <w:szCs w:val="32"/>
        </w:rPr>
        <w:t>共计安排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34.70</w:t>
      </w:r>
      <w:r>
        <w:rPr>
          <w:rFonts w:hint="eastAsia" w:ascii="方正仿宋简体" w:hAnsi="宋体" w:eastAsia="方正仿宋简体" w:cs="宋体"/>
          <w:sz w:val="32"/>
          <w:szCs w:val="32"/>
        </w:rPr>
        <w:t>万元，主要用于保证机关正常运转的办公及印刷费、邮电费、差旅费、培训费、会议费、工会活动经费，福利费、一般设备购置费、公务车运行维护费等支出。</w:t>
      </w:r>
    </w:p>
    <w:p w14:paraId="0DD7C79B">
      <w:pPr>
        <w:autoSpaceDE w:val="0"/>
        <w:autoSpaceDN w:val="0"/>
        <w:adjustRightInd w:val="0"/>
        <w:ind w:firstLine="641" w:firstLineChars="200"/>
        <w:jc w:val="left"/>
        <w:rPr>
          <w:rFonts w:ascii="方正黑体简体" w:hAnsi="黑体" w:eastAsia="方正黑体简体" w:cs="Times New Roman"/>
          <w:b/>
          <w:bCs/>
          <w:sz w:val="32"/>
          <w:szCs w:val="32"/>
        </w:rPr>
      </w:pPr>
      <w:r>
        <w:rPr>
          <w:rFonts w:hint="eastAsia" w:ascii="方正黑体简体" w:hAnsi="黑体" w:eastAsia="方正黑体简体" w:cs="Times New Roman"/>
          <w:b/>
          <w:bCs/>
          <w:sz w:val="32"/>
          <w:szCs w:val="32"/>
        </w:rPr>
        <w:t>四、财政拨款“三公”经费预算情况及增减变化原因</w:t>
      </w:r>
    </w:p>
    <w:p w14:paraId="258E49B2">
      <w:pPr>
        <w:autoSpaceDE w:val="0"/>
        <w:autoSpaceDN w:val="0"/>
        <w:adjustRightInd w:val="0"/>
        <w:ind w:left="198" w:firstLine="640" w:firstLineChars="200"/>
        <w:jc w:val="left"/>
        <w:rPr>
          <w:rFonts w:ascii="方正仿宋简体" w:hAnsi="??_GB2312" w:eastAsia="方正仿宋简体" w:cs="??_GB2312"/>
          <w:sz w:val="32"/>
          <w:szCs w:val="32"/>
        </w:rPr>
      </w:pPr>
      <w:r>
        <w:rPr>
          <w:rFonts w:ascii="方正仿宋简体" w:hAnsi="??_GB2312" w:eastAsia="方正仿宋简体" w:cs="??_GB2312"/>
          <w:sz w:val="32"/>
          <w:szCs w:val="32"/>
        </w:rPr>
        <w:t>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年，财政拨款</w:t>
      </w:r>
      <w:r>
        <w:rPr>
          <w:rFonts w:hint="eastAsia" w:ascii="方正仿宋简体" w:hAnsi="??_GB2312" w:eastAsia="方正仿宋简体" w:cs="??_GB2312"/>
          <w:sz w:val="32"/>
          <w:szCs w:val="32"/>
        </w:rPr>
        <w:t>“</w:t>
      </w:r>
      <w:r>
        <w:rPr>
          <w:rFonts w:hint="eastAsia" w:ascii="方正仿宋简体" w:hAnsi="宋体" w:eastAsia="方正仿宋简体" w:cs="宋体"/>
          <w:sz w:val="32"/>
          <w:szCs w:val="32"/>
        </w:rPr>
        <w:t>三公</w:t>
      </w:r>
      <w:r>
        <w:rPr>
          <w:rFonts w:hint="eastAsia" w:ascii="方正仿宋简体" w:hAnsi="??_GB2312" w:eastAsia="方正仿宋简体" w:cs="??_GB2312"/>
          <w:sz w:val="32"/>
          <w:szCs w:val="32"/>
        </w:rPr>
        <w:t>”</w:t>
      </w:r>
      <w:r>
        <w:rPr>
          <w:rFonts w:hint="eastAsia" w:ascii="方正仿宋简体" w:hAnsi="宋体" w:eastAsia="方正仿宋简体" w:cs="宋体"/>
          <w:sz w:val="32"/>
          <w:szCs w:val="32"/>
        </w:rPr>
        <w:t>经费预算安排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万元与</w:t>
      </w:r>
      <w:r>
        <w:rPr>
          <w:rFonts w:ascii="方正仿宋简体" w:hAnsi="??_GB2312" w:eastAsia="方正仿宋简体" w:cs="??_GB2312"/>
          <w:sz w:val="32"/>
          <w:szCs w:val="32"/>
        </w:rPr>
        <w:t>20</w:t>
      </w:r>
      <w:r>
        <w:rPr>
          <w:rFonts w:hint="eastAsia" w:ascii="方正仿宋简体" w:hAnsi="??_GB2312" w:eastAsia="方正仿宋简体" w:cs="??_GB2312"/>
          <w:sz w:val="32"/>
          <w:szCs w:val="32"/>
        </w:rPr>
        <w:t>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</w:t>
      </w:r>
      <w:r>
        <w:rPr>
          <w:rFonts w:hint="eastAsia" w:ascii="方正仿宋简体" w:hAnsi="??_GB2312" w:eastAsia="方正仿宋简体" w:cs="??_GB2312"/>
          <w:sz w:val="32"/>
          <w:szCs w:val="32"/>
        </w:rPr>
        <w:t>年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持平</w:t>
      </w:r>
      <w:r>
        <w:rPr>
          <w:rFonts w:hint="eastAsia" w:ascii="方正仿宋简体" w:hAnsi="宋体" w:eastAsia="方正仿宋简体" w:cs="宋体"/>
          <w:sz w:val="32"/>
          <w:szCs w:val="32"/>
        </w:rPr>
        <w:t>，其中：因公出国（境）费</w:t>
      </w:r>
      <w:r>
        <w:rPr>
          <w:rFonts w:ascii="方正仿宋简体" w:hAnsi="??_GB2312" w:eastAsia="方正仿宋简体" w:cs="??_GB2312"/>
          <w:sz w:val="32"/>
          <w:szCs w:val="32"/>
        </w:rPr>
        <w:t>0</w:t>
      </w:r>
      <w:r>
        <w:rPr>
          <w:rFonts w:hint="eastAsia" w:ascii="方正仿宋简体" w:hAnsi="宋体" w:eastAsia="方正仿宋简体" w:cs="宋体"/>
          <w:sz w:val="32"/>
          <w:szCs w:val="32"/>
        </w:rPr>
        <w:t>万元与上年持平；公务用车购置及运维费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万元（其中公务用车购置</w:t>
      </w:r>
      <w:r>
        <w:rPr>
          <w:rFonts w:ascii="方正仿宋简体" w:hAnsi="宋体" w:eastAsia="方正仿宋简体" w:cs="宋体"/>
          <w:sz w:val="32"/>
          <w:szCs w:val="32"/>
        </w:rPr>
        <w:t>0</w:t>
      </w:r>
      <w:r>
        <w:rPr>
          <w:rFonts w:hint="eastAsia" w:ascii="方正仿宋简体" w:hAnsi="宋体" w:eastAsia="方正仿宋简体" w:cs="宋体"/>
          <w:sz w:val="32"/>
          <w:szCs w:val="32"/>
        </w:rPr>
        <w:t>元，公务用车运行维护费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万元）与上年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持平</w:t>
      </w:r>
      <w:r>
        <w:rPr>
          <w:rFonts w:hint="eastAsia" w:ascii="方正仿宋简体" w:hAnsi="宋体" w:eastAsia="方正仿宋简体" w:cs="宋体"/>
          <w:sz w:val="32"/>
          <w:szCs w:val="32"/>
        </w:rPr>
        <w:t>；公务接待费</w:t>
      </w:r>
      <w:r>
        <w:rPr>
          <w:rFonts w:ascii="方正仿宋简体" w:hAnsi="??_GB2312" w:eastAsia="方正仿宋简体" w:cs="??_GB2312"/>
          <w:sz w:val="32"/>
          <w:szCs w:val="32"/>
        </w:rPr>
        <w:t>0</w:t>
      </w:r>
      <w:r>
        <w:rPr>
          <w:rFonts w:hint="eastAsia" w:ascii="方正仿宋简体" w:hAnsi="宋体" w:eastAsia="方正仿宋简体" w:cs="宋体"/>
          <w:sz w:val="32"/>
          <w:szCs w:val="32"/>
        </w:rPr>
        <w:t>万元，与上年持平。</w:t>
      </w:r>
    </w:p>
    <w:p w14:paraId="37C1308C">
      <w:pPr>
        <w:autoSpaceDE w:val="0"/>
        <w:autoSpaceDN w:val="0"/>
        <w:adjustRightInd w:val="0"/>
        <w:ind w:firstLine="641" w:firstLineChars="200"/>
        <w:jc w:val="left"/>
        <w:rPr>
          <w:rFonts w:ascii="方正黑体简体" w:hAnsi="黑体" w:eastAsia="方正黑体简体" w:cs="Times New Roman"/>
          <w:b/>
          <w:bCs/>
          <w:sz w:val="32"/>
          <w:szCs w:val="32"/>
        </w:rPr>
      </w:pPr>
      <w:r>
        <w:rPr>
          <w:rFonts w:hint="eastAsia" w:ascii="方正黑体简体" w:hAnsi="黑体" w:eastAsia="方正黑体简体" w:cs="Times New Roman"/>
          <w:b/>
          <w:bCs/>
          <w:sz w:val="32"/>
          <w:szCs w:val="32"/>
        </w:rPr>
        <w:t>五、绩效预算信息</w:t>
      </w:r>
    </w:p>
    <w:p w14:paraId="0B1A2484">
      <w:pPr>
        <w:ind w:firstLine="643" w:firstLineChars="200"/>
        <w:jc w:val="left"/>
        <w:rPr>
          <w:rFonts w:ascii="方正仿宋简体" w:hAnsi="Times New Roman" w:eastAsia="方正仿宋简体" w:cs="Times New Roman"/>
          <w:b/>
          <w:sz w:val="32"/>
          <w:szCs w:val="32"/>
        </w:rPr>
      </w:pPr>
      <w:r>
        <w:rPr>
          <w:rFonts w:ascii="方正仿宋简体" w:hAnsi="Times New Roman" w:eastAsia="方正仿宋简体" w:cs="Times New Roman"/>
          <w:b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b/>
          <w:sz w:val="32"/>
          <w:szCs w:val="32"/>
        </w:rPr>
        <w:t>总体绩效目标：</w:t>
      </w:r>
    </w:p>
    <w:p w14:paraId="6489E102">
      <w:pPr>
        <w:ind w:firstLine="56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宋体" w:eastAsia="方正仿宋简体"/>
          <w:szCs w:val="21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贯彻落实新时代党的建设总要求和新时代党的组织路线，</w:t>
      </w:r>
      <w:r>
        <w:rPr>
          <w:rFonts w:hint="eastAsia" w:ascii="方正仿宋简体" w:hAnsi="宋体" w:eastAsia="方正仿宋简体" w:cs="宋体"/>
          <w:sz w:val="32"/>
          <w:szCs w:val="32"/>
        </w:rPr>
        <w:t>紧扣“围绕中心、建设队伍、服务群众”的核心任务，以党的政治建设为统领，</w:t>
      </w:r>
      <w:r>
        <w:rPr>
          <w:rFonts w:hint="eastAsia" w:ascii="方正仿宋简体" w:eastAsia="方正仿宋简体"/>
          <w:sz w:val="32"/>
          <w:szCs w:val="32"/>
        </w:rPr>
        <w:t>着力深化理论武装，着力夯实基层基础，着力推进正风肃纪，着力压实工作责任。促进党建工作与业务工作深度融合，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充分发挥机关党建在推进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国家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治理体系和治理能力现代化、推动曹妃甸区经济发展中的重要作用。</w:t>
      </w:r>
    </w:p>
    <w:p w14:paraId="0FF89B14">
      <w:pPr>
        <w:ind w:firstLine="56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BD797A9">
      <w:pPr>
        <w:rPr>
          <w:rFonts w:hint="eastAsia" w:ascii="方正仿宋简体" w:hAnsi="宋体" w:eastAsia="方正仿宋简体" w:cs="宋体"/>
          <w:b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sz w:val="32"/>
          <w:szCs w:val="32"/>
        </w:rPr>
        <w:t>职责分类绩效目标：</w:t>
      </w:r>
    </w:p>
    <w:p w14:paraId="02BC4EE4">
      <w:pPr>
        <w:ind w:firstLine="5120" w:firstLineChars="1600"/>
        <w:jc w:val="both"/>
        <w:outlineLvl w:val="0"/>
        <w:rPr>
          <w:rFonts w:ascii="方正小标宋_GBK" w:eastAsia="方正小标宋_GBK"/>
          <w:sz w:val="32"/>
        </w:rPr>
      </w:pPr>
      <w:bookmarkStart w:id="0" w:name="_Toc508120385"/>
      <w:r>
        <w:rPr>
          <w:rFonts w:hint="eastAsia" w:ascii="方正小标宋_GBK" w:eastAsia="方正小标宋_GBK"/>
          <w:sz w:val="32"/>
        </w:rPr>
        <w:t>部门职责</w:t>
      </w:r>
      <w:r>
        <w:rPr>
          <w:rFonts w:ascii="方正小标宋_GBK" w:eastAsia="方正小标宋_GBK"/>
          <w:sz w:val="32"/>
        </w:rPr>
        <w:t>-</w:t>
      </w:r>
      <w:r>
        <w:rPr>
          <w:rFonts w:hint="eastAsia" w:ascii="方正小标宋_GBK" w:eastAsia="方正小标宋_GBK"/>
          <w:sz w:val="32"/>
        </w:rPr>
        <w:t>工作活动绩效目标</w:t>
      </w:r>
      <w:bookmarkEnd w:id="0"/>
    </w:p>
    <w:tbl>
      <w:tblPr>
        <w:tblStyle w:val="9"/>
        <w:tblW w:w="145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276"/>
        <w:gridCol w:w="2976"/>
        <w:gridCol w:w="2976"/>
        <w:gridCol w:w="1417"/>
        <w:gridCol w:w="894"/>
        <w:gridCol w:w="800"/>
        <w:gridCol w:w="767"/>
        <w:gridCol w:w="950"/>
      </w:tblGrid>
      <w:tr w14:paraId="0E3D8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1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6A3B33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286</w:t>
            </w:r>
            <w:r>
              <w:rPr>
                <w:rFonts w:hint="eastAsia" w:ascii="方正小标宋_GBK" w:eastAsia="方正小标宋_GBK"/>
                <w:sz w:val="24"/>
              </w:rPr>
              <w:t>曹妃甸区直机关工委</w:t>
            </w:r>
          </w:p>
        </w:tc>
        <w:tc>
          <w:tcPr>
            <w:tcW w:w="3411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9E0D30F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4F6BA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84" w:type="dxa"/>
            <w:vMerge w:val="restart"/>
            <w:vAlign w:val="center"/>
          </w:tcPr>
          <w:p w14:paraId="09CA20D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 w14:paraId="22ECD21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 w14:paraId="4BC0091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 w14:paraId="7030D60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 w14:paraId="3986DC8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3411" w:type="dxa"/>
            <w:gridSpan w:val="4"/>
            <w:vAlign w:val="center"/>
          </w:tcPr>
          <w:p w14:paraId="5A4960E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 w14:paraId="155B1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84" w:type="dxa"/>
            <w:vMerge w:val="continue"/>
            <w:vAlign w:val="center"/>
          </w:tcPr>
          <w:p w14:paraId="439DEF2F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vAlign w:val="center"/>
          </w:tcPr>
          <w:p w14:paraId="74A8EF00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 w14:paraId="71B2DD02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 w14:paraId="51E513D7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 w:val="continue"/>
            <w:vAlign w:val="center"/>
          </w:tcPr>
          <w:p w14:paraId="6DC3C469">
            <w:pPr>
              <w:spacing w:line="300" w:lineRule="exact"/>
              <w:jc w:val="left"/>
              <w:outlineLvl w:val="0"/>
            </w:pPr>
          </w:p>
        </w:tc>
        <w:tc>
          <w:tcPr>
            <w:tcW w:w="894" w:type="dxa"/>
            <w:vAlign w:val="center"/>
          </w:tcPr>
          <w:p w14:paraId="7E460B2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800" w:type="dxa"/>
            <w:vAlign w:val="center"/>
          </w:tcPr>
          <w:p w14:paraId="616AA10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67" w:type="dxa"/>
            <w:vAlign w:val="center"/>
          </w:tcPr>
          <w:p w14:paraId="6D3B2B3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950" w:type="dxa"/>
            <w:vAlign w:val="center"/>
          </w:tcPr>
          <w:p w14:paraId="6445E4E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 w14:paraId="224F9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84" w:type="dxa"/>
            <w:vAlign w:val="center"/>
          </w:tcPr>
          <w:p w14:paraId="5DEACE9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一、机关党组织活动经费</w:t>
            </w:r>
          </w:p>
        </w:tc>
        <w:tc>
          <w:tcPr>
            <w:tcW w:w="1276" w:type="dxa"/>
            <w:vAlign w:val="center"/>
          </w:tcPr>
          <w:p w14:paraId="13935C73"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28.25万元</w:t>
            </w:r>
          </w:p>
        </w:tc>
        <w:tc>
          <w:tcPr>
            <w:tcW w:w="2976" w:type="dxa"/>
            <w:vAlign w:val="center"/>
          </w:tcPr>
          <w:p w14:paraId="3A353DDD">
            <w:pPr>
              <w:pStyle w:val="19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按照《市委关于贯彻&lt;条例〉的实施细则》要求，依据：市委《关于贯彻&lt;中国共产党党和国家机关基层组织工作条例&gt;的实施细则》的通知、《中国共产党发展党员工作细则》。工委统筹使用党组织活动经费，用于基层党组织创建；党员和党务工作者的培训；举办入党积极分子培训班；组织新党员培训；表彰优秀党员、优秀党务工作者和优秀基层党组织；购置图书印制党员教育材料、电教设备；党员活动室建设；聘请专家授课，开展“两学一做”学习教育；对区直机关困难职工进行调查摸底，春节前夕完成的慰问工作。</w:t>
            </w:r>
          </w:p>
          <w:p w14:paraId="5E1612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14:paraId="2732634B">
            <w:pPr>
              <w:pStyle w:val="19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、开展主题教育2次。2、创建党建示范点13个。3、培训党务干部300人次；4、举办1-2期入党积极分子培训班。5、开展“两优一先”评选活动。6、组织新党员到爱国主义教育基地接受传统教育，并举行集体入党宣誓仪式。</w:t>
            </w:r>
          </w:p>
          <w:p w14:paraId="1D4DB45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14:paraId="0BBD4A0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综合业务工作完成率</w:t>
            </w:r>
          </w:p>
        </w:tc>
        <w:tc>
          <w:tcPr>
            <w:tcW w:w="894" w:type="dxa"/>
            <w:vAlign w:val="center"/>
          </w:tcPr>
          <w:p w14:paraId="35C0AE5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hint="eastAsia" w:ascii="方正书宋_GBK" w:eastAsia="方正书宋_GBK"/>
                <w:lang w:val="en-US" w:eastAsia="zh-CN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800" w:type="dxa"/>
            <w:vAlign w:val="center"/>
          </w:tcPr>
          <w:p w14:paraId="5752EA4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hint="eastAsia" w:ascii="方正书宋_GBK" w:eastAsia="方正书宋_GBK"/>
                <w:lang w:val="en-US" w:eastAsia="zh-CN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767" w:type="dxa"/>
            <w:vAlign w:val="center"/>
          </w:tcPr>
          <w:p w14:paraId="19E9DA0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hint="eastAsia" w:ascii="方正书宋_GBK" w:eastAsia="方正书宋_GBK"/>
                <w:lang w:val="en-US" w:eastAsia="zh-CN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950" w:type="dxa"/>
            <w:vAlign w:val="center"/>
          </w:tcPr>
          <w:p w14:paraId="1BD2EF2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</w:t>
            </w:r>
            <w:r>
              <w:rPr>
                <w:rFonts w:hint="eastAsia" w:ascii="方正书宋_GBK" w:eastAsia="方正书宋_GBK"/>
                <w:lang w:val="en-US" w:eastAsia="zh-CN"/>
              </w:rPr>
              <w:t>90</w:t>
            </w:r>
            <w:r>
              <w:rPr>
                <w:rFonts w:ascii="方正书宋_GBK" w:eastAsia="方正书宋_GBK"/>
              </w:rPr>
              <w:t>%</w:t>
            </w:r>
          </w:p>
        </w:tc>
      </w:tr>
      <w:tr w14:paraId="1C952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2484" w:type="dxa"/>
            <w:vAlign w:val="center"/>
          </w:tcPr>
          <w:p w14:paraId="756F64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  <w:lang w:val="en-US" w:eastAsia="zh-CN"/>
              </w:rPr>
              <w:t>二、</w:t>
            </w:r>
            <w:r>
              <w:rPr>
                <w:rFonts w:hint="eastAsia" w:ascii="方正书宋_GBK" w:eastAsia="方正书宋_GBK"/>
                <w:b/>
              </w:rPr>
              <w:t>机关团工作活动经费</w:t>
            </w:r>
          </w:p>
        </w:tc>
        <w:tc>
          <w:tcPr>
            <w:tcW w:w="1276" w:type="dxa"/>
            <w:vAlign w:val="center"/>
          </w:tcPr>
          <w:p w14:paraId="58A0030F"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3.28万元</w:t>
            </w:r>
          </w:p>
        </w:tc>
        <w:tc>
          <w:tcPr>
            <w:tcW w:w="2976" w:type="dxa"/>
            <w:vAlign w:val="center"/>
          </w:tcPr>
          <w:p w14:paraId="543460BF">
            <w:pPr>
              <w:pStyle w:val="19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加强群团组织建设，开展机关团干部培训和青年志愿者活动。组织所属支部全体团干部举办党的二十大精神座谈培训会。</w:t>
            </w:r>
          </w:p>
          <w:p w14:paraId="6671BDC7">
            <w:pPr>
              <w:pStyle w:val="19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</w:p>
          <w:p w14:paraId="1519A2A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14:paraId="61CBBCBD">
            <w:pPr>
              <w:pStyle w:val="19"/>
              <w:ind w:left="0" w:leftChars="0" w:firstLine="0" w:firstLineChars="0"/>
              <w:rPr>
                <w:rFonts w:ascii="方正书宋_GBK" w:eastAsia="方正书宋_GBK"/>
              </w:rPr>
            </w:pP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组织开展志愿活动4次。</w:t>
            </w:r>
          </w:p>
        </w:tc>
        <w:tc>
          <w:tcPr>
            <w:tcW w:w="1417" w:type="dxa"/>
            <w:vAlign w:val="center"/>
          </w:tcPr>
          <w:p w14:paraId="10189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综合业务工作完成率</w:t>
            </w:r>
          </w:p>
        </w:tc>
        <w:tc>
          <w:tcPr>
            <w:tcW w:w="894" w:type="dxa"/>
            <w:vAlign w:val="center"/>
          </w:tcPr>
          <w:p w14:paraId="6BBB3EF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800" w:type="dxa"/>
            <w:vAlign w:val="center"/>
          </w:tcPr>
          <w:p w14:paraId="54B5B5D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67" w:type="dxa"/>
            <w:vAlign w:val="center"/>
          </w:tcPr>
          <w:p w14:paraId="15B1509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950" w:type="dxa"/>
            <w:vAlign w:val="center"/>
          </w:tcPr>
          <w:p w14:paraId="0107FBE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</w:tbl>
    <w:p w14:paraId="58AC7805">
      <w:pPr>
        <w:spacing w:line="300" w:lineRule="exact"/>
        <w:jc w:val="left"/>
        <w:outlineLvl w:val="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p w14:paraId="13D997F3">
      <w:pPr>
        <w:autoSpaceDE w:val="0"/>
        <w:autoSpaceDN w:val="0"/>
        <w:adjustRightInd w:val="0"/>
        <w:ind w:firstLine="641" w:firstLineChars="200"/>
        <w:jc w:val="left"/>
        <w:rPr>
          <w:rFonts w:hint="eastAsia" w:ascii="方正黑体简体" w:hAnsi="黑体" w:eastAsia="方正黑体简体" w:cs="Times New Roman"/>
          <w:b/>
          <w:bCs/>
          <w:sz w:val="32"/>
          <w:szCs w:val="32"/>
        </w:rPr>
      </w:pPr>
      <w:r>
        <w:rPr>
          <w:rFonts w:hint="eastAsia" w:ascii="方正黑体简体" w:hAnsi="黑体" w:eastAsia="方正黑体简体" w:cs="Times New Roman"/>
          <w:b/>
          <w:bCs/>
          <w:sz w:val="32"/>
          <w:szCs w:val="32"/>
        </w:rPr>
        <w:t>六、政府采购预算情况</w:t>
      </w:r>
    </w:p>
    <w:p w14:paraId="3FABCD69">
      <w:pPr>
        <w:pStyle w:val="19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宋体" w:eastAsia="方正仿宋简体"/>
          <w:szCs w:val="21"/>
        </w:rPr>
        <w:t xml:space="preserve"> </w:t>
      </w:r>
      <w:r>
        <w:rPr>
          <w:rFonts w:hint="eastAsia" w:ascii="方正仿宋简体" w:hAnsi="??_GB2312" w:eastAsia="方正仿宋简体" w:cs="??_GB2312"/>
          <w:sz w:val="32"/>
          <w:szCs w:val="32"/>
        </w:rPr>
        <w:t>本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单位</w:t>
      </w:r>
      <w:r>
        <w:rPr>
          <w:rFonts w:hint="eastAsia" w:ascii="方正仿宋简体" w:hAnsi="??_GB2312" w:eastAsia="方正仿宋简体" w:cs="??_GB2312"/>
          <w:sz w:val="32"/>
          <w:szCs w:val="32"/>
        </w:rPr>
        <w:t>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3</w:t>
      </w:r>
      <w:r>
        <w:rPr>
          <w:rFonts w:hint="eastAsia" w:ascii="方正仿宋简体" w:hAnsi="??_GB2312" w:eastAsia="方正仿宋简体" w:cs="??_GB2312"/>
          <w:sz w:val="32"/>
          <w:szCs w:val="32"/>
        </w:rPr>
        <w:t>年安排政府采购预算0万元。因采购项目、采购物品、采购数量、采购金额未超政府采购限额，202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3</w:t>
      </w:r>
      <w:r>
        <w:rPr>
          <w:rFonts w:hint="eastAsia" w:ascii="方正仿宋简体" w:hAnsi="??_GB2312" w:eastAsia="方正仿宋简体" w:cs="??_GB2312"/>
          <w:sz w:val="32"/>
          <w:szCs w:val="32"/>
        </w:rPr>
        <w:t>年度未安排政府采购预算。政府采购预算情况为，采购项目为0、采购物品为0、采购数量0、采购金额0。</w:t>
      </w:r>
    </w:p>
    <w:tbl>
      <w:tblPr>
        <w:tblStyle w:val="9"/>
        <w:tblpPr w:leftFromText="180" w:rightFromText="180" w:vertAnchor="text" w:horzAnchor="page" w:tblpX="1123" w:tblpY="596"/>
        <w:tblOverlap w:val="never"/>
        <w:tblW w:w="1478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044"/>
        <w:gridCol w:w="80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14:paraId="5E372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46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168C263E">
            <w:pPr>
              <w:pStyle w:val="20"/>
              <w:rPr>
                <w:rFonts w:hint="eastAsia" w:eastAsia="方正小标宋_GBK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编制部门：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曹妃甸去直机关工委</w:t>
            </w:r>
          </w:p>
        </w:tc>
        <w:tc>
          <w:tcPr>
            <w:tcW w:w="8316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52F2245">
            <w:pPr>
              <w:pStyle w:val="21"/>
            </w:pPr>
            <w:r>
              <w:t>单位：万元</w:t>
            </w:r>
          </w:p>
        </w:tc>
      </w:tr>
      <w:tr w14:paraId="7B460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tblHeader/>
        </w:trPr>
        <w:tc>
          <w:tcPr>
            <w:tcW w:w="1968" w:type="dxa"/>
            <w:gridSpan w:val="2"/>
            <w:noWrap w:val="0"/>
            <w:vAlign w:val="center"/>
          </w:tcPr>
          <w:p w14:paraId="4A0DED00">
            <w:pPr>
              <w:pStyle w:val="22"/>
            </w:pPr>
            <w:r>
              <w:t>政府采购项目来源</w:t>
            </w:r>
          </w:p>
        </w:tc>
        <w:tc>
          <w:tcPr>
            <w:tcW w:w="804" w:type="dxa"/>
            <w:vMerge w:val="restart"/>
            <w:noWrap w:val="0"/>
            <w:vAlign w:val="center"/>
          </w:tcPr>
          <w:p w14:paraId="4434E533">
            <w:pPr>
              <w:pStyle w:val="22"/>
            </w:pPr>
            <w:r>
              <w:t>采购物品名称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 w14:paraId="17012B68">
            <w:pPr>
              <w:pStyle w:val="22"/>
            </w:pPr>
            <w:r>
              <w:t>政府采购目录序号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 w14:paraId="3CCFB394">
            <w:pPr>
              <w:pStyle w:val="22"/>
            </w:pPr>
            <w:r>
              <w:t>计量  单位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 w14:paraId="22E8C1FB">
            <w:pPr>
              <w:pStyle w:val="22"/>
            </w:pPr>
            <w:r>
              <w:t>数量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 w14:paraId="03133AEE">
            <w:pPr>
              <w:pStyle w:val="22"/>
            </w:pPr>
            <w:r>
              <w:t>单价</w:t>
            </w:r>
          </w:p>
        </w:tc>
        <w:tc>
          <w:tcPr>
            <w:tcW w:w="7392" w:type="dxa"/>
            <w:gridSpan w:val="8"/>
            <w:noWrap w:val="0"/>
            <w:vAlign w:val="center"/>
          </w:tcPr>
          <w:p w14:paraId="13A5D0E5">
            <w:pPr>
              <w:pStyle w:val="22"/>
            </w:pPr>
            <w:r>
              <w:t>政府采购金额（当年部门预算安排资金）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 w14:paraId="373418D4">
            <w:pPr>
              <w:pStyle w:val="22"/>
            </w:pPr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  预留中  小微企  业份额</w:t>
            </w:r>
          </w:p>
        </w:tc>
      </w:tr>
      <w:tr w14:paraId="7912E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24" w:type="dxa"/>
            <w:noWrap w:val="0"/>
            <w:vAlign w:val="center"/>
          </w:tcPr>
          <w:p w14:paraId="5D838B13">
            <w:pPr>
              <w:pStyle w:val="22"/>
            </w:pPr>
            <w:r>
              <w:t>项目名称</w:t>
            </w:r>
          </w:p>
        </w:tc>
        <w:tc>
          <w:tcPr>
            <w:tcW w:w="1044" w:type="dxa"/>
            <w:noWrap w:val="0"/>
            <w:vAlign w:val="center"/>
          </w:tcPr>
          <w:p w14:paraId="08CC3553">
            <w:pPr>
              <w:pStyle w:val="22"/>
            </w:pPr>
            <w:r>
              <w:t>预算    资金</w:t>
            </w:r>
          </w:p>
        </w:tc>
        <w:tc>
          <w:tcPr>
            <w:tcW w:w="804" w:type="dxa"/>
            <w:vMerge w:val="continue"/>
            <w:noWrap w:val="0"/>
            <w:vAlign w:val="top"/>
          </w:tcPr>
          <w:p w14:paraId="7BCF15E5"/>
        </w:tc>
        <w:tc>
          <w:tcPr>
            <w:tcW w:w="924" w:type="dxa"/>
            <w:vMerge w:val="continue"/>
            <w:noWrap w:val="0"/>
            <w:vAlign w:val="top"/>
          </w:tcPr>
          <w:p w14:paraId="448E51B5"/>
        </w:tc>
        <w:tc>
          <w:tcPr>
            <w:tcW w:w="924" w:type="dxa"/>
            <w:vMerge w:val="continue"/>
            <w:noWrap w:val="0"/>
            <w:vAlign w:val="top"/>
          </w:tcPr>
          <w:p w14:paraId="160811A1"/>
        </w:tc>
        <w:tc>
          <w:tcPr>
            <w:tcW w:w="924" w:type="dxa"/>
            <w:vMerge w:val="continue"/>
            <w:noWrap w:val="0"/>
            <w:vAlign w:val="top"/>
          </w:tcPr>
          <w:p w14:paraId="0AB9DEFF"/>
        </w:tc>
        <w:tc>
          <w:tcPr>
            <w:tcW w:w="924" w:type="dxa"/>
            <w:vMerge w:val="continue"/>
            <w:noWrap w:val="0"/>
            <w:vAlign w:val="top"/>
          </w:tcPr>
          <w:p w14:paraId="0A70E355"/>
        </w:tc>
        <w:tc>
          <w:tcPr>
            <w:tcW w:w="924" w:type="dxa"/>
            <w:noWrap w:val="0"/>
            <w:vAlign w:val="center"/>
          </w:tcPr>
          <w:p w14:paraId="0F602E9F">
            <w:pPr>
              <w:pStyle w:val="22"/>
            </w:pPr>
            <w:r>
              <w:t>合计</w:t>
            </w:r>
          </w:p>
        </w:tc>
        <w:tc>
          <w:tcPr>
            <w:tcW w:w="924" w:type="dxa"/>
            <w:noWrap w:val="0"/>
            <w:vAlign w:val="center"/>
          </w:tcPr>
          <w:p w14:paraId="6E2C4C80">
            <w:pPr>
              <w:pStyle w:val="22"/>
            </w:pPr>
            <w:r>
              <w:t>一般公共预算拨款</w:t>
            </w:r>
          </w:p>
        </w:tc>
        <w:tc>
          <w:tcPr>
            <w:tcW w:w="924" w:type="dxa"/>
            <w:noWrap w:val="0"/>
            <w:vAlign w:val="center"/>
          </w:tcPr>
          <w:p w14:paraId="1986A577">
            <w:pPr>
              <w:pStyle w:val="22"/>
            </w:pPr>
            <w:r>
              <w:t>基金预算拨款</w:t>
            </w:r>
          </w:p>
        </w:tc>
        <w:tc>
          <w:tcPr>
            <w:tcW w:w="924" w:type="dxa"/>
            <w:noWrap w:val="0"/>
            <w:vAlign w:val="center"/>
          </w:tcPr>
          <w:p w14:paraId="664C3019">
            <w:pPr>
              <w:pStyle w:val="22"/>
            </w:pPr>
            <w:r>
              <w:t>国有资本经营预算拨款</w:t>
            </w:r>
          </w:p>
        </w:tc>
        <w:tc>
          <w:tcPr>
            <w:tcW w:w="924" w:type="dxa"/>
            <w:noWrap w:val="0"/>
            <w:vAlign w:val="center"/>
          </w:tcPr>
          <w:p w14:paraId="0EDA8B9A">
            <w:pPr>
              <w:pStyle w:val="22"/>
            </w:pPr>
            <w:r>
              <w:t>财政专户核拨</w:t>
            </w:r>
          </w:p>
        </w:tc>
        <w:tc>
          <w:tcPr>
            <w:tcW w:w="924" w:type="dxa"/>
            <w:noWrap w:val="0"/>
            <w:vAlign w:val="center"/>
          </w:tcPr>
          <w:p w14:paraId="2118B3F9">
            <w:pPr>
              <w:pStyle w:val="22"/>
            </w:pPr>
            <w:r>
              <w:t>单位    资金</w:t>
            </w:r>
          </w:p>
        </w:tc>
        <w:tc>
          <w:tcPr>
            <w:tcW w:w="924" w:type="dxa"/>
            <w:noWrap w:val="0"/>
            <w:vAlign w:val="center"/>
          </w:tcPr>
          <w:p w14:paraId="53F3462E">
            <w:pPr>
              <w:pStyle w:val="22"/>
            </w:pPr>
            <w:r>
              <w:t>财政拨    款结转</w:t>
            </w:r>
          </w:p>
        </w:tc>
        <w:tc>
          <w:tcPr>
            <w:tcW w:w="924" w:type="dxa"/>
            <w:noWrap w:val="0"/>
            <w:vAlign w:val="center"/>
          </w:tcPr>
          <w:p w14:paraId="6D5E05A6">
            <w:pPr>
              <w:pStyle w:val="22"/>
            </w:pPr>
            <w:r>
              <w:t>非财政    拨款结    转结余</w:t>
            </w:r>
          </w:p>
        </w:tc>
        <w:tc>
          <w:tcPr>
            <w:tcW w:w="924" w:type="dxa"/>
            <w:vMerge w:val="continue"/>
            <w:noWrap w:val="0"/>
            <w:vAlign w:val="top"/>
          </w:tcPr>
          <w:p w14:paraId="51F35651"/>
        </w:tc>
      </w:tr>
      <w:tr w14:paraId="449739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4" w:type="dxa"/>
            <w:noWrap w:val="0"/>
            <w:vAlign w:val="center"/>
          </w:tcPr>
          <w:p w14:paraId="2F01FB5F">
            <w:pPr>
              <w:pStyle w:val="23"/>
            </w:pPr>
          </w:p>
        </w:tc>
        <w:tc>
          <w:tcPr>
            <w:tcW w:w="1044" w:type="dxa"/>
            <w:noWrap w:val="0"/>
            <w:vAlign w:val="center"/>
          </w:tcPr>
          <w:p w14:paraId="4A640A70">
            <w:pPr>
              <w:pStyle w:val="24"/>
            </w:pPr>
          </w:p>
        </w:tc>
        <w:tc>
          <w:tcPr>
            <w:tcW w:w="804" w:type="dxa"/>
            <w:noWrap w:val="0"/>
            <w:vAlign w:val="center"/>
          </w:tcPr>
          <w:p w14:paraId="613D0EA5">
            <w:pPr>
              <w:pStyle w:val="23"/>
            </w:pPr>
          </w:p>
        </w:tc>
        <w:tc>
          <w:tcPr>
            <w:tcW w:w="924" w:type="dxa"/>
            <w:noWrap w:val="0"/>
            <w:vAlign w:val="center"/>
          </w:tcPr>
          <w:p w14:paraId="5E82E460">
            <w:pPr>
              <w:pStyle w:val="23"/>
            </w:pPr>
          </w:p>
        </w:tc>
        <w:tc>
          <w:tcPr>
            <w:tcW w:w="924" w:type="dxa"/>
            <w:noWrap w:val="0"/>
            <w:vAlign w:val="center"/>
          </w:tcPr>
          <w:p w14:paraId="11F89E67">
            <w:pPr>
              <w:pStyle w:val="25"/>
            </w:pPr>
          </w:p>
        </w:tc>
        <w:tc>
          <w:tcPr>
            <w:tcW w:w="924" w:type="dxa"/>
            <w:noWrap w:val="0"/>
            <w:vAlign w:val="center"/>
          </w:tcPr>
          <w:p w14:paraId="09231FFB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76175999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6D46D603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6740FB67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3605CFF1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3007EA1C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64ED8420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4FF6F7D8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66F5519C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5DA95DCA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6FD54419">
            <w:pPr>
              <w:pStyle w:val="24"/>
            </w:pPr>
          </w:p>
        </w:tc>
      </w:tr>
    </w:tbl>
    <w:p w14:paraId="0D216E30">
      <w:pPr>
        <w:pStyle w:val="19"/>
        <w:ind w:left="0" w:leftChars="0" w:firstLine="0" w:firstLineChars="0"/>
        <w:rPr>
          <w:rFonts w:hint="eastAsia" w:ascii="方正仿宋简体" w:hAnsi="??_GB2312" w:eastAsia="方正仿宋简体" w:cs="??_GB2312"/>
          <w:sz w:val="32"/>
          <w:szCs w:val="32"/>
        </w:rPr>
      </w:pPr>
    </w:p>
    <w:p w14:paraId="5171E194">
      <w:pPr>
        <w:spacing w:line="500" w:lineRule="exact"/>
        <w:ind w:firstLine="420"/>
      </w:pPr>
      <w:r>
        <w:rPr>
          <w:rFonts w:ascii="方正书宋_GBK" w:hAnsi="方正书宋_GBK" w:eastAsia="方正书宋_GBK" w:cs="方正书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30FD8D06">
      <w:pPr>
        <w:ind w:firstLine="640"/>
        <w:rPr>
          <w:rFonts w:hint="eastAsia" w:ascii="方正书宋_GBK" w:hAnsi="方正书宋_GBK" w:eastAsia="方正书宋_GBK" w:cs="方正书宋_GBK"/>
          <w:color w:val="000000"/>
          <w:sz w:val="21"/>
          <w:lang w:eastAsia="zh-CN"/>
        </w:rPr>
      </w:pPr>
      <w:r>
        <w:rPr>
          <w:rFonts w:eastAsia="方正仿宋_GBK"/>
          <w:color w:val="000000"/>
          <w:sz w:val="32"/>
        </w:rPr>
        <w:t xml:space="preserve"> </w:t>
      </w:r>
      <w:r>
        <w:rPr>
          <w:rFonts w:hint="eastAsia" w:eastAsia="方正仿宋_GBK"/>
          <w:color w:val="000000"/>
          <w:sz w:val="32"/>
          <w:lang w:val="en-US" w:eastAsia="zh-CN"/>
        </w:rPr>
        <w:t xml:space="preserve">  </w:t>
      </w:r>
      <w:r>
        <w:rPr>
          <w:rFonts w:hint="eastAsia" w:ascii="方正书宋_GBK" w:hAnsi="方正书宋_GBK" w:eastAsia="方正书宋_GBK" w:cs="方正书宋_GBK"/>
          <w:color w:val="000000"/>
          <w:sz w:val="21"/>
          <w:lang w:eastAsia="zh-CN"/>
        </w:rPr>
        <w:t>此表无数据，空表列示</w:t>
      </w:r>
    </w:p>
    <w:p w14:paraId="0B8F5B34">
      <w:pPr>
        <w:numPr>
          <w:ilvl w:val="0"/>
          <w:numId w:val="0"/>
        </w:numPr>
        <w:ind w:firstLine="643" w:firstLineChars="200"/>
        <w:jc w:val="left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国有资产信息</w:t>
      </w:r>
    </w:p>
    <w:p w14:paraId="139BA10F">
      <w:pPr>
        <w:ind w:firstLine="640" w:firstLineChars="200"/>
        <w:rPr>
          <w:rFonts w:hint="default" w:ascii="方正仿宋简体" w:hAnsi="??_GB2312" w:eastAsia="方正仿宋简体" w:cs="??_GB2312"/>
          <w:sz w:val="32"/>
          <w:szCs w:val="32"/>
          <w:lang w:val="en-US" w:eastAsia="zh-CN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上年末固定资产金额为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55.06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万元（详见下表），本年度拟购置固定资产主要为打印机办公设备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、</w:t>
      </w:r>
      <w:r>
        <w:rPr>
          <w:rFonts w:hint="eastAsia" w:ascii="方正仿宋简体" w:hAnsi="??_GB2312" w:eastAsia="方正仿宋简体" w:cs="??_GB2312"/>
          <w:sz w:val="32"/>
          <w:szCs w:val="32"/>
        </w:rPr>
        <w:t>依据：《关于中国共产党党费收缴、使用和管理的规定》中第23条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购</w:t>
      </w:r>
      <w:r>
        <w:rPr>
          <w:rFonts w:hint="eastAsia" w:ascii="方正仿宋简体" w:hAnsi="??_GB2312" w:eastAsia="方正仿宋简体" w:cs="??_GB2312"/>
          <w:sz w:val="32"/>
          <w:szCs w:val="32"/>
        </w:rPr>
        <w:t>财务软件一套共计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3.7</w:t>
      </w:r>
      <w:r>
        <w:rPr>
          <w:rFonts w:ascii="方正仿宋简体" w:hAnsi="??_GB2312" w:eastAsia="方正仿宋简体" w:cs="??_GB2312"/>
          <w:sz w:val="32"/>
          <w:szCs w:val="32"/>
        </w:rPr>
        <w:t xml:space="preserve"> 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，均为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20万元以下设备。</w:t>
      </w:r>
    </w:p>
    <w:tbl>
      <w:tblPr>
        <w:tblStyle w:val="9"/>
        <w:tblW w:w="13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  <w:gridCol w:w="3155"/>
        <w:gridCol w:w="5103"/>
      </w:tblGrid>
      <w:tr w14:paraId="6D4C1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4802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固定资产占用情况表</w:t>
            </w:r>
          </w:p>
        </w:tc>
      </w:tr>
      <w:tr w14:paraId="0D818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F9A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编制部门：中共唐山市曹妃甸区委员会区直机关工作委员会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578B6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截止时间：</w:t>
            </w: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12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31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</w:p>
        </w:tc>
      </w:tr>
      <w:tr w14:paraId="7CEBC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EA5E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目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5B5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19CA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 w14:paraId="41CBA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BBA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资产总额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504B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079CA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55.06</w:t>
            </w:r>
          </w:p>
        </w:tc>
      </w:tr>
      <w:tr w14:paraId="025A9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8D1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、房屋（平方米）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835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8E56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</w:tr>
      <w:tr w14:paraId="704E4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58D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其中：办公用房（平方米）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DD37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B2F4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</w:tr>
      <w:tr w14:paraId="2EB6D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DE9B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、车辆（台、辆）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F688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EDC1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20.5</w:t>
            </w:r>
          </w:p>
        </w:tc>
      </w:tr>
      <w:tr w14:paraId="72C73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F90D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</w:rPr>
              <w:t>、单价在</w:t>
            </w: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</w:rPr>
              <w:t>万元以上设备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74B3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975A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4A3D9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28E4F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</w:rPr>
              <w:t>、其他固定资产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969358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A5E6C8E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34.56</w:t>
            </w:r>
          </w:p>
        </w:tc>
      </w:tr>
      <w:tr w14:paraId="12988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316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0AC2A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B6CE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14:paraId="5E086DE1">
      <w:pPr>
        <w:numPr>
          <w:ilvl w:val="0"/>
          <w:numId w:val="0"/>
        </w:numPr>
        <w:autoSpaceDE w:val="0"/>
        <w:autoSpaceDN w:val="0"/>
        <w:adjustRightInd w:val="0"/>
        <w:ind w:firstLine="643" w:firstLineChars="200"/>
        <w:jc w:val="left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名词解释</w:t>
      </w:r>
    </w:p>
    <w:p w14:paraId="2B240780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1</w:t>
      </w:r>
      <w:r>
        <w:rPr>
          <w:rFonts w:hint="eastAsia" w:ascii="方正仿宋简体" w:hAnsi="宋体" w:eastAsia="方正仿宋简体" w:cs="宋体"/>
          <w:sz w:val="32"/>
          <w:szCs w:val="32"/>
        </w:rPr>
        <w:t>、一般预算收入：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本</w:t>
      </w:r>
      <w:r>
        <w:rPr>
          <w:rFonts w:hint="eastAsia" w:ascii="方正仿宋简体" w:hAnsi="宋体" w:eastAsia="方正仿宋简体" w:cs="宋体"/>
          <w:sz w:val="32"/>
          <w:szCs w:val="32"/>
        </w:rPr>
        <w:t>级财政当年拨付的资金。</w:t>
      </w:r>
    </w:p>
    <w:p w14:paraId="03260DA7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2</w:t>
      </w:r>
      <w:r>
        <w:rPr>
          <w:rFonts w:hint="eastAsia" w:ascii="方正仿宋简体" w:hAnsi="宋体" w:eastAsia="方正仿宋简体" w:cs="宋体"/>
          <w:sz w:val="32"/>
          <w:szCs w:val="32"/>
        </w:rPr>
        <w:t>、基本支出：为保障机构正常运转，完成日常工作任务，而发生的人员支出和公用支出。</w:t>
      </w:r>
    </w:p>
    <w:p w14:paraId="483AC0ED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、项目支出：是指在基本支出之外，为完成特定行政任务和事业发展目标，而发生的支出。</w:t>
      </w:r>
    </w:p>
    <w:p w14:paraId="0E7DED72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4</w:t>
      </w:r>
      <w:r>
        <w:rPr>
          <w:rFonts w:hint="eastAsia" w:ascii="方正仿宋简体" w:hAnsi="宋体" w:eastAsia="方正仿宋简体" w:cs="宋体"/>
          <w:sz w:val="32"/>
          <w:szCs w:val="32"/>
        </w:rPr>
        <w:t>、机关运行费：是指为保证行政单位（包括参照公务员管理的事业单位）运行，用于购买货物和服务的各项资金。主要包括：办公费、印刷费，水费、电费、邮电费、福利费、公务车运行维护费等。</w:t>
      </w:r>
    </w:p>
    <w:p w14:paraId="58077AF4">
      <w:pPr>
        <w:autoSpaceDE w:val="0"/>
        <w:autoSpaceDN w:val="0"/>
        <w:adjustRightInd w:val="0"/>
        <w:ind w:firstLine="640" w:firstLineChars="200"/>
        <w:jc w:val="left"/>
        <w:rPr>
          <w:rFonts w:ascii="??_GB2312" w:hAnsi="??_GB2312" w:cs="??_GB2312"/>
          <w:sz w:val="32"/>
          <w:szCs w:val="32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2"/>
          <w:szCs w:val="32"/>
        </w:rPr>
        <w:t>九、其他需要说明的事项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2"/>
          <w:szCs w:val="32"/>
          <w:lang w:eastAsia="zh-CN"/>
        </w:rPr>
        <w:t>：</w:t>
      </w:r>
      <w:r>
        <w:rPr>
          <w:rFonts w:hint="eastAsia" w:ascii="方正仿宋简体" w:hAnsi="宋体" w:eastAsia="方正仿宋简体" w:cs="宋体"/>
          <w:sz w:val="32"/>
          <w:szCs w:val="32"/>
        </w:rPr>
        <w:t>无</w:t>
      </w:r>
      <w:r>
        <w:rPr>
          <w:sz w:val="28"/>
        </w:rPr>
        <w:t xml:space="preserve">  </w:t>
      </w:r>
      <w:r>
        <w:t xml:space="preserve">                                         </w:t>
      </w:r>
    </w:p>
    <w:sectPr>
      <w:headerReference r:id="rId9" w:type="default"/>
      <w:footerReference r:id="rId10" w:type="default"/>
      <w:footerReference r:id="rId11" w:type="even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宋体-方正超大字符集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6BB0A">
    <w:pPr>
      <w:pStyle w:val="3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6</w:t>
    </w:r>
    <w:r>
      <w:rPr>
        <w:rStyle w:val="11"/>
      </w:rPr>
      <w:fldChar w:fldCharType="end"/>
    </w:r>
  </w:p>
  <w:p w14:paraId="661DCF6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E508D">
    <w:pPr>
      <w:pStyle w:val="3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1EEDB9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647A2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5E940">
    <w:pPr>
      <w:pStyle w:val="3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8</w:t>
    </w:r>
    <w:r>
      <w:rPr>
        <w:rStyle w:val="11"/>
      </w:rPr>
      <w:fldChar w:fldCharType="end"/>
    </w:r>
  </w:p>
  <w:p w14:paraId="6A0046F7">
    <w:pPr>
      <w:pStyle w:val="3"/>
      <w:jc w:val="center"/>
    </w:pPr>
    <w:r>
      <w:rPr>
        <w:rFonts w:hint="eastAsia"/>
      </w:rPr>
      <w:t>第</w:t>
    </w:r>
    <w:r>
      <w:t xml:space="preserve">  </w:t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D13D6">
    <w:pPr>
      <w:pStyle w:val="3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1AD389D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49F6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8C2C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B0BD9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00D4E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9A0EE"/>
    <w:multiLevelType w:val="singleLevel"/>
    <w:tmpl w:val="5909A0EE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09A57E"/>
    <w:multiLevelType w:val="singleLevel"/>
    <w:tmpl w:val="5909A57E"/>
    <w:lvl w:ilvl="0" w:tentative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DhlN2RlMzg1MTNjMDYwY2UzODk2Zjg1M2VmMmEifQ=="/>
  </w:docVars>
  <w:rsids>
    <w:rsidRoot w:val="00172A27"/>
    <w:rsid w:val="000155A1"/>
    <w:rsid w:val="00027F51"/>
    <w:rsid w:val="00041294"/>
    <w:rsid w:val="00076F0C"/>
    <w:rsid w:val="000770D0"/>
    <w:rsid w:val="00096BE4"/>
    <w:rsid w:val="000A0BF5"/>
    <w:rsid w:val="000A5F8F"/>
    <w:rsid w:val="000B0660"/>
    <w:rsid w:val="000B1D13"/>
    <w:rsid w:val="000B2C34"/>
    <w:rsid w:val="000B7334"/>
    <w:rsid w:val="000D57FC"/>
    <w:rsid w:val="001119A1"/>
    <w:rsid w:val="00117BF9"/>
    <w:rsid w:val="00152E67"/>
    <w:rsid w:val="00172A27"/>
    <w:rsid w:val="00180E76"/>
    <w:rsid w:val="001A0851"/>
    <w:rsid w:val="001C79F6"/>
    <w:rsid w:val="001D1E72"/>
    <w:rsid w:val="001D55B5"/>
    <w:rsid w:val="001D6DBD"/>
    <w:rsid w:val="001F5F6C"/>
    <w:rsid w:val="00260230"/>
    <w:rsid w:val="00265CEF"/>
    <w:rsid w:val="00270D88"/>
    <w:rsid w:val="00283582"/>
    <w:rsid w:val="002A5C6B"/>
    <w:rsid w:val="002B5A00"/>
    <w:rsid w:val="002C787A"/>
    <w:rsid w:val="002D6DF4"/>
    <w:rsid w:val="002E6DA4"/>
    <w:rsid w:val="002F10BB"/>
    <w:rsid w:val="002F6B4A"/>
    <w:rsid w:val="0030525B"/>
    <w:rsid w:val="003064FA"/>
    <w:rsid w:val="00312983"/>
    <w:rsid w:val="0032215A"/>
    <w:rsid w:val="00335543"/>
    <w:rsid w:val="00347AF3"/>
    <w:rsid w:val="00353A3C"/>
    <w:rsid w:val="0037229D"/>
    <w:rsid w:val="00382513"/>
    <w:rsid w:val="003B4E85"/>
    <w:rsid w:val="003B7B32"/>
    <w:rsid w:val="003C2E88"/>
    <w:rsid w:val="003F3F66"/>
    <w:rsid w:val="00420D01"/>
    <w:rsid w:val="00420D97"/>
    <w:rsid w:val="004558D3"/>
    <w:rsid w:val="004565B1"/>
    <w:rsid w:val="0048630C"/>
    <w:rsid w:val="00492B99"/>
    <w:rsid w:val="004A6744"/>
    <w:rsid w:val="004B1A74"/>
    <w:rsid w:val="004C274A"/>
    <w:rsid w:val="004E02C6"/>
    <w:rsid w:val="004E2A72"/>
    <w:rsid w:val="004F056D"/>
    <w:rsid w:val="00505234"/>
    <w:rsid w:val="00510873"/>
    <w:rsid w:val="0054151C"/>
    <w:rsid w:val="00550B69"/>
    <w:rsid w:val="005517BB"/>
    <w:rsid w:val="00552CD5"/>
    <w:rsid w:val="0056727F"/>
    <w:rsid w:val="00573307"/>
    <w:rsid w:val="005904AB"/>
    <w:rsid w:val="0059292D"/>
    <w:rsid w:val="00596AD9"/>
    <w:rsid w:val="005A410A"/>
    <w:rsid w:val="005C1BFF"/>
    <w:rsid w:val="005C4322"/>
    <w:rsid w:val="005F399D"/>
    <w:rsid w:val="005F480A"/>
    <w:rsid w:val="006123FF"/>
    <w:rsid w:val="00615380"/>
    <w:rsid w:val="006550F2"/>
    <w:rsid w:val="00670177"/>
    <w:rsid w:val="0067240E"/>
    <w:rsid w:val="006A05AE"/>
    <w:rsid w:val="006A6B62"/>
    <w:rsid w:val="006A6CBA"/>
    <w:rsid w:val="00707F95"/>
    <w:rsid w:val="007410DC"/>
    <w:rsid w:val="00774A9F"/>
    <w:rsid w:val="00804900"/>
    <w:rsid w:val="00832D74"/>
    <w:rsid w:val="00846085"/>
    <w:rsid w:val="0086021E"/>
    <w:rsid w:val="00865019"/>
    <w:rsid w:val="00896584"/>
    <w:rsid w:val="008A702D"/>
    <w:rsid w:val="008B68A4"/>
    <w:rsid w:val="008C3FC8"/>
    <w:rsid w:val="008D5DCC"/>
    <w:rsid w:val="008E0825"/>
    <w:rsid w:val="008E6614"/>
    <w:rsid w:val="00906035"/>
    <w:rsid w:val="00906D2B"/>
    <w:rsid w:val="00944034"/>
    <w:rsid w:val="009A35E0"/>
    <w:rsid w:val="009B1A1F"/>
    <w:rsid w:val="009B502C"/>
    <w:rsid w:val="009D584A"/>
    <w:rsid w:val="009D7899"/>
    <w:rsid w:val="009E7BB7"/>
    <w:rsid w:val="00A01998"/>
    <w:rsid w:val="00A02385"/>
    <w:rsid w:val="00A24544"/>
    <w:rsid w:val="00A27B1B"/>
    <w:rsid w:val="00A56764"/>
    <w:rsid w:val="00B02DD9"/>
    <w:rsid w:val="00B15BEB"/>
    <w:rsid w:val="00B20767"/>
    <w:rsid w:val="00B24E93"/>
    <w:rsid w:val="00B370ED"/>
    <w:rsid w:val="00B42994"/>
    <w:rsid w:val="00B47E18"/>
    <w:rsid w:val="00B61D98"/>
    <w:rsid w:val="00B76558"/>
    <w:rsid w:val="00BC65BC"/>
    <w:rsid w:val="00BF4805"/>
    <w:rsid w:val="00C02645"/>
    <w:rsid w:val="00C24DCE"/>
    <w:rsid w:val="00C25D8B"/>
    <w:rsid w:val="00C33912"/>
    <w:rsid w:val="00C6580A"/>
    <w:rsid w:val="00C66178"/>
    <w:rsid w:val="00C67C91"/>
    <w:rsid w:val="00C752AA"/>
    <w:rsid w:val="00C906C3"/>
    <w:rsid w:val="00CB44A4"/>
    <w:rsid w:val="00CB47FC"/>
    <w:rsid w:val="00CC0ECB"/>
    <w:rsid w:val="00CC597C"/>
    <w:rsid w:val="00CE4E3D"/>
    <w:rsid w:val="00CF662F"/>
    <w:rsid w:val="00D31B44"/>
    <w:rsid w:val="00D57BB4"/>
    <w:rsid w:val="00D6103B"/>
    <w:rsid w:val="00D77795"/>
    <w:rsid w:val="00D81CF3"/>
    <w:rsid w:val="00DA6EDF"/>
    <w:rsid w:val="00DE19B2"/>
    <w:rsid w:val="00DE21CE"/>
    <w:rsid w:val="00DE2B76"/>
    <w:rsid w:val="00E05CD2"/>
    <w:rsid w:val="00E45859"/>
    <w:rsid w:val="00E54F34"/>
    <w:rsid w:val="00E752B1"/>
    <w:rsid w:val="00E8374A"/>
    <w:rsid w:val="00E92433"/>
    <w:rsid w:val="00E941C1"/>
    <w:rsid w:val="00F101A8"/>
    <w:rsid w:val="00F20A22"/>
    <w:rsid w:val="00F50E46"/>
    <w:rsid w:val="00F55C8A"/>
    <w:rsid w:val="00F6259E"/>
    <w:rsid w:val="00F660A6"/>
    <w:rsid w:val="00F774B5"/>
    <w:rsid w:val="00F92718"/>
    <w:rsid w:val="00F94C6D"/>
    <w:rsid w:val="00FB5ADE"/>
    <w:rsid w:val="00FE5281"/>
    <w:rsid w:val="00FE77B0"/>
    <w:rsid w:val="010A58C7"/>
    <w:rsid w:val="022A50C7"/>
    <w:rsid w:val="02335EF2"/>
    <w:rsid w:val="03113DA3"/>
    <w:rsid w:val="048C27A2"/>
    <w:rsid w:val="05EF5EFC"/>
    <w:rsid w:val="06297D2B"/>
    <w:rsid w:val="07D34260"/>
    <w:rsid w:val="081465EC"/>
    <w:rsid w:val="08B872E5"/>
    <w:rsid w:val="08CC6C95"/>
    <w:rsid w:val="0A056A98"/>
    <w:rsid w:val="0C5D1B46"/>
    <w:rsid w:val="0C621195"/>
    <w:rsid w:val="0D3D7863"/>
    <w:rsid w:val="0D8B03E7"/>
    <w:rsid w:val="11B14DCE"/>
    <w:rsid w:val="11BD51BB"/>
    <w:rsid w:val="126D74A6"/>
    <w:rsid w:val="12C91855"/>
    <w:rsid w:val="13FE75A2"/>
    <w:rsid w:val="173E1959"/>
    <w:rsid w:val="17B27C12"/>
    <w:rsid w:val="182B5206"/>
    <w:rsid w:val="18433DD3"/>
    <w:rsid w:val="18814449"/>
    <w:rsid w:val="18E406CF"/>
    <w:rsid w:val="1A6C0E84"/>
    <w:rsid w:val="1A7C3068"/>
    <w:rsid w:val="1AF15FD3"/>
    <w:rsid w:val="1B6C046B"/>
    <w:rsid w:val="1C6D28A3"/>
    <w:rsid w:val="1CC5044C"/>
    <w:rsid w:val="1D394F41"/>
    <w:rsid w:val="1DC43078"/>
    <w:rsid w:val="1F436A91"/>
    <w:rsid w:val="1FD008FB"/>
    <w:rsid w:val="20490F69"/>
    <w:rsid w:val="20880B42"/>
    <w:rsid w:val="20D06600"/>
    <w:rsid w:val="20F92D99"/>
    <w:rsid w:val="24682C82"/>
    <w:rsid w:val="253476E6"/>
    <w:rsid w:val="2573511A"/>
    <w:rsid w:val="26A175C9"/>
    <w:rsid w:val="26B55F79"/>
    <w:rsid w:val="2A5345D1"/>
    <w:rsid w:val="2A54272F"/>
    <w:rsid w:val="2B2D036C"/>
    <w:rsid w:val="2C343CEB"/>
    <w:rsid w:val="2C973BA3"/>
    <w:rsid w:val="2CD91EE1"/>
    <w:rsid w:val="2D0174C0"/>
    <w:rsid w:val="2D3D47D0"/>
    <w:rsid w:val="2D9F209F"/>
    <w:rsid w:val="2DA5223C"/>
    <w:rsid w:val="2DFA07EA"/>
    <w:rsid w:val="2E822D6E"/>
    <w:rsid w:val="2FAF2DC0"/>
    <w:rsid w:val="33231A2B"/>
    <w:rsid w:val="337771E2"/>
    <w:rsid w:val="369A6505"/>
    <w:rsid w:val="37346343"/>
    <w:rsid w:val="376059F1"/>
    <w:rsid w:val="38433020"/>
    <w:rsid w:val="395A2B8A"/>
    <w:rsid w:val="39B624A1"/>
    <w:rsid w:val="3B762C57"/>
    <w:rsid w:val="3B9D05E2"/>
    <w:rsid w:val="3B9D3F7B"/>
    <w:rsid w:val="3BC06A63"/>
    <w:rsid w:val="3BF03FA6"/>
    <w:rsid w:val="3D2D1104"/>
    <w:rsid w:val="3E41347E"/>
    <w:rsid w:val="3F675A63"/>
    <w:rsid w:val="417B1318"/>
    <w:rsid w:val="419A1F20"/>
    <w:rsid w:val="42646472"/>
    <w:rsid w:val="43B17460"/>
    <w:rsid w:val="460974D0"/>
    <w:rsid w:val="462C7CFE"/>
    <w:rsid w:val="477E5776"/>
    <w:rsid w:val="47E52DBD"/>
    <w:rsid w:val="4AD672BB"/>
    <w:rsid w:val="4B504976"/>
    <w:rsid w:val="4BA47008"/>
    <w:rsid w:val="4BB20ACE"/>
    <w:rsid w:val="4D0168AB"/>
    <w:rsid w:val="4D667939"/>
    <w:rsid w:val="4D790BDC"/>
    <w:rsid w:val="4DB27138"/>
    <w:rsid w:val="4EFF0D71"/>
    <w:rsid w:val="4F762266"/>
    <w:rsid w:val="4FCE1D30"/>
    <w:rsid w:val="502A2C81"/>
    <w:rsid w:val="507B57E7"/>
    <w:rsid w:val="516D3442"/>
    <w:rsid w:val="525A132C"/>
    <w:rsid w:val="52F74406"/>
    <w:rsid w:val="53934B54"/>
    <w:rsid w:val="56412769"/>
    <w:rsid w:val="5696007B"/>
    <w:rsid w:val="56A439CF"/>
    <w:rsid w:val="56F1780A"/>
    <w:rsid w:val="588958A6"/>
    <w:rsid w:val="5A580E97"/>
    <w:rsid w:val="5C5C3E00"/>
    <w:rsid w:val="5CF32068"/>
    <w:rsid w:val="5DF35B52"/>
    <w:rsid w:val="5EC50768"/>
    <w:rsid w:val="63BD3244"/>
    <w:rsid w:val="63C047A7"/>
    <w:rsid w:val="63EF6017"/>
    <w:rsid w:val="640A5EAA"/>
    <w:rsid w:val="656C1FB5"/>
    <w:rsid w:val="65BC597B"/>
    <w:rsid w:val="67C9021A"/>
    <w:rsid w:val="6ACA720B"/>
    <w:rsid w:val="6BBC7202"/>
    <w:rsid w:val="6BDC690F"/>
    <w:rsid w:val="6BF81301"/>
    <w:rsid w:val="6E1F027B"/>
    <w:rsid w:val="6F123BFA"/>
    <w:rsid w:val="712552E9"/>
    <w:rsid w:val="71627758"/>
    <w:rsid w:val="76E822B5"/>
    <w:rsid w:val="779F354D"/>
    <w:rsid w:val="78CE06F4"/>
    <w:rsid w:val="78EA2975"/>
    <w:rsid w:val="7944331F"/>
    <w:rsid w:val="7AEC23D6"/>
    <w:rsid w:val="7B442DD4"/>
    <w:rsid w:val="7BBC722B"/>
    <w:rsid w:val="7C9A7756"/>
    <w:rsid w:val="7D0E27A6"/>
    <w:rsid w:val="7F75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5">
    <w:name w:val="toc 1"/>
    <w:basedOn w:val="1"/>
    <w:next w:val="1"/>
    <w:qFormat/>
    <w:uiPriority w:val="99"/>
    <w:rPr>
      <w:rFonts w:ascii="Times New Roman" w:hAnsi="Times New Roman" w:cs="Times New Roman"/>
      <w:szCs w:val="24"/>
    </w:rPr>
  </w:style>
  <w:style w:type="paragraph" w:styleId="6">
    <w:name w:val="toc 2"/>
    <w:basedOn w:val="1"/>
    <w:next w:val="1"/>
    <w:qFormat/>
    <w:uiPriority w:val="99"/>
    <w:pPr>
      <w:ind w:left="420" w:leftChars="200"/>
    </w:pPr>
    <w:rPr>
      <w:rFonts w:ascii="Times New Roman" w:hAnsi="Times New Roman" w:cs="Times New Roman"/>
      <w:szCs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6"/>
    <w:qFormat/>
    <w:uiPriority w:val="99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basedOn w:val="10"/>
    <w:link w:val="2"/>
    <w:qFormat/>
    <w:locked/>
    <w:uiPriority w:val="99"/>
    <w:rPr>
      <w:rFonts w:ascii="Calibri" w:hAnsi="Calibri" w:cs="黑体"/>
      <w:b/>
      <w:bCs/>
      <w:kern w:val="44"/>
      <w:sz w:val="44"/>
      <w:szCs w:val="44"/>
    </w:rPr>
  </w:style>
  <w:style w:type="character" w:customStyle="1" w:styleId="14">
    <w:name w:val="页脚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0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Char"/>
    <w:basedOn w:val="10"/>
    <w:link w:val="8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17">
    <w:name w:val="Page Number1"/>
    <w:basedOn w:val="10"/>
    <w:qFormat/>
    <w:uiPriority w:val="99"/>
    <w:rPr>
      <w:rFonts w:cs="Times New Roman"/>
    </w:rPr>
  </w:style>
  <w:style w:type="character" w:customStyle="1" w:styleId="18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paragraph" w:customStyle="1" w:styleId="1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21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22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4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2474</Words>
  <Characters>2630</Characters>
  <Lines>25</Lines>
  <Paragraphs>7</Paragraphs>
  <TotalTime>6</TotalTime>
  <ScaleCrop>false</ScaleCrop>
  <LinksUpToDate>false</LinksUpToDate>
  <CharactersWithSpaces>2743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2020-03-27T03:03:00Z</dcterms:created>
  <dc:creator>guest</dc:creator>
  <cp:lastModifiedBy>瑞雪</cp:lastModifiedBy>
  <cp:lastPrinted>2017-05-27T09:49:00Z</cp:lastPrinted>
  <dcterms:modified xsi:type="dcterms:W3CDTF">2025-06-17T08:04:54Z</dcterms:modified>
  <dc:title>Administrator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02EEB51AD8A0485C812B4A850D962FAF_13</vt:lpwstr>
  </property>
  <property fmtid="{D5CDD505-2E9C-101B-9397-08002B2CF9AE}" pid="4" name="KSOTemplateDocerSaveRecord">
    <vt:lpwstr>eyJoZGlkIjoiZmQ5NmQ2MThmYzI5ZmJjMDc4MmQ4ZWRmYzA1NjUzM2IiLCJ1c2VySWQiOiIzMzE5NzU2ODUifQ==</vt:lpwstr>
  </property>
</Properties>
</file>