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3220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F3BDA1A">
            <w:pPr>
              <w:spacing w:line="480" w:lineRule="exact"/>
              <w:rPr>
                <w:rFonts w:ascii="宋体" w:hAnsi="宋体"/>
                <w:sz w:val="32"/>
              </w:rPr>
            </w:pPr>
            <w:r>
              <w:rPr>
                <w:rFonts w:hint="eastAsia" w:ascii="宋体" w:hAnsi="宋体"/>
                <w:sz w:val="32"/>
              </w:rPr>
              <w:t>审批意见：</w:t>
            </w:r>
          </w:p>
          <w:p w14:paraId="6696FADD">
            <w:pPr>
              <w:spacing w:line="480" w:lineRule="exact"/>
              <w:jc w:val="right"/>
              <w:rPr>
                <w:rFonts w:ascii="仿宋" w:hAnsi="仿宋" w:eastAsia="仿宋" w:cs="仿宋"/>
                <w:sz w:val="30"/>
                <w:szCs w:val="30"/>
                <w:highlight w:val="none"/>
              </w:rPr>
            </w:pPr>
            <w:r>
              <w:rPr>
                <w:rFonts w:hint="eastAsia" w:ascii="仿宋" w:hAnsi="仿宋" w:eastAsia="仿宋" w:cs="仿宋"/>
                <w:spacing w:val="-16"/>
                <w:sz w:val="30"/>
                <w:szCs w:val="30"/>
                <w:highlight w:val="none"/>
              </w:rPr>
              <w:t>唐曹审批环表</w:t>
            </w:r>
            <w:bookmarkStart w:id="0" w:name="OLE_LINK2"/>
            <w:r>
              <w:rPr>
                <w:rFonts w:hint="eastAsia" w:ascii="仿宋" w:hAnsi="仿宋" w:eastAsia="仿宋" w:cs="仿宋"/>
                <w:spacing w:val="-16"/>
                <w:sz w:val="30"/>
                <w:szCs w:val="30"/>
                <w:highlight w:val="none"/>
              </w:rPr>
              <w:t>〔2025〕</w:t>
            </w:r>
            <w:r>
              <w:rPr>
                <w:rFonts w:hint="eastAsia" w:ascii="仿宋" w:hAnsi="仿宋" w:eastAsia="仿宋" w:cs="仿宋"/>
                <w:spacing w:val="-16"/>
                <w:sz w:val="30"/>
                <w:szCs w:val="30"/>
                <w:highlight w:val="none"/>
                <w:lang w:val="en-US" w:eastAsia="zh-CN"/>
              </w:rPr>
              <w:t>38</w:t>
            </w:r>
            <w:r>
              <w:rPr>
                <w:rFonts w:hint="eastAsia" w:ascii="仿宋" w:hAnsi="仿宋" w:eastAsia="仿宋" w:cs="仿宋"/>
                <w:spacing w:val="-16"/>
                <w:sz w:val="30"/>
                <w:szCs w:val="30"/>
                <w:highlight w:val="none"/>
              </w:rPr>
              <w:t>号</w:t>
            </w:r>
          </w:p>
          <w:bookmarkEnd w:id="0"/>
          <w:p w14:paraId="4C6DE780">
            <w:pPr>
              <w:adjustRightInd w:val="0"/>
              <w:snapToGrid w:val="0"/>
              <w:spacing w:line="288" w:lineRule="auto"/>
              <w:ind w:firstLine="496" w:firstLineChars="200"/>
              <w:rPr>
                <w:rFonts w:ascii="仿宋" w:hAnsi="仿宋" w:eastAsia="仿宋" w:cs="仿宋"/>
                <w:spacing w:val="-16"/>
                <w:sz w:val="28"/>
                <w:szCs w:val="28"/>
              </w:rPr>
            </w:pPr>
          </w:p>
          <w:p w14:paraId="181EA194">
            <w:pPr>
              <w:adjustRightInd w:val="0"/>
              <w:snapToGrid w:val="0"/>
              <w:spacing w:line="252" w:lineRule="auto"/>
              <w:ind w:firstLine="536" w:firstLineChars="200"/>
              <w:rPr>
                <w:rFonts w:eastAsia="仿宋"/>
                <w:spacing w:val="-16"/>
                <w:sz w:val="30"/>
                <w:szCs w:val="30"/>
              </w:rPr>
            </w:pPr>
            <w:r>
              <w:rPr>
                <w:rFonts w:eastAsia="仿宋"/>
                <w:spacing w:val="-16"/>
                <w:sz w:val="30"/>
                <w:szCs w:val="30"/>
              </w:rPr>
              <w:t>根据环评结论，结合工程环境影响特点</w:t>
            </w:r>
            <w:r>
              <w:rPr>
                <w:rFonts w:hint="eastAsia" w:ascii="仿宋" w:hAnsi="仿宋" w:eastAsia="仿宋" w:cs="仿宋"/>
                <w:spacing w:val="-16"/>
                <w:sz w:val="30"/>
                <w:szCs w:val="30"/>
              </w:rPr>
              <w:t>及专家评审意见</w:t>
            </w:r>
            <w:r>
              <w:rPr>
                <w:rFonts w:eastAsia="仿宋"/>
                <w:spacing w:val="-16"/>
                <w:sz w:val="30"/>
                <w:szCs w:val="30"/>
              </w:rPr>
              <w:t>，经研究</w:t>
            </w:r>
            <w:r>
              <w:rPr>
                <w:rFonts w:hint="eastAsia" w:eastAsia="仿宋"/>
                <w:spacing w:val="-16"/>
                <w:sz w:val="30"/>
                <w:szCs w:val="30"/>
              </w:rPr>
              <w:t>，</w:t>
            </w:r>
            <w:r>
              <w:rPr>
                <w:rFonts w:eastAsia="仿宋"/>
                <w:spacing w:val="-16"/>
                <w:sz w:val="30"/>
                <w:szCs w:val="30"/>
              </w:rPr>
              <w:t>批复如下</w:t>
            </w:r>
            <w:r>
              <w:rPr>
                <w:rFonts w:hint="eastAsia" w:eastAsia="仿宋"/>
                <w:spacing w:val="-16"/>
                <w:sz w:val="30"/>
                <w:szCs w:val="30"/>
              </w:rPr>
              <w:t>。</w:t>
            </w:r>
          </w:p>
          <w:p w14:paraId="589FEEEA">
            <w:pPr>
              <w:adjustRightInd w:val="0"/>
              <w:snapToGrid w:val="0"/>
              <w:spacing w:line="252" w:lineRule="auto"/>
              <w:ind w:firstLine="536" w:firstLineChars="200"/>
              <w:rPr>
                <w:rFonts w:eastAsia="仿宋"/>
                <w:spacing w:val="-16"/>
                <w:sz w:val="30"/>
                <w:szCs w:val="30"/>
                <w:highlight w:val="green"/>
              </w:rPr>
            </w:pPr>
            <w:r>
              <w:rPr>
                <w:rFonts w:hint="eastAsia" w:ascii="仿宋" w:hAnsi="仿宋" w:eastAsia="仿宋" w:cs="仿宋"/>
                <w:spacing w:val="-16"/>
                <w:sz w:val="30"/>
                <w:szCs w:val="30"/>
              </w:rPr>
              <w:t>一、山东冶能环保节能科技有限公司海南分公司路基料提纯加工项目位于唐山市曹妃甸</w:t>
            </w:r>
            <w:r>
              <w:rPr>
                <w:rFonts w:hint="eastAsia" w:ascii="仿宋" w:hAnsi="仿宋" w:eastAsia="仿宋" w:cs="仿宋"/>
                <w:spacing w:val="-16"/>
                <w:sz w:val="30"/>
                <w:szCs w:val="30"/>
                <w:lang w:val="en-US" w:eastAsia="zh-CN"/>
              </w:rPr>
              <w:t>钢铁电力</w:t>
            </w:r>
            <w:r>
              <w:rPr>
                <w:rFonts w:hint="eastAsia" w:ascii="仿宋" w:hAnsi="仿宋" w:eastAsia="仿宋" w:cs="仿宋"/>
                <w:spacing w:val="-16"/>
                <w:sz w:val="30"/>
                <w:szCs w:val="30"/>
              </w:rPr>
              <w:t>园区首钢京唐公司厂区内，</w:t>
            </w:r>
            <w:r>
              <w:rPr>
                <w:rFonts w:hint="eastAsia" w:ascii="仿宋" w:hAnsi="仿宋" w:eastAsia="仿宋" w:cs="仿宋"/>
                <w:bCs/>
                <w:spacing w:val="-16"/>
                <w:sz w:val="30"/>
                <w:szCs w:val="30"/>
              </w:rPr>
              <w:t>租赁</w:t>
            </w:r>
            <w:r>
              <w:rPr>
                <w:rFonts w:hint="eastAsia" w:ascii="仿宋" w:hAnsi="仿宋" w:eastAsia="仿宋" w:cs="仿宋"/>
                <w:bCs/>
                <w:spacing w:val="-16"/>
                <w:sz w:val="30"/>
                <w:szCs w:val="30"/>
                <w:lang w:val="en-US"/>
              </w:rPr>
              <w:t>厂区南部</w:t>
            </w:r>
            <w:r>
              <w:rPr>
                <w:rFonts w:hint="eastAsia" w:ascii="仿宋" w:hAnsi="仿宋" w:eastAsia="仿宋" w:cs="仿宋"/>
                <w:bCs/>
                <w:spacing w:val="-16"/>
                <w:sz w:val="30"/>
                <w:szCs w:val="30"/>
              </w:rPr>
              <w:t>现有1#钢渣大棚部分区域</w:t>
            </w:r>
            <w:r>
              <w:rPr>
                <w:rFonts w:hint="eastAsia" w:ascii="仿宋" w:hAnsi="仿宋" w:eastAsia="仿宋" w:cs="仿宋"/>
                <w:bCs/>
                <w:spacing w:val="-16"/>
                <w:sz w:val="30"/>
                <w:szCs w:val="30"/>
                <w:lang w:eastAsia="zh-CN"/>
              </w:rPr>
              <w:t>，</w:t>
            </w:r>
            <w:r>
              <w:rPr>
                <w:rFonts w:hint="eastAsia" w:ascii="仿宋" w:hAnsi="仿宋" w:eastAsia="仿宋" w:cs="仿宋"/>
                <w:spacing w:val="-16"/>
                <w:sz w:val="30"/>
                <w:szCs w:val="30"/>
              </w:rPr>
              <w:t>项目中心坐标E118°31′24.93″，N38°56′51.74″，总投资2294.28万元（其中环保投资68万元）。</w:t>
            </w:r>
            <w:r>
              <w:rPr>
                <w:rFonts w:hint="eastAsia" w:ascii="仿宋" w:hAnsi="仿宋" w:eastAsia="仿宋" w:cs="仿宋"/>
                <w:spacing w:val="-16"/>
                <w:sz w:val="30"/>
                <w:szCs w:val="30"/>
                <w:lang w:val="en-US" w:eastAsia="zh-CN"/>
              </w:rPr>
              <w:t>项目</w:t>
            </w:r>
            <w:r>
              <w:rPr>
                <w:rFonts w:hint="eastAsia" w:ascii="仿宋" w:hAnsi="仿宋" w:eastAsia="仿宋" w:cs="仿宋"/>
                <w:bCs/>
                <w:spacing w:val="-16"/>
                <w:sz w:val="30"/>
                <w:szCs w:val="30"/>
                <w:lang w:val="en-US"/>
              </w:rPr>
              <w:t>购置圆筒筛、直线给料机、除铁器、磁滚筒、提纯机等设备及相关配套辅助设施。项目建成后，</w:t>
            </w:r>
            <w:r>
              <w:rPr>
                <w:rFonts w:hint="eastAsia" w:ascii="仿宋" w:hAnsi="仿宋" w:eastAsia="仿宋" w:cs="仿宋"/>
                <w:bCs/>
                <w:spacing w:val="-16"/>
                <w:sz w:val="30"/>
                <w:szCs w:val="30"/>
                <w:lang w:val="en-US" w:eastAsia="zh-CN"/>
              </w:rPr>
              <w:t>计划</w:t>
            </w:r>
            <w:r>
              <w:rPr>
                <w:rFonts w:hint="eastAsia" w:ascii="仿宋" w:hAnsi="仿宋" w:eastAsia="仿宋" w:cs="仿宋"/>
                <w:bCs/>
                <w:spacing w:val="-16"/>
                <w:sz w:val="30"/>
                <w:szCs w:val="30"/>
                <w:lang w:val="en-US"/>
              </w:rPr>
              <w:t>年处理路基料219万吨，年产铁精粉、粒钢共10.864万吨</w:t>
            </w:r>
            <w:r>
              <w:rPr>
                <w:rFonts w:hint="eastAsia" w:ascii="仿宋" w:hAnsi="仿宋" w:eastAsia="仿宋" w:cs="仿宋"/>
                <w:spacing w:val="-16"/>
                <w:sz w:val="30"/>
                <w:szCs w:val="30"/>
                <w:lang w:val="en-US"/>
              </w:rPr>
              <w:t>。</w:t>
            </w:r>
            <w:r>
              <w:rPr>
                <w:rFonts w:hint="eastAsia" w:ascii="仿宋" w:hAnsi="仿宋" w:eastAsia="仿宋" w:cs="仿宋"/>
                <w:spacing w:val="-16"/>
                <w:sz w:val="30"/>
                <w:szCs w:val="30"/>
              </w:rPr>
              <w:t>项</w:t>
            </w:r>
            <w:r>
              <w:rPr>
                <w:rFonts w:ascii="仿宋" w:hAnsi="仿宋" w:eastAsia="仿宋" w:cs="仿宋"/>
                <w:spacing w:val="-16"/>
                <w:sz w:val="30"/>
                <w:szCs w:val="30"/>
              </w:rPr>
              <w:t>目实施将对生态环境产生一定不利影响，在全面落实环</w:t>
            </w:r>
            <w:r>
              <w:rPr>
                <w:rFonts w:eastAsia="仿宋"/>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688DDEA8">
            <w:pPr>
              <w:adjustRightInd w:val="0"/>
              <w:snapToGrid w:val="0"/>
              <w:spacing w:line="252" w:lineRule="auto"/>
              <w:ind w:firstLine="536" w:firstLineChars="200"/>
              <w:rPr>
                <w:rFonts w:eastAsia="仿宋"/>
                <w:spacing w:val="-16"/>
                <w:sz w:val="30"/>
                <w:szCs w:val="30"/>
              </w:rPr>
            </w:pPr>
            <w:r>
              <w:rPr>
                <w:rFonts w:eastAsia="仿宋"/>
                <w:spacing w:val="-16"/>
                <w:sz w:val="30"/>
                <w:szCs w:val="30"/>
              </w:rPr>
              <w:t>二、项目实施</w:t>
            </w:r>
            <w:r>
              <w:rPr>
                <w:rFonts w:hint="eastAsia" w:eastAsia="仿宋"/>
                <w:spacing w:val="-16"/>
                <w:sz w:val="30"/>
                <w:szCs w:val="30"/>
              </w:rPr>
              <w:t>过程</w:t>
            </w:r>
            <w:r>
              <w:rPr>
                <w:rFonts w:eastAsia="仿宋"/>
                <w:spacing w:val="-16"/>
                <w:sz w:val="30"/>
                <w:szCs w:val="30"/>
              </w:rPr>
              <w:t>中应重点做好以下工作：</w:t>
            </w:r>
          </w:p>
          <w:p w14:paraId="6B1BEC9C">
            <w:pPr>
              <w:adjustRightInd w:val="0"/>
              <w:snapToGrid w:val="0"/>
              <w:spacing w:line="252" w:lineRule="auto"/>
              <w:ind w:firstLine="536" w:firstLineChars="200"/>
              <w:rPr>
                <w:rFonts w:ascii="仿宋" w:hAnsi="仿宋" w:eastAsia="仿宋" w:cs="仿宋"/>
                <w:spacing w:val="-16"/>
                <w:sz w:val="30"/>
                <w:szCs w:val="30"/>
              </w:rPr>
            </w:pPr>
            <w:r>
              <w:rPr>
                <w:rFonts w:ascii="仿宋" w:hAnsi="仿宋" w:eastAsia="仿宋" w:cs="仿宋"/>
                <w:spacing w:val="-16"/>
                <w:sz w:val="30"/>
                <w:szCs w:val="30"/>
              </w:rPr>
              <w:t>（一）</w:t>
            </w:r>
            <w:r>
              <w:rPr>
                <w:rFonts w:hint="eastAsia" w:ascii="仿宋" w:hAnsi="仿宋" w:eastAsia="仿宋" w:cs="仿宋"/>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妥善处置施工固体废弃物，施工废水回用或抑尘。</w:t>
            </w:r>
          </w:p>
          <w:p w14:paraId="146FA555">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（二）运营期，直线给料机受料</w:t>
            </w:r>
            <w:r>
              <w:rPr>
                <w:rFonts w:hint="eastAsia" w:ascii="仿宋" w:hAnsi="仿宋" w:eastAsia="仿宋" w:cs="仿宋"/>
                <w:spacing w:val="-16"/>
                <w:sz w:val="30"/>
                <w:szCs w:val="30"/>
                <w:lang w:val="en-US" w:eastAsia="zh-CN"/>
              </w:rPr>
              <w:t>及</w:t>
            </w:r>
            <w:r>
              <w:rPr>
                <w:rFonts w:hint="eastAsia" w:ascii="仿宋" w:hAnsi="仿宋" w:eastAsia="仿宋" w:cs="仿宋"/>
                <w:spacing w:val="-16"/>
                <w:sz w:val="30"/>
                <w:szCs w:val="30"/>
              </w:rPr>
              <w:t>落料废气</w:t>
            </w:r>
            <w:r>
              <w:rPr>
                <w:rFonts w:hint="eastAsia" w:ascii="仿宋" w:hAnsi="仿宋" w:eastAsia="仿宋" w:cs="仿宋"/>
                <w:spacing w:val="-16"/>
                <w:sz w:val="30"/>
                <w:szCs w:val="30"/>
                <w:lang w:eastAsia="zh-CN"/>
              </w:rPr>
              <w:t>、胶带机分料废气、胶带机</w:t>
            </w:r>
            <w:r>
              <w:rPr>
                <w:rFonts w:hint="eastAsia" w:ascii="仿宋" w:hAnsi="仿宋" w:eastAsia="仿宋" w:cs="仿宋"/>
                <w:spacing w:val="-16"/>
                <w:sz w:val="30"/>
                <w:szCs w:val="30"/>
                <w:lang w:val="en-US" w:eastAsia="zh-CN"/>
              </w:rPr>
              <w:t>受料及</w:t>
            </w:r>
            <w:r>
              <w:rPr>
                <w:rFonts w:hint="eastAsia" w:ascii="仿宋" w:hAnsi="仿宋" w:eastAsia="仿宋" w:cs="仿宋"/>
                <w:spacing w:val="-16"/>
                <w:sz w:val="30"/>
                <w:szCs w:val="30"/>
                <w:lang w:eastAsia="zh-CN"/>
              </w:rPr>
              <w:t>落料废气、圆筒筛筛分废气、提纯机废气</w:t>
            </w:r>
            <w:r>
              <w:rPr>
                <w:rFonts w:hint="eastAsia" w:ascii="仿宋" w:hAnsi="仿宋" w:eastAsia="仿宋" w:cs="仿宋"/>
                <w:spacing w:val="-16"/>
                <w:sz w:val="30"/>
                <w:szCs w:val="30"/>
              </w:rPr>
              <w:t>经</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lang w:val="en-US" w:eastAsia="zh-CN"/>
              </w:rPr>
              <w:t>集气装置+</w:t>
            </w:r>
            <w:r>
              <w:rPr>
                <w:rFonts w:hint="eastAsia" w:ascii="仿宋" w:hAnsi="仿宋" w:eastAsia="仿宋" w:cs="仿宋"/>
                <w:spacing w:val="-16"/>
                <w:sz w:val="30"/>
                <w:szCs w:val="30"/>
              </w:rPr>
              <w:t>脉冲袋式除尘器</w:t>
            </w:r>
            <w:r>
              <w:rPr>
                <w:rFonts w:hint="eastAsia" w:ascii="仿宋" w:hAnsi="仿宋" w:eastAsia="仿宋" w:cs="仿宋"/>
                <w:spacing w:val="-16"/>
                <w:sz w:val="30"/>
                <w:szCs w:val="30"/>
                <w:lang w:val="en-US" w:eastAsia="zh-CN"/>
              </w:rPr>
              <w:t>+</w:t>
            </w:r>
            <w:r>
              <w:rPr>
                <w:rFonts w:hint="eastAsia" w:ascii="仿宋" w:hAnsi="仿宋" w:eastAsia="仿宋" w:cs="仿宋"/>
                <w:spacing w:val="-16"/>
                <w:sz w:val="30"/>
                <w:szCs w:val="30"/>
              </w:rPr>
              <w:t>27m高排气筒</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lang w:val="en-US" w:eastAsia="zh-CN"/>
              </w:rPr>
              <w:t>两套除尘器，1根排气筒</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lang w:val="en-US" w:eastAsia="zh-CN"/>
              </w:rPr>
              <w:t>处理</w:t>
            </w:r>
            <w:r>
              <w:rPr>
                <w:rFonts w:hint="eastAsia" w:ascii="仿宋" w:hAnsi="仿宋" w:eastAsia="仿宋" w:cs="仿宋"/>
                <w:spacing w:val="-16"/>
                <w:sz w:val="30"/>
                <w:szCs w:val="30"/>
              </w:rPr>
              <w:t>,颗粒物</w:t>
            </w:r>
            <w:r>
              <w:rPr>
                <w:rFonts w:hint="eastAsia" w:ascii="仿宋" w:hAnsi="仿宋" w:eastAsia="仿宋" w:cs="仿宋"/>
                <w:spacing w:val="-16"/>
                <w:sz w:val="30"/>
                <w:szCs w:val="30"/>
                <w:lang w:val="en-US" w:eastAsia="zh-CN"/>
              </w:rPr>
              <w:t>排放</w:t>
            </w:r>
            <w:r>
              <w:rPr>
                <w:rFonts w:hint="eastAsia" w:ascii="仿宋" w:hAnsi="仿宋" w:eastAsia="仿宋" w:cs="仿宋"/>
                <w:spacing w:val="-16"/>
                <w:sz w:val="30"/>
                <w:szCs w:val="30"/>
              </w:rPr>
              <w:t>须满足《钢铁工业大气污染物超低排放标准》(DB13/2169-2018)表1炼钢工序其他生产设施</w:t>
            </w:r>
            <w:r>
              <w:rPr>
                <w:rFonts w:hint="eastAsia" w:ascii="仿宋" w:hAnsi="仿宋" w:eastAsia="仿宋" w:cs="仿宋"/>
                <w:spacing w:val="-16"/>
                <w:sz w:val="30"/>
                <w:szCs w:val="30"/>
                <w:lang w:val="en-US" w:eastAsia="zh-CN"/>
              </w:rPr>
              <w:t>限值</w:t>
            </w:r>
            <w:r>
              <w:rPr>
                <w:rFonts w:hint="eastAsia" w:ascii="仿宋" w:hAnsi="仿宋" w:eastAsia="仿宋" w:cs="仿宋"/>
                <w:spacing w:val="-16"/>
                <w:sz w:val="30"/>
                <w:szCs w:val="30"/>
              </w:rPr>
              <w:t>要求。加强生产各环节污染物无组织排放管控，</w:t>
            </w:r>
            <w:r>
              <w:rPr>
                <w:rFonts w:hint="eastAsia" w:ascii="仿宋" w:hAnsi="仿宋" w:eastAsia="仿宋" w:cs="仿宋"/>
                <w:spacing w:val="-16"/>
                <w:sz w:val="30"/>
                <w:szCs w:val="30"/>
                <w:lang w:val="en-US" w:eastAsia="zh-CN"/>
              </w:rPr>
              <w:t>生产过程</w:t>
            </w:r>
            <w:r>
              <w:rPr>
                <w:rFonts w:hint="eastAsia" w:ascii="仿宋" w:hAnsi="仿宋" w:eastAsia="仿宋" w:cs="仿宋"/>
                <w:spacing w:val="-16"/>
                <w:sz w:val="30"/>
                <w:szCs w:val="30"/>
              </w:rPr>
              <w:t>控制落料高度落差，</w:t>
            </w:r>
            <w:r>
              <w:rPr>
                <w:rFonts w:hint="eastAsia" w:ascii="仿宋" w:hAnsi="仿宋" w:eastAsia="仿宋" w:cs="仿宋"/>
                <w:spacing w:val="-16"/>
                <w:sz w:val="30"/>
                <w:szCs w:val="30"/>
                <w:lang w:val="en-US" w:eastAsia="zh-CN"/>
              </w:rPr>
              <w:t>设置</w:t>
            </w:r>
            <w:r>
              <w:rPr>
                <w:rFonts w:hint="eastAsia" w:ascii="仿宋" w:hAnsi="仿宋" w:eastAsia="仿宋" w:cs="仿宋"/>
                <w:spacing w:val="-16"/>
                <w:sz w:val="30"/>
                <w:szCs w:val="30"/>
              </w:rPr>
              <w:t>固定式远程雾炮，厂界颗粒物无组织废气排放须满足《钢铁工业大气污染物超低排放标准》(DB13/2169-2018)表5</w:t>
            </w:r>
            <w:r>
              <w:rPr>
                <w:rFonts w:hint="eastAsia" w:ascii="仿宋" w:hAnsi="仿宋" w:eastAsia="仿宋" w:cs="仿宋"/>
                <w:spacing w:val="-16"/>
                <w:sz w:val="30"/>
                <w:szCs w:val="30"/>
                <w:lang w:val="en-US" w:eastAsia="zh-CN"/>
              </w:rPr>
              <w:t>中</w:t>
            </w:r>
            <w:r>
              <w:rPr>
                <w:rFonts w:hint="eastAsia" w:ascii="仿宋" w:hAnsi="仿宋" w:eastAsia="仿宋" w:cs="仿宋"/>
                <w:spacing w:val="-16"/>
                <w:sz w:val="30"/>
                <w:szCs w:val="30"/>
              </w:rPr>
              <w:t>限值要求。</w:t>
            </w:r>
          </w:p>
          <w:p w14:paraId="12C08363">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（三）运营期，洗车平台废水经沉淀池沉淀后循环使用；生活污水依托首钢京唐公司内现有的生活</w:t>
            </w:r>
            <w:r>
              <w:rPr>
                <w:rFonts w:hint="eastAsia" w:ascii="仿宋" w:hAnsi="仿宋" w:eastAsia="仿宋" w:cs="仿宋"/>
                <w:spacing w:val="-16"/>
                <w:sz w:val="30"/>
                <w:szCs w:val="30"/>
                <w:lang w:val="en-US" w:eastAsia="zh-CN"/>
              </w:rPr>
              <w:t>污水处理</w:t>
            </w:r>
            <w:r>
              <w:rPr>
                <w:rFonts w:hint="eastAsia" w:ascii="仿宋" w:hAnsi="仿宋" w:eastAsia="仿宋" w:cs="仿宋"/>
                <w:spacing w:val="-16"/>
                <w:sz w:val="30"/>
                <w:szCs w:val="30"/>
              </w:rPr>
              <w:t>设施</w:t>
            </w:r>
            <w:r>
              <w:rPr>
                <w:rFonts w:hint="eastAsia" w:ascii="仿宋" w:hAnsi="仿宋" w:eastAsia="仿宋" w:cs="仿宋"/>
                <w:spacing w:val="-16"/>
                <w:sz w:val="30"/>
                <w:szCs w:val="30"/>
                <w:lang w:val="en-US" w:eastAsia="zh-CN"/>
              </w:rPr>
              <w:t>处理</w:t>
            </w:r>
            <w:r>
              <w:rPr>
                <w:rFonts w:hint="eastAsia" w:ascii="仿宋" w:hAnsi="仿宋" w:eastAsia="仿宋" w:cs="仿宋"/>
                <w:spacing w:val="-16"/>
                <w:sz w:val="30"/>
                <w:szCs w:val="30"/>
              </w:rPr>
              <w:t>，</w:t>
            </w:r>
            <w:r>
              <w:rPr>
                <w:rFonts w:hint="eastAsia" w:ascii="仿宋" w:hAnsi="仿宋" w:eastAsia="仿宋" w:cs="仿宋"/>
                <w:spacing w:val="-16"/>
                <w:sz w:val="30"/>
                <w:szCs w:val="30"/>
                <w:lang w:val="en-US" w:eastAsia="zh-CN"/>
              </w:rPr>
              <w:t>处理后</w:t>
            </w:r>
            <w:r>
              <w:rPr>
                <w:rFonts w:hint="eastAsia" w:ascii="仿宋" w:hAnsi="仿宋" w:eastAsia="仿宋" w:cs="仿宋"/>
                <w:spacing w:val="-16"/>
                <w:sz w:val="30"/>
                <w:szCs w:val="30"/>
              </w:rPr>
              <w:t>全部回用于首钢京唐公司。严格按要求落实防渗措施,防止对地下水造成污染。</w:t>
            </w:r>
          </w:p>
          <w:p w14:paraId="3EB05077">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四）运营期，严格按照有关规定，对固体废物实施分类收集和处理、处置，做到资源化、减量化、无害化。一般工业固废妥善处理，最大限度回收利用。废润滑油、废油桶等危险废物按规定暂存，定期交有相应资质的危险废物处理单位处置。危险废物暂存间应满足《危险废物贮存污染控制标准》（GB18597-2023）要求。加强危险废物收集、出厂转移环节的环境管理和风险防范。</w:t>
            </w:r>
          </w:p>
          <w:p w14:paraId="1736E5A5">
            <w:pPr>
              <w:pStyle w:val="6"/>
              <w:adjustRightInd w:val="0"/>
              <w:snapToGrid w:val="0"/>
              <w:spacing w:line="252" w:lineRule="auto"/>
              <w:ind w:left="0" w:leftChars="0" w:right="0" w:rightChars="0"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五）运营期，加强噪声污染防治。项目建设应合理布局，选用低噪声设备，同时采取必要的减振、隔声等降噪措施，加强设备的日常维护和保养，厂界噪声须满足《工业企业厂界环境噪声排放标准》（GB12348-2008）中相关要求。</w:t>
            </w:r>
          </w:p>
          <w:p w14:paraId="5E4BDD0E">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（六）加强环境风险防范，落实环境风险应急措施。及时制定和完善突发环境事件应急预案，与我地政府、园区</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rPr>
              <w:t>首钢京唐公司等应急预案做好衔接，按照规定报相关部门备案。配备必要的应急设备和物资，加大风险监测和监控力度，定期进行应急培训和演练，有效防范和应对环境风险。</w:t>
            </w:r>
          </w:p>
          <w:p w14:paraId="1F187827">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（七）其他环境管理内容严格按环境影响报告表规定的措施进行落实。</w:t>
            </w:r>
          </w:p>
          <w:p w14:paraId="59286D6D">
            <w:pPr>
              <w:pStyle w:val="11"/>
              <w:adjustRightInd w:val="0"/>
              <w:snapToGrid w:val="0"/>
              <w:spacing w:line="252" w:lineRule="auto"/>
              <w:ind w:firstLine="536"/>
              <w:rPr>
                <w:rFonts w:ascii="仿宋" w:hAnsi="仿宋" w:eastAsia="仿宋" w:cs="仿宋"/>
                <w:spacing w:val="-16"/>
                <w:sz w:val="30"/>
                <w:szCs w:val="30"/>
              </w:rPr>
            </w:pPr>
            <w:r>
              <w:rPr>
                <w:rFonts w:hint="eastAsia" w:ascii="仿宋" w:hAnsi="仿宋" w:eastAsia="仿宋" w:cs="仿宋"/>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2F792B9A">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9EDA881">
            <w:pPr>
              <w:adjustRightInd w:val="0"/>
              <w:snapToGrid w:val="0"/>
              <w:spacing w:line="252" w:lineRule="auto"/>
              <w:ind w:firstLine="536" w:firstLineChars="200"/>
              <w:rPr>
                <w:rFonts w:ascii="仿宋" w:hAnsi="仿宋" w:eastAsia="仿宋" w:cs="仿宋"/>
                <w:spacing w:val="-16"/>
                <w:sz w:val="30"/>
                <w:szCs w:val="30"/>
              </w:rPr>
            </w:pPr>
            <w:r>
              <w:rPr>
                <w:rFonts w:hint="eastAsia" w:ascii="仿宋" w:hAnsi="仿宋" w:eastAsia="仿宋" w:cs="仿宋"/>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74E44698">
            <w:pPr>
              <w:adjustRightInd w:val="0"/>
              <w:snapToGrid w:val="0"/>
              <w:spacing w:line="252" w:lineRule="auto"/>
              <w:ind w:firstLine="536" w:firstLineChars="200"/>
            </w:pPr>
            <w:r>
              <w:rPr>
                <w:rFonts w:hint="eastAsia" w:ascii="仿宋" w:hAnsi="仿宋" w:eastAsia="仿宋" w:cs="仿宋"/>
                <w:spacing w:val="-16"/>
                <w:sz w:val="30"/>
                <w:szCs w:val="30"/>
              </w:rPr>
              <w:t>六、该项目的环境保护“三同时”制度落实日常监管由唐山市生态环境局曹妃甸区分局负责。</w:t>
            </w:r>
          </w:p>
          <w:p w14:paraId="7FF539D6"/>
          <w:p w14:paraId="2D55527E">
            <w:pPr>
              <w:pStyle w:val="2"/>
            </w:pPr>
          </w:p>
          <w:p w14:paraId="625F2256">
            <w:pPr>
              <w:pStyle w:val="3"/>
            </w:pPr>
          </w:p>
          <w:p w14:paraId="517B0A7E"/>
          <w:p w14:paraId="08021509">
            <w:pPr>
              <w:pStyle w:val="2"/>
            </w:pPr>
          </w:p>
          <w:p w14:paraId="68BA9BE2">
            <w:pPr>
              <w:pStyle w:val="3"/>
            </w:pPr>
          </w:p>
          <w:p w14:paraId="5C28C2F4"/>
          <w:p w14:paraId="3AC1AABC">
            <w:pPr>
              <w:pStyle w:val="2"/>
            </w:pPr>
          </w:p>
          <w:p w14:paraId="3C134DB6">
            <w:pPr>
              <w:pStyle w:val="3"/>
            </w:pPr>
          </w:p>
          <w:p w14:paraId="78DD8CDC">
            <w:bookmarkStart w:id="1" w:name="_GoBack"/>
            <w:bookmarkEnd w:id="1"/>
          </w:p>
          <w:p w14:paraId="331FD610"/>
          <w:p w14:paraId="65378CC5"/>
          <w:p w14:paraId="10E99C7E">
            <w:pPr>
              <w:pStyle w:val="2"/>
              <w:ind w:firstLine="0"/>
            </w:pPr>
          </w:p>
          <w:p w14:paraId="277FB507">
            <w:pPr>
              <w:pStyle w:val="3"/>
            </w:pPr>
          </w:p>
          <w:p w14:paraId="449AC1B0"/>
          <w:p w14:paraId="1837D2A2">
            <w:pPr>
              <w:adjustRightInd w:val="0"/>
              <w:snapToGrid w:val="0"/>
              <w:ind w:left="5670" w:leftChars="2700"/>
              <w:rPr>
                <w:rFonts w:eastAsia="仿宋"/>
                <w:sz w:val="30"/>
                <w:szCs w:val="30"/>
              </w:rPr>
            </w:pPr>
            <w:r>
              <w:rPr>
                <w:rFonts w:hint="eastAsia" w:eastAsia="仿宋"/>
                <w:sz w:val="30"/>
                <w:szCs w:val="30"/>
              </w:rPr>
              <w:t xml:space="preserve">    </w:t>
            </w:r>
            <w:r>
              <w:rPr>
                <w:rFonts w:eastAsia="仿宋"/>
                <w:sz w:val="30"/>
                <w:szCs w:val="30"/>
              </w:rPr>
              <w:t xml:space="preserve">              （盖章）</w:t>
            </w:r>
          </w:p>
          <w:p w14:paraId="78F561E2">
            <w:pPr>
              <w:adjustRightInd w:val="0"/>
              <w:snapToGrid w:val="0"/>
              <w:jc w:val="center"/>
              <w:rPr>
                <w:rFonts w:ascii="仿宋_GB2312" w:hAnsi="宋体" w:eastAsia="仿宋_GB2312"/>
                <w:sz w:val="32"/>
              </w:rPr>
            </w:pPr>
            <w:r>
              <w:rPr>
                <w:rFonts w:hint="eastAsia" w:ascii="仿宋" w:hAnsi="仿宋" w:eastAsia="仿宋" w:cs="仿宋"/>
                <w:sz w:val="30"/>
                <w:szCs w:val="30"/>
              </w:rPr>
              <w:t xml:space="preserve">                                                 </w:t>
            </w:r>
            <w:r>
              <w:rPr>
                <w:rFonts w:hint="eastAsia" w:ascii="仿宋" w:hAnsi="仿宋" w:eastAsia="仿宋" w:cs="仿宋"/>
                <w:sz w:val="30"/>
                <w:szCs w:val="30"/>
                <w:highlight w:val="none"/>
              </w:rPr>
              <w:t xml:space="preserve"> 2025年6月</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日</w:t>
            </w:r>
          </w:p>
        </w:tc>
      </w:tr>
    </w:tbl>
    <w:p w14:paraId="3450ACC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8999">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lMTBhZjM5MzZlYzZlOTBlMTdhNWEzYWJkYTZkMjIifQ=="/>
  </w:docVars>
  <w:rsids>
    <w:rsidRoot w:val="002441E5"/>
    <w:rsid w:val="00025F8C"/>
    <w:rsid w:val="00041940"/>
    <w:rsid w:val="00042246"/>
    <w:rsid w:val="000466EF"/>
    <w:rsid w:val="0006656F"/>
    <w:rsid w:val="000A5C9E"/>
    <w:rsid w:val="000A632F"/>
    <w:rsid w:val="000B482C"/>
    <w:rsid w:val="000C7F9E"/>
    <w:rsid w:val="00146E0E"/>
    <w:rsid w:val="00157E65"/>
    <w:rsid w:val="00165D72"/>
    <w:rsid w:val="001D72A6"/>
    <w:rsid w:val="001F44A0"/>
    <w:rsid w:val="002441E5"/>
    <w:rsid w:val="00265DF0"/>
    <w:rsid w:val="00275F9E"/>
    <w:rsid w:val="002917FA"/>
    <w:rsid w:val="002D1025"/>
    <w:rsid w:val="002D2926"/>
    <w:rsid w:val="002F371A"/>
    <w:rsid w:val="0032773E"/>
    <w:rsid w:val="003B3367"/>
    <w:rsid w:val="003E6D10"/>
    <w:rsid w:val="00445263"/>
    <w:rsid w:val="004E26A7"/>
    <w:rsid w:val="004F2D85"/>
    <w:rsid w:val="004F500D"/>
    <w:rsid w:val="005078D3"/>
    <w:rsid w:val="005A3D82"/>
    <w:rsid w:val="005C646C"/>
    <w:rsid w:val="005D2677"/>
    <w:rsid w:val="0061102D"/>
    <w:rsid w:val="006656A1"/>
    <w:rsid w:val="006C4201"/>
    <w:rsid w:val="008179A8"/>
    <w:rsid w:val="00834DD8"/>
    <w:rsid w:val="00876764"/>
    <w:rsid w:val="00894664"/>
    <w:rsid w:val="008F73D5"/>
    <w:rsid w:val="00905E46"/>
    <w:rsid w:val="0093299B"/>
    <w:rsid w:val="009E31BC"/>
    <w:rsid w:val="00A4500A"/>
    <w:rsid w:val="00AB7180"/>
    <w:rsid w:val="00AD05D1"/>
    <w:rsid w:val="00B26B62"/>
    <w:rsid w:val="00B34552"/>
    <w:rsid w:val="00B446F7"/>
    <w:rsid w:val="00B921B9"/>
    <w:rsid w:val="00BB0B22"/>
    <w:rsid w:val="00BD4678"/>
    <w:rsid w:val="00BE710B"/>
    <w:rsid w:val="00C61692"/>
    <w:rsid w:val="00C821BB"/>
    <w:rsid w:val="00CC6DF6"/>
    <w:rsid w:val="00D11EFD"/>
    <w:rsid w:val="00D43B2F"/>
    <w:rsid w:val="00D95E6E"/>
    <w:rsid w:val="00DF08F9"/>
    <w:rsid w:val="00E7007C"/>
    <w:rsid w:val="00EC3195"/>
    <w:rsid w:val="00ED65A3"/>
    <w:rsid w:val="00EE1FB7"/>
    <w:rsid w:val="00EF3D17"/>
    <w:rsid w:val="00F429BF"/>
    <w:rsid w:val="00F6057A"/>
    <w:rsid w:val="00F763AE"/>
    <w:rsid w:val="01396DB8"/>
    <w:rsid w:val="01717C47"/>
    <w:rsid w:val="01F25BBC"/>
    <w:rsid w:val="02B56110"/>
    <w:rsid w:val="02F25542"/>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1402E7"/>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00D79"/>
    <w:rsid w:val="13F955A3"/>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4F6DA3"/>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B6903DC"/>
    <w:rsid w:val="3C7911BB"/>
    <w:rsid w:val="3CB31943"/>
    <w:rsid w:val="3DF163E3"/>
    <w:rsid w:val="3E697715"/>
    <w:rsid w:val="3F47719D"/>
    <w:rsid w:val="3FBE5403"/>
    <w:rsid w:val="3FCC3946"/>
    <w:rsid w:val="3FD32370"/>
    <w:rsid w:val="401C0D02"/>
    <w:rsid w:val="40713AD5"/>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E7F20F0"/>
    <w:rsid w:val="4F0716F6"/>
    <w:rsid w:val="4F633CBE"/>
    <w:rsid w:val="4F657FE0"/>
    <w:rsid w:val="4F69341E"/>
    <w:rsid w:val="50000B1D"/>
    <w:rsid w:val="507C3A71"/>
    <w:rsid w:val="50CF58EE"/>
    <w:rsid w:val="51076707"/>
    <w:rsid w:val="515155A2"/>
    <w:rsid w:val="51FA00FE"/>
    <w:rsid w:val="52B23E2F"/>
    <w:rsid w:val="52B92E41"/>
    <w:rsid w:val="531643A8"/>
    <w:rsid w:val="53293638"/>
    <w:rsid w:val="5357030B"/>
    <w:rsid w:val="536C62A4"/>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1B167B3"/>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33774C"/>
    <w:rsid w:val="6D5463B7"/>
    <w:rsid w:val="6DA02B76"/>
    <w:rsid w:val="6DE37C26"/>
    <w:rsid w:val="6E2825BD"/>
    <w:rsid w:val="6E35395F"/>
    <w:rsid w:val="6F035768"/>
    <w:rsid w:val="6FD90614"/>
    <w:rsid w:val="70491E36"/>
    <w:rsid w:val="704F5371"/>
    <w:rsid w:val="705A5C6F"/>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31BC2"/>
    <w:rsid w:val="7A7F4E47"/>
    <w:rsid w:val="7B6D7C9A"/>
    <w:rsid w:val="7BC274E3"/>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annotation text"/>
    <w:basedOn w:val="1"/>
    <w:semiHidden/>
    <w:unhideWhenUsed/>
    <w:qFormat/>
    <w:uiPriority w:val="99"/>
    <w:pPr>
      <w:jc w:val="left"/>
    </w:pPr>
  </w:style>
  <w:style w:type="paragraph" w:styleId="6">
    <w:name w:val="Block Text"/>
    <w:basedOn w:val="1"/>
    <w:next w:val="1"/>
    <w:semiHidden/>
    <w:unhideWhenUsed/>
    <w:qFormat/>
    <w:uiPriority w:val="99"/>
    <w:pPr>
      <w:ind w:left="1440" w:leftChars="700" w:right="700" w:rightChars="700"/>
    </w:pPr>
  </w:style>
  <w:style w:type="paragraph" w:styleId="7">
    <w:name w:val="Plain Text"/>
    <w:basedOn w:val="1"/>
    <w:unhideWhenUsed/>
    <w:qFormat/>
    <w:uiPriority w:val="99"/>
    <w:rPr>
      <w:rFonts w:hint="eastAsia" w:ascii="宋体" w:hAnsi="Courier New" w:cs="Courier New"/>
      <w:szCs w:val="21"/>
    </w:rPr>
  </w:style>
  <w:style w:type="paragraph" w:styleId="8">
    <w:name w:val="Balloon Text"/>
    <w:basedOn w:val="1"/>
    <w:link w:val="28"/>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qFormat/>
    <w:uiPriority w:val="0"/>
    <w:pPr>
      <w:spacing w:line="440" w:lineRule="exact"/>
      <w:ind w:firstLine="200" w:firstLineChars="200"/>
    </w:pPr>
  </w:style>
  <w:style w:type="character" w:styleId="14">
    <w:name w:val="Strong"/>
    <w:basedOn w:val="13"/>
    <w:qFormat/>
    <w:uiPriority w:val="22"/>
    <w:rPr>
      <w:b/>
      <w:sz w:val="24"/>
      <w:szCs w:val="24"/>
    </w:rPr>
  </w:style>
  <w:style w:type="character" w:styleId="15">
    <w:name w:val="FollowedHyperlink"/>
    <w:basedOn w:val="13"/>
    <w:semiHidden/>
    <w:unhideWhenUsed/>
    <w:qFormat/>
    <w:uiPriority w:val="99"/>
    <w:rPr>
      <w:color w:val="128EC2"/>
      <w:u w:val="none"/>
    </w:rPr>
  </w:style>
  <w:style w:type="character" w:styleId="16">
    <w:name w:val="Emphasis"/>
    <w:basedOn w:val="13"/>
    <w:qFormat/>
    <w:uiPriority w:val="20"/>
    <w:rPr>
      <w:b/>
      <w:sz w:val="24"/>
      <w:szCs w:val="24"/>
    </w:rPr>
  </w:style>
  <w:style w:type="character" w:styleId="17">
    <w:name w:val="Hyperlink"/>
    <w:basedOn w:val="13"/>
    <w:semiHidden/>
    <w:unhideWhenUsed/>
    <w:qFormat/>
    <w:uiPriority w:val="99"/>
    <w:rPr>
      <w:color w:val="128EC2"/>
      <w:u w:val="none"/>
    </w:rPr>
  </w:style>
  <w:style w:type="character" w:styleId="18">
    <w:name w:val="annotation reference"/>
    <w:semiHidden/>
    <w:qFormat/>
    <w:uiPriority w:val="0"/>
    <w:rPr>
      <w:sz w:val="21"/>
    </w:rPr>
  </w:style>
  <w:style w:type="character" w:customStyle="1" w:styleId="19">
    <w:name w:val="页眉 Char"/>
    <w:basedOn w:val="13"/>
    <w:link w:val="10"/>
    <w:semiHidden/>
    <w:qFormat/>
    <w:uiPriority w:val="99"/>
    <w:rPr>
      <w:sz w:val="18"/>
      <w:szCs w:val="18"/>
    </w:rPr>
  </w:style>
  <w:style w:type="character" w:customStyle="1" w:styleId="20">
    <w:name w:val="页脚 Char"/>
    <w:basedOn w:val="13"/>
    <w:link w:val="9"/>
    <w:semiHidden/>
    <w:qFormat/>
    <w:uiPriority w:val="99"/>
    <w:rPr>
      <w:sz w:val="18"/>
      <w:szCs w:val="18"/>
    </w:rPr>
  </w:style>
  <w:style w:type="character" w:customStyle="1" w:styleId="21">
    <w:name w:val="u-ver6"/>
    <w:basedOn w:val="13"/>
    <w:qFormat/>
    <w:uiPriority w:val="0"/>
  </w:style>
  <w:style w:type="character" w:customStyle="1" w:styleId="22">
    <w:name w:val="u-ver5"/>
    <w:basedOn w:val="13"/>
    <w:qFormat/>
    <w:uiPriority w:val="0"/>
  </w:style>
  <w:style w:type="character" w:customStyle="1" w:styleId="23">
    <w:name w:val="正常格式 Char"/>
    <w:link w:val="24"/>
    <w:qFormat/>
    <w:uiPriority w:val="0"/>
    <w:rPr>
      <w:rFonts w:ascii="Times New Roman" w:hAnsi="Times New Roman"/>
      <w:snapToGrid w:val="0"/>
      <w:kern w:val="0"/>
      <w:sz w:val="24"/>
    </w:rPr>
  </w:style>
  <w:style w:type="paragraph" w:customStyle="1" w:styleId="24">
    <w:name w:val="正常格式"/>
    <w:basedOn w:val="1"/>
    <w:link w:val="23"/>
    <w:qFormat/>
    <w:uiPriority w:val="0"/>
    <w:pPr>
      <w:spacing w:line="480" w:lineRule="exact"/>
      <w:ind w:firstLine="602" w:firstLineChars="200"/>
    </w:pPr>
    <w:rPr>
      <w:snapToGrid w:val="0"/>
      <w:kern w:val="0"/>
      <w:sz w:val="24"/>
    </w:rPr>
  </w:style>
  <w:style w:type="paragraph" w:customStyle="1" w:styleId="25">
    <w:name w:val="样式4"/>
    <w:qFormat/>
    <w:uiPriority w:val="0"/>
    <w:rPr>
      <w:rFonts w:ascii="宋体" w:hAnsi="宋体" w:eastAsia="宋体" w:cs="Times New Roman"/>
      <w:b/>
      <w:bCs/>
      <w:iCs/>
      <w:kern w:val="2"/>
      <w:sz w:val="24"/>
      <w:szCs w:val="24"/>
      <w:lang w:val="zh-CN" w:eastAsia="zh-CN" w:bidi="ar-SA"/>
    </w:rPr>
  </w:style>
  <w:style w:type="paragraph" w:customStyle="1" w:styleId="2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27">
    <w:name w:val="fontstyle01"/>
    <w:qFormat/>
    <w:uiPriority w:val="0"/>
    <w:rPr>
      <w:rFonts w:hint="default" w:ascii="仿宋" w:hAnsi="仿宋"/>
      <w:color w:val="000000"/>
      <w:sz w:val="30"/>
      <w:szCs w:val="30"/>
    </w:rPr>
  </w:style>
  <w:style w:type="character" w:customStyle="1" w:styleId="28">
    <w:name w:val="批注框文本 Char"/>
    <w:basedOn w:val="13"/>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1664</Words>
  <Characters>1775</Characters>
  <Lines>13</Lines>
  <Paragraphs>3</Paragraphs>
  <TotalTime>1</TotalTime>
  <ScaleCrop>false</ScaleCrop>
  <LinksUpToDate>false</LinksUpToDate>
  <CharactersWithSpaces>1845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2025-06-11T09:30:55Z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E754284BBBAB47BDB076267564D5653A_13</vt:lpwstr>
  </property>
  <property fmtid="{D5CDD505-2E9C-101B-9397-08002B2CF9AE}" pid="4" name="KSOTemplateDocerSaveRecord">
    <vt:lpwstr>eyJoZGlkIjoiMGRhZDA0NDM4MGI2ZDZkZDA4MDhkZTNhNTY4OGY1NmUiLCJ1c2VySWQiOiI3NDk2NDYyOTkifQ==</vt:lpwstr>
  </property>
</Properties>
</file>