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F68AC">
      <w:pPr>
        <w:jc w:val="center"/>
        <w:rPr>
          <w:rFonts w:ascii="Times New Roman" w:hAnsi="Times New Roman" w:eastAsia="方正小标宋_GBK" w:cs="Times New Roman"/>
          <w:sz w:val="52"/>
          <w:szCs w:val="52"/>
        </w:rPr>
      </w:pPr>
      <w:bookmarkStart w:id="0" w:name="_GoBack"/>
      <w:bookmarkEnd w:id="0"/>
      <w:r>
        <w:rPr>
          <w:rFonts w:hint="eastAsia" w:ascii="Times New Roman" w:hAnsi="Times New Roman" w:eastAsia="方正小标宋_GBK" w:cs="Times New Roman"/>
          <w:sz w:val="52"/>
          <w:szCs w:val="52"/>
        </w:rPr>
        <w:t>中共唐山市曹妃甸区</w:t>
      </w:r>
      <w:r>
        <w:rPr>
          <w:rFonts w:hint="eastAsia" w:ascii="Times New Roman" w:hAnsi="Times New Roman" w:cs="Times New Roman" w:eastAsiaTheme="minorEastAsia"/>
          <w:sz w:val="52"/>
          <w:szCs w:val="52"/>
        </w:rPr>
        <w:t>委</w:t>
      </w:r>
      <w:r>
        <w:rPr>
          <w:rFonts w:hint="eastAsia" w:ascii="Times New Roman" w:hAnsi="Times New Roman" w:eastAsia="方正小标宋_GBK" w:cs="Times New Roman"/>
          <w:sz w:val="52"/>
          <w:szCs w:val="52"/>
        </w:rPr>
        <w:t>党校</w:t>
      </w:r>
      <w:r>
        <w:rPr>
          <w:rFonts w:ascii="Times New Roman" w:hAnsi="Times New Roman" w:eastAsia="方正小标宋_GBK" w:cs="Times New Roman"/>
          <w:sz w:val="52"/>
          <w:szCs w:val="52"/>
        </w:rPr>
        <w:t>20</w:t>
      </w:r>
      <w:r>
        <w:rPr>
          <w:rFonts w:hint="eastAsia" w:ascii="Times New Roman" w:hAnsi="Times New Roman" w:eastAsia="方正小标宋_GBK" w:cs="Times New Roman"/>
          <w:sz w:val="52"/>
          <w:szCs w:val="52"/>
        </w:rPr>
        <w:t>22年部门预算信息公开</w:t>
      </w:r>
    </w:p>
    <w:p w14:paraId="6261E581">
      <w:pPr>
        <w:jc w:val="center"/>
        <w:rPr>
          <w:rFonts w:ascii="Times New Roman" w:hAnsi="Times New Roman" w:eastAsia="方正小标宋_GBK" w:cs="Times New Roman"/>
          <w:sz w:val="52"/>
          <w:szCs w:val="52"/>
        </w:rPr>
      </w:pPr>
    </w:p>
    <w:p w14:paraId="5C581B60">
      <w:pPr>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按照《预算法》、《河北省预决算公开操作规程实施细则》规定，现将</w:t>
      </w:r>
      <w:r>
        <w:rPr>
          <w:rFonts w:cs="仿宋" w:asciiTheme="minorEastAsia" w:hAnsiTheme="minorEastAsia" w:eastAsiaTheme="minorEastAsia"/>
          <w:sz w:val="32"/>
          <w:szCs w:val="32"/>
        </w:rPr>
        <w:t>20</w:t>
      </w:r>
      <w:r>
        <w:rPr>
          <w:rFonts w:hint="eastAsia" w:cs="仿宋" w:asciiTheme="minorEastAsia" w:hAnsiTheme="minorEastAsia" w:eastAsiaTheme="minorEastAsia"/>
          <w:sz w:val="32"/>
          <w:szCs w:val="32"/>
        </w:rPr>
        <w:t>22年部门预算公开如下：</w:t>
      </w:r>
    </w:p>
    <w:p w14:paraId="579F86FD">
      <w:pPr>
        <w:numPr>
          <w:ilvl w:val="0"/>
          <w:numId w:val="1"/>
        </w:numPr>
        <w:ind w:firstLine="640"/>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部门职责及机构设置情况</w:t>
      </w:r>
    </w:p>
    <w:p w14:paraId="6E21E93D">
      <w:pPr>
        <w:spacing w:line="600" w:lineRule="exact"/>
        <w:ind w:firstLine="643" w:firstLineChars="200"/>
        <w:rPr>
          <w:rFonts w:cs="Times New Roman" w:asciiTheme="minorEastAsia" w:hAnsiTheme="minorEastAsia" w:eastAsiaTheme="minorEastAsia"/>
          <w:b/>
          <w:sz w:val="32"/>
          <w:szCs w:val="32"/>
        </w:rPr>
      </w:pPr>
      <w:r>
        <w:rPr>
          <w:rFonts w:cs="Times New Roman" w:asciiTheme="minorEastAsia" w:hAnsiTheme="minorEastAsia" w:eastAsiaTheme="minorEastAsia"/>
          <w:b/>
          <w:sz w:val="32"/>
          <w:szCs w:val="32"/>
        </w:rPr>
        <w:t xml:space="preserve">   </w:t>
      </w:r>
      <w:r>
        <w:rPr>
          <w:rFonts w:hint="eastAsia" w:cs="Times New Roman" w:asciiTheme="minorEastAsia" w:hAnsiTheme="minorEastAsia" w:eastAsiaTheme="minorEastAsia"/>
          <w:b/>
          <w:sz w:val="32"/>
          <w:szCs w:val="32"/>
        </w:rPr>
        <w:t>部门职责：</w:t>
      </w:r>
    </w:p>
    <w:p w14:paraId="42B4EFE4">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（一）发挥干部教育培训主渠道作用，有计划地培训乡科级领导干部、基层</w:t>
      </w:r>
      <w:r>
        <w:rPr>
          <w:rFonts w:hint="eastAsia" w:cs="仿宋" w:asciiTheme="minorEastAsia" w:hAnsiTheme="minorEastAsia" w:eastAsiaTheme="minorEastAsia"/>
          <w:sz w:val="32"/>
          <w:szCs w:val="32"/>
          <w:lang w:eastAsia="zh-CN"/>
        </w:rPr>
        <w:t>党党支部书记</w:t>
      </w:r>
      <w:r>
        <w:rPr>
          <w:rFonts w:hint="eastAsia" w:cs="仿宋" w:asciiTheme="minorEastAsia" w:hAnsiTheme="minorEastAsia" w:eastAsiaTheme="minorEastAsia"/>
          <w:sz w:val="32"/>
          <w:szCs w:val="32"/>
        </w:rPr>
        <w:t>、优秀中青年干部、理论宣传骨干，负责对学员在培训期间的表现进行考核，提出考核意见。</w:t>
      </w:r>
    </w:p>
    <w:p w14:paraId="7B6DAD5B">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对学员进行马克思列宁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14:paraId="2C70A4D5">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（三）开展重大理论问题和现实问题研究，承担区委决策咨询服务，发挥新型智库作用。</w:t>
      </w:r>
    </w:p>
    <w:p w14:paraId="4BF3A4D2">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（四）受区委委托，举办各类专题研讨班，结合曹妃甸区实际，研讨中央提出的重大理论、战略和方针政策问题，省委、市委、区委重要决策部署。</w:t>
      </w:r>
    </w:p>
    <w:p w14:paraId="69753337">
      <w:pPr>
        <w:spacing w:line="540" w:lineRule="exact"/>
        <w:ind w:firstLine="64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（五）完成区委、区政府交办的其他任务。</w:t>
      </w:r>
    </w:p>
    <w:p w14:paraId="3A693A2A">
      <w:pPr>
        <w:spacing w:line="560" w:lineRule="exact"/>
        <w:ind w:firstLine="640"/>
        <w:rPr>
          <w:rFonts w:cs="仿宋" w:asciiTheme="minorEastAsia" w:hAnsiTheme="minorEastAsia" w:eastAsiaTheme="minorEastAsia"/>
          <w:sz w:val="32"/>
          <w:szCs w:val="32"/>
        </w:rPr>
      </w:pPr>
    </w:p>
    <w:p w14:paraId="7399BD74">
      <w:pPr>
        <w:spacing w:line="560" w:lineRule="exact"/>
        <w:ind w:firstLine="640"/>
        <w:rPr>
          <w:rFonts w:ascii="宋体" w:hAnsi="宋体" w:cs="仿宋"/>
          <w:sz w:val="32"/>
          <w:szCs w:val="32"/>
        </w:rPr>
      </w:pPr>
    </w:p>
    <w:p w14:paraId="28CD33B1">
      <w:pPr>
        <w:spacing w:line="560" w:lineRule="exact"/>
        <w:ind w:firstLine="640"/>
        <w:rPr>
          <w:rFonts w:ascii="宋体" w:hAnsi="宋体" w:cs="仿宋"/>
          <w:sz w:val="32"/>
          <w:szCs w:val="32"/>
        </w:rPr>
      </w:pPr>
      <w:r>
        <w:rPr>
          <w:rFonts w:hint="eastAsia" w:cs="Times New Roman" w:asciiTheme="minorEastAsia" w:hAnsiTheme="minorEastAsia" w:eastAsiaTheme="minorEastAsia"/>
          <w:b/>
          <w:sz w:val="32"/>
          <w:szCs w:val="32"/>
        </w:rPr>
        <w:t>机构设置：</w:t>
      </w:r>
    </w:p>
    <w:tbl>
      <w:tblPr>
        <w:tblStyle w:val="9"/>
        <w:tblpPr w:leftFromText="180" w:rightFromText="180" w:vertAnchor="text" w:horzAnchor="page" w:tblpX="1446"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14:paraId="23C6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Borders>
              <w:top w:val="single" w:color="auto" w:sz="4" w:space="0"/>
              <w:left w:val="single" w:color="auto" w:sz="4" w:space="0"/>
              <w:bottom w:val="single" w:color="auto" w:sz="4" w:space="0"/>
              <w:right w:val="single" w:color="auto" w:sz="4" w:space="0"/>
            </w:tcBorders>
          </w:tcPr>
          <w:p w14:paraId="445E4177">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单位名称</w:t>
            </w:r>
          </w:p>
        </w:tc>
        <w:tc>
          <w:tcPr>
            <w:tcW w:w="3543" w:type="dxa"/>
            <w:tcBorders>
              <w:top w:val="single" w:color="auto" w:sz="4" w:space="0"/>
              <w:left w:val="single" w:color="auto" w:sz="4" w:space="0"/>
              <w:bottom w:val="single" w:color="auto" w:sz="4" w:space="0"/>
              <w:right w:val="single" w:color="auto" w:sz="4" w:space="0"/>
            </w:tcBorders>
          </w:tcPr>
          <w:p w14:paraId="2B7E523F">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单位性质</w:t>
            </w:r>
          </w:p>
        </w:tc>
        <w:tc>
          <w:tcPr>
            <w:tcW w:w="3544" w:type="dxa"/>
            <w:tcBorders>
              <w:top w:val="single" w:color="auto" w:sz="4" w:space="0"/>
              <w:left w:val="single" w:color="auto" w:sz="4" w:space="0"/>
              <w:bottom w:val="single" w:color="auto" w:sz="4" w:space="0"/>
              <w:right w:val="single" w:color="auto" w:sz="4" w:space="0"/>
            </w:tcBorders>
          </w:tcPr>
          <w:p w14:paraId="33A464EC">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单位规格</w:t>
            </w:r>
          </w:p>
        </w:tc>
        <w:tc>
          <w:tcPr>
            <w:tcW w:w="3544" w:type="dxa"/>
            <w:tcBorders>
              <w:top w:val="single" w:color="auto" w:sz="4" w:space="0"/>
              <w:left w:val="single" w:color="auto" w:sz="4" w:space="0"/>
              <w:bottom w:val="single" w:color="auto" w:sz="4" w:space="0"/>
              <w:right w:val="single" w:color="auto" w:sz="4" w:space="0"/>
            </w:tcBorders>
          </w:tcPr>
          <w:p w14:paraId="6C9F159B">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经费保障形式</w:t>
            </w:r>
          </w:p>
        </w:tc>
      </w:tr>
      <w:tr w14:paraId="7A99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3543" w:type="dxa"/>
            <w:tcBorders>
              <w:top w:val="single" w:color="auto" w:sz="4" w:space="0"/>
              <w:left w:val="single" w:color="auto" w:sz="4" w:space="0"/>
              <w:bottom w:val="single" w:color="auto" w:sz="4" w:space="0"/>
              <w:right w:val="single" w:color="auto" w:sz="4" w:space="0"/>
            </w:tcBorders>
            <w:vAlign w:val="center"/>
          </w:tcPr>
          <w:p w14:paraId="334F4EBC">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中共唐山市曹妃甸区委党校</w:t>
            </w:r>
          </w:p>
        </w:tc>
        <w:tc>
          <w:tcPr>
            <w:tcW w:w="3543" w:type="dxa"/>
            <w:tcBorders>
              <w:top w:val="single" w:color="auto" w:sz="4" w:space="0"/>
              <w:left w:val="single" w:color="auto" w:sz="4" w:space="0"/>
              <w:bottom w:val="single" w:color="auto" w:sz="4" w:space="0"/>
              <w:right w:val="single" w:color="auto" w:sz="4" w:space="0"/>
            </w:tcBorders>
            <w:vAlign w:val="center"/>
          </w:tcPr>
          <w:p w14:paraId="6990DF23">
            <w:pPr>
              <w:spacing w:line="300" w:lineRule="exact"/>
              <w:jc w:val="center"/>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事业（部分人员参公）</w:t>
            </w:r>
          </w:p>
        </w:tc>
        <w:tc>
          <w:tcPr>
            <w:tcW w:w="3544" w:type="dxa"/>
            <w:tcBorders>
              <w:top w:val="single" w:color="auto" w:sz="4" w:space="0"/>
              <w:left w:val="single" w:color="auto" w:sz="4" w:space="0"/>
              <w:bottom w:val="single" w:color="auto" w:sz="4" w:space="0"/>
              <w:right w:val="single" w:color="auto" w:sz="4" w:space="0"/>
            </w:tcBorders>
            <w:vAlign w:val="center"/>
          </w:tcPr>
          <w:p w14:paraId="3B0C8B26">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正科级</w:t>
            </w:r>
          </w:p>
        </w:tc>
        <w:tc>
          <w:tcPr>
            <w:tcW w:w="3544" w:type="dxa"/>
            <w:tcBorders>
              <w:top w:val="single" w:color="auto" w:sz="4" w:space="0"/>
              <w:left w:val="single" w:color="auto" w:sz="4" w:space="0"/>
              <w:bottom w:val="single" w:color="auto" w:sz="4" w:space="0"/>
              <w:right w:val="single" w:color="auto" w:sz="4" w:space="0"/>
            </w:tcBorders>
            <w:vAlign w:val="center"/>
          </w:tcPr>
          <w:p w14:paraId="75DBFAD4">
            <w:pPr>
              <w:jc w:val="center"/>
              <w:outlineLvl w:val="0"/>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财政拨款</w:t>
            </w:r>
          </w:p>
        </w:tc>
      </w:tr>
    </w:tbl>
    <w:p w14:paraId="6B62CAC2">
      <w:pPr>
        <w:rPr>
          <w:rFonts w:cs="Times New Roman" w:asciiTheme="minorEastAsia" w:hAnsiTheme="minorEastAsia" w:eastAsiaTheme="minorEastAsia"/>
          <w:b/>
          <w:sz w:val="32"/>
          <w:szCs w:val="32"/>
        </w:rPr>
      </w:pPr>
      <w:r>
        <w:rPr>
          <w:rFonts w:cs="Times New Roman" w:asciiTheme="minorEastAsia" w:hAnsiTheme="minorEastAsia" w:eastAsiaTheme="minorEastAsia"/>
          <w:sz w:val="32"/>
          <w:szCs w:val="32"/>
        </w:rPr>
        <w:t xml:space="preserve">  </w:t>
      </w:r>
      <w:r>
        <w:rPr>
          <w:rFonts w:cs="Times New Roman" w:asciiTheme="minorEastAsia" w:hAnsiTheme="minorEastAsia" w:eastAsiaTheme="minorEastAsia"/>
          <w:b/>
          <w:sz w:val="32"/>
          <w:szCs w:val="32"/>
        </w:rPr>
        <w:t xml:space="preserve">  </w:t>
      </w:r>
      <w:r>
        <w:rPr>
          <w:rFonts w:hint="eastAsia" w:cs="Times New Roman" w:asciiTheme="minorEastAsia" w:hAnsiTheme="minorEastAsia" w:eastAsiaTheme="minorEastAsia"/>
          <w:b/>
          <w:sz w:val="32"/>
          <w:szCs w:val="32"/>
        </w:rPr>
        <w:t>二、部门预算安排的总体情况</w:t>
      </w:r>
    </w:p>
    <w:p w14:paraId="1B344D11">
      <w:pPr>
        <w:ind w:firstLine="480" w:firstLineChars="15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1</w:t>
      </w:r>
      <w:r>
        <w:rPr>
          <w:rFonts w:hint="eastAsia" w:cs="Times New Roman" w:asciiTheme="minorEastAsia" w:hAnsiTheme="minorEastAsia" w:eastAsiaTheme="minorEastAsia"/>
          <w:sz w:val="32"/>
          <w:szCs w:val="32"/>
        </w:rPr>
        <w:t>、收入说明</w:t>
      </w:r>
      <w:r>
        <w:rPr>
          <w:rFonts w:cs="Times New Roman" w:asciiTheme="minorEastAsia" w:hAnsiTheme="minorEastAsia" w:eastAsiaTheme="minorEastAsia"/>
          <w:sz w:val="32"/>
          <w:szCs w:val="32"/>
        </w:rPr>
        <w:t xml:space="preserve"> </w:t>
      </w:r>
    </w:p>
    <w:p w14:paraId="00892E99">
      <w:pPr>
        <w:ind w:firstLine="640" w:firstLineChars="200"/>
        <w:rPr>
          <w:rFonts w:cs="Times New Roman" w:asciiTheme="minorEastAsia" w:hAnsiTheme="minorEastAsia" w:eastAsiaTheme="minorEastAsia"/>
          <w:sz w:val="32"/>
          <w:szCs w:val="32"/>
        </w:rPr>
      </w:pPr>
      <w:r>
        <w:rPr>
          <w:rFonts w:hint="eastAsia" w:cs="宋体" w:asciiTheme="minorEastAsia" w:hAnsiTheme="minorEastAsia" w:eastAsiaTheme="minorEastAsia"/>
          <w:sz w:val="32"/>
          <w:szCs w:val="32"/>
        </w:rPr>
        <w:t>本部门当年全部收入，</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22</w:t>
      </w:r>
      <w:r>
        <w:rPr>
          <w:rFonts w:hint="eastAsia" w:cs="宋体" w:asciiTheme="minorEastAsia" w:hAnsiTheme="minorEastAsia" w:eastAsiaTheme="minorEastAsia"/>
          <w:sz w:val="32"/>
          <w:szCs w:val="32"/>
        </w:rPr>
        <w:t>年预算收入</w:t>
      </w:r>
      <w:r>
        <w:rPr>
          <w:rFonts w:hint="eastAsia" w:cs="Arial" w:asciiTheme="minorEastAsia" w:hAnsiTheme="minorEastAsia" w:eastAsiaTheme="minorEastAsia"/>
          <w:kern w:val="0"/>
          <w:sz w:val="32"/>
          <w:szCs w:val="32"/>
        </w:rPr>
        <w:t>439.4万</w:t>
      </w:r>
      <w:r>
        <w:rPr>
          <w:rFonts w:hint="eastAsia" w:cs="宋体" w:asciiTheme="minorEastAsia" w:hAnsiTheme="minorEastAsia" w:eastAsiaTheme="minorEastAsia"/>
          <w:sz w:val="32"/>
          <w:szCs w:val="32"/>
        </w:rPr>
        <w:t>元，全部为一般公共预算收入。</w:t>
      </w:r>
    </w:p>
    <w:p w14:paraId="6E34285B">
      <w:pPr>
        <w:numPr>
          <w:ilvl w:val="0"/>
          <w:numId w:val="2"/>
        </w:numPr>
        <w:ind w:firstLine="640"/>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支出说明</w:t>
      </w:r>
    </w:p>
    <w:p w14:paraId="496C4EAD">
      <w:pPr>
        <w:rPr>
          <w:rFonts w:cs="Arial" w:asciiTheme="minorEastAsia" w:hAnsiTheme="minorEastAsia" w:eastAsiaTheme="minorEastAsia"/>
          <w:kern w:val="0"/>
          <w:sz w:val="32"/>
          <w:szCs w:val="32"/>
        </w:rPr>
      </w:pPr>
      <w:r>
        <w:rPr>
          <w:rFonts w:cs="Times New Roman" w:asciiTheme="minorEastAsia" w:hAnsiTheme="minorEastAsia" w:eastAsiaTheme="minorEastAsia"/>
          <w:sz w:val="32"/>
          <w:szCs w:val="32"/>
        </w:rPr>
        <w:t xml:space="preserve">    </w:t>
      </w:r>
      <w:r>
        <w:rPr>
          <w:rFonts w:cs="??_GB2312" w:asciiTheme="minorEastAsia" w:hAnsiTheme="minorEastAsia" w:eastAsiaTheme="minorEastAsia"/>
          <w:sz w:val="32"/>
          <w:szCs w:val="32"/>
        </w:rPr>
        <w:t xml:space="preserve"> </w:t>
      </w:r>
      <w:r>
        <w:rPr>
          <w:rFonts w:hint="eastAsia" w:cs="宋体" w:asciiTheme="minorEastAsia" w:hAnsiTheme="minorEastAsia" w:eastAsiaTheme="minorEastAsia"/>
          <w:sz w:val="32"/>
          <w:szCs w:val="32"/>
        </w:rPr>
        <w:t>收支预算总表支出栏、基本支出表、项目支出表按经济分类和支出功能分类科目编制，反映中共唐山市曹妃甸区委党校2022年度部门预算中支出预算的总体情况。</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22</w:t>
      </w:r>
      <w:r>
        <w:rPr>
          <w:rFonts w:hint="eastAsia" w:cs="宋体" w:asciiTheme="minorEastAsia" w:hAnsiTheme="minorEastAsia" w:eastAsiaTheme="minorEastAsia"/>
          <w:sz w:val="32"/>
          <w:szCs w:val="32"/>
        </w:rPr>
        <w:t>年部门支出预算为</w:t>
      </w:r>
      <w:r>
        <w:rPr>
          <w:rFonts w:hint="eastAsia" w:cs="Arial" w:asciiTheme="minorEastAsia" w:hAnsiTheme="minorEastAsia" w:eastAsiaTheme="minorEastAsia"/>
          <w:kern w:val="0"/>
          <w:sz w:val="32"/>
          <w:szCs w:val="32"/>
        </w:rPr>
        <w:t>439.4</w:t>
      </w:r>
      <w:r>
        <w:rPr>
          <w:rFonts w:hint="eastAsia" w:cs="宋体" w:asciiTheme="minorEastAsia" w:hAnsiTheme="minorEastAsia" w:eastAsiaTheme="minorEastAsia"/>
          <w:sz w:val="32"/>
          <w:szCs w:val="32"/>
        </w:rPr>
        <w:t>万元，其中基本支出</w:t>
      </w:r>
      <w:r>
        <w:rPr>
          <w:rFonts w:hint="eastAsia" w:cs="宋体" w:asciiTheme="minorEastAsia" w:hAnsiTheme="minorEastAsia" w:eastAsiaTheme="minorEastAsia"/>
          <w:color w:val="000000"/>
          <w:kern w:val="0"/>
          <w:sz w:val="32"/>
          <w:szCs w:val="32"/>
        </w:rPr>
        <w:t>339.9</w:t>
      </w:r>
      <w:r>
        <w:rPr>
          <w:rFonts w:hint="eastAsia" w:cs="宋体" w:asciiTheme="minorEastAsia" w:hAnsiTheme="minorEastAsia" w:eastAsiaTheme="minorEastAsia"/>
          <w:sz w:val="32"/>
          <w:szCs w:val="32"/>
        </w:rPr>
        <w:t>万元，包括人员经费</w:t>
      </w:r>
      <w:r>
        <w:rPr>
          <w:rFonts w:hint="eastAsia" w:cs="宋体" w:asciiTheme="minorEastAsia" w:hAnsiTheme="minorEastAsia" w:eastAsiaTheme="minorEastAsia"/>
          <w:color w:val="000000"/>
          <w:kern w:val="0"/>
          <w:sz w:val="32"/>
          <w:szCs w:val="32"/>
        </w:rPr>
        <w:t>311.97</w:t>
      </w:r>
      <w:r>
        <w:rPr>
          <w:rFonts w:hint="eastAsia" w:cs="宋体" w:asciiTheme="minorEastAsia" w:hAnsiTheme="minorEastAsia" w:eastAsiaTheme="minorEastAsia"/>
          <w:sz w:val="32"/>
          <w:szCs w:val="32"/>
        </w:rPr>
        <w:t>万元和日常公用经费</w:t>
      </w:r>
      <w:r>
        <w:rPr>
          <w:rFonts w:hint="eastAsia" w:cs="宋体" w:asciiTheme="minorEastAsia" w:hAnsiTheme="minorEastAsia" w:eastAsiaTheme="minorEastAsia"/>
          <w:color w:val="000000"/>
          <w:kern w:val="0"/>
          <w:sz w:val="32"/>
          <w:szCs w:val="32"/>
        </w:rPr>
        <w:t>27.93</w:t>
      </w:r>
      <w:r>
        <w:rPr>
          <w:rFonts w:hint="eastAsia" w:cs="宋体" w:asciiTheme="minorEastAsia" w:hAnsiTheme="minorEastAsia" w:eastAsiaTheme="minorEastAsia"/>
          <w:sz w:val="32"/>
          <w:szCs w:val="32"/>
        </w:rPr>
        <w:t>万元；项目支出</w:t>
      </w:r>
      <w:r>
        <w:rPr>
          <w:rFonts w:hint="eastAsia" w:cs="??_GB2312" w:asciiTheme="minorEastAsia" w:hAnsiTheme="minorEastAsia" w:eastAsiaTheme="minorEastAsia"/>
          <w:sz w:val="32"/>
          <w:szCs w:val="32"/>
        </w:rPr>
        <w:t>99.5</w:t>
      </w:r>
      <w:r>
        <w:rPr>
          <w:rFonts w:hint="eastAsia" w:cs="宋体" w:asciiTheme="minorEastAsia" w:hAnsiTheme="minorEastAsia" w:eastAsiaTheme="minorEastAsia"/>
          <w:sz w:val="32"/>
          <w:szCs w:val="32"/>
        </w:rPr>
        <w:t>万元，全部为本级支出。</w:t>
      </w:r>
    </w:p>
    <w:p w14:paraId="6874EBA8">
      <w:pPr>
        <w:numPr>
          <w:ilvl w:val="0"/>
          <w:numId w:val="2"/>
        </w:numPr>
        <w:ind w:firstLine="640"/>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rPr>
        <w:t>比上年增减情况</w:t>
      </w:r>
    </w:p>
    <w:p w14:paraId="46E0F830">
      <w:pPr>
        <w:ind w:firstLine="640" w:firstLineChars="200"/>
        <w:rPr>
          <w:rFonts w:cs="宋体" w:asciiTheme="minorEastAsia" w:hAnsiTheme="minorEastAsia" w:eastAsiaTheme="minorEastAsia"/>
          <w:sz w:val="32"/>
          <w:szCs w:val="32"/>
        </w:rPr>
      </w:pP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22</w:t>
      </w:r>
      <w:r>
        <w:rPr>
          <w:rFonts w:hint="eastAsia" w:cs="宋体" w:asciiTheme="minorEastAsia" w:hAnsiTheme="minorEastAsia" w:eastAsiaTheme="minorEastAsia"/>
          <w:sz w:val="32"/>
          <w:szCs w:val="32"/>
        </w:rPr>
        <w:t>年部门预算较</w:t>
      </w:r>
      <w:r>
        <w:rPr>
          <w:rFonts w:cs="??_GB2312" w:asciiTheme="minorEastAsia" w:hAnsiTheme="minorEastAsia" w:eastAsiaTheme="minorEastAsia"/>
          <w:sz w:val="32"/>
          <w:szCs w:val="32"/>
        </w:rPr>
        <w:t>20</w:t>
      </w:r>
      <w:r>
        <w:rPr>
          <w:rFonts w:hint="eastAsia" w:cs="??_GB2312" w:asciiTheme="minorEastAsia" w:hAnsiTheme="minorEastAsia" w:eastAsiaTheme="minorEastAsia"/>
          <w:sz w:val="32"/>
          <w:szCs w:val="32"/>
        </w:rPr>
        <w:t>21</w:t>
      </w:r>
      <w:r>
        <w:rPr>
          <w:rFonts w:hint="eastAsia" w:cs="宋体" w:asciiTheme="minorEastAsia" w:hAnsiTheme="minorEastAsia" w:eastAsiaTheme="minorEastAsia"/>
          <w:sz w:val="32"/>
          <w:szCs w:val="32"/>
        </w:rPr>
        <w:t>年增加106.7万元，其中基本支出较2021年增加31.7万元，其原因为2022年人员变动，增加基本支出经费。专项支出较2021年增加75万元，其原因为增加了办学质量评估经费，根据《河北省市县党校（行政学院）办学质量评估（试行）》的通知党校办学质量评估纳入考核各县区的指标体系，将区委党校培训和科研所需经费列入本级政府年度预算。</w:t>
      </w:r>
    </w:p>
    <w:p w14:paraId="21DE39C7">
      <w:pPr>
        <w:ind w:firstLine="630"/>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三、机关运行经费安排情况</w:t>
      </w:r>
    </w:p>
    <w:p w14:paraId="16F8914F">
      <w:pPr>
        <w:autoSpaceDE w:val="0"/>
        <w:autoSpaceDN w:val="0"/>
        <w:adjustRightInd w:val="0"/>
        <w:ind w:left="198" w:firstLine="640" w:firstLineChars="200"/>
        <w:jc w:val="left"/>
        <w:rPr>
          <w:rFonts w:cs="??_GB2312" w:asciiTheme="minorEastAsia" w:hAnsiTheme="minorEastAsia" w:eastAsiaTheme="minorEastAsia"/>
          <w:sz w:val="32"/>
          <w:szCs w:val="32"/>
        </w:rPr>
      </w:pPr>
      <w:r>
        <w:rPr>
          <w:rFonts w:hint="eastAsia" w:cs="宋体" w:asciiTheme="minorEastAsia" w:hAnsiTheme="minorEastAsia" w:eastAsiaTheme="minorEastAsia"/>
          <w:sz w:val="32"/>
          <w:szCs w:val="32"/>
        </w:rPr>
        <w:t>机关运行经费共计安排</w:t>
      </w:r>
      <w:r>
        <w:rPr>
          <w:rFonts w:hint="eastAsia" w:cs="??_GB2312" w:asciiTheme="minorEastAsia" w:hAnsiTheme="minorEastAsia" w:eastAsiaTheme="minorEastAsia"/>
          <w:sz w:val="32"/>
          <w:szCs w:val="32"/>
        </w:rPr>
        <w:t>27.93</w:t>
      </w:r>
      <w:r>
        <w:rPr>
          <w:rFonts w:hint="eastAsia" w:cs="宋体" w:asciiTheme="minorEastAsia" w:hAnsiTheme="minorEastAsia" w:eastAsiaTheme="minorEastAsia"/>
          <w:sz w:val="32"/>
          <w:szCs w:val="32"/>
        </w:rPr>
        <w:t>万元，主要用于保证机关正常运转的办公及印刷费、邮电费、差旅费、培训费、会议费、福利费、一般设备购置费、日常维修费、办公楼物业管理费、公务车运行维护费等支出。</w:t>
      </w:r>
    </w:p>
    <w:p w14:paraId="14362804">
      <w:pPr>
        <w:autoSpaceDE w:val="0"/>
        <w:autoSpaceDN w:val="0"/>
        <w:adjustRightInd w:val="0"/>
        <w:ind w:left="198" w:firstLine="643" w:firstLineChars="200"/>
        <w:jc w:val="left"/>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四、财政拨款“三公”经费预算情况及增减变化原因</w:t>
      </w:r>
    </w:p>
    <w:p w14:paraId="5483F897">
      <w:pPr>
        <w:ind w:left="198" w:firstLine="640"/>
        <w:rPr>
          <w:rFonts w:ascii="宋体" w:hAnsi="宋体" w:cs="宋体" w:eastAsiaTheme="minorEastAsia"/>
          <w:sz w:val="32"/>
        </w:rPr>
      </w:pPr>
      <w:r>
        <w:rPr>
          <w:rFonts w:ascii="仿宋_GB2312" w:hAnsi="仿宋_GB2312" w:eastAsia="仿宋_GB2312" w:cs="仿宋_GB2312"/>
          <w:sz w:val="32"/>
        </w:rPr>
        <w:t>20</w:t>
      </w:r>
      <w:r>
        <w:rPr>
          <w:rFonts w:hint="eastAsia" w:ascii="仿宋_GB2312" w:hAnsi="仿宋_GB2312" w:eastAsia="仿宋_GB2312" w:cs="仿宋_GB2312"/>
          <w:sz w:val="32"/>
        </w:rPr>
        <w:t>22</w:t>
      </w:r>
      <w:r>
        <w:rPr>
          <w:rFonts w:ascii="宋体" w:hAnsi="宋体" w:cs="宋体"/>
          <w:sz w:val="32"/>
        </w:rPr>
        <w:t>年</w:t>
      </w:r>
      <w:r>
        <w:rPr>
          <w:rFonts w:hint="eastAsia" w:ascii="宋体" w:hAnsi="宋体" w:cs="宋体"/>
          <w:sz w:val="32"/>
        </w:rPr>
        <w:t>我部门</w:t>
      </w:r>
      <w:r>
        <w:rPr>
          <w:rFonts w:ascii="宋体" w:hAnsi="宋体" w:cs="宋体"/>
          <w:sz w:val="32"/>
        </w:rPr>
        <w:t>“三公”经费</w:t>
      </w:r>
      <w:r>
        <w:rPr>
          <w:rFonts w:hint="eastAsia" w:ascii="宋体" w:hAnsi="宋体" w:cs="宋体"/>
          <w:sz w:val="32"/>
        </w:rPr>
        <w:t>预算</w:t>
      </w:r>
      <w:r>
        <w:rPr>
          <w:rFonts w:ascii="宋体" w:hAnsi="宋体" w:cs="宋体"/>
          <w:sz w:val="32"/>
        </w:rPr>
        <w:t>安排</w:t>
      </w:r>
      <w:r>
        <w:rPr>
          <w:rFonts w:hint="eastAsia" w:ascii="仿宋_GB2312" w:hAnsi="仿宋_GB2312" w:eastAsia="仿宋_GB2312" w:cs="仿宋_GB2312"/>
          <w:sz w:val="32"/>
        </w:rPr>
        <w:t>3</w:t>
      </w:r>
      <w:r>
        <w:rPr>
          <w:rFonts w:ascii="宋体" w:hAnsi="宋体" w:cs="宋体"/>
          <w:sz w:val="32"/>
        </w:rPr>
        <w:t>万元</w:t>
      </w:r>
      <w:r>
        <w:rPr>
          <w:rFonts w:hint="eastAsia" w:ascii="宋体" w:hAnsi="宋体" w:cs="宋体"/>
          <w:sz w:val="32"/>
        </w:rPr>
        <w:t>，较上年预算</w:t>
      </w:r>
      <w:r>
        <w:rPr>
          <w:rFonts w:hint="eastAsia" w:ascii="宋体" w:hAnsi="宋体" w:cs="宋体" w:eastAsiaTheme="minorEastAsia"/>
          <w:sz w:val="32"/>
        </w:rPr>
        <w:t>减少1</w:t>
      </w:r>
      <w:r>
        <w:rPr>
          <w:rFonts w:hint="eastAsia" w:ascii="宋体" w:hAnsi="宋体" w:cs="宋体"/>
          <w:sz w:val="32"/>
        </w:rPr>
        <w:t>万元，主要是</w:t>
      </w:r>
      <w:r>
        <w:rPr>
          <w:rFonts w:hint="eastAsia" w:cs="宋体" w:asciiTheme="minorEastAsia" w:hAnsiTheme="minorEastAsia" w:eastAsiaTheme="minorEastAsia"/>
          <w:sz w:val="32"/>
          <w:szCs w:val="32"/>
        </w:rPr>
        <w:t>按照财政局预算要求减少预算</w:t>
      </w:r>
      <w:r>
        <w:rPr>
          <w:rFonts w:hint="eastAsia" w:ascii="宋体" w:hAnsi="宋体" w:cs="宋体"/>
          <w:sz w:val="32"/>
        </w:rPr>
        <w:t>。具体安排情况为</w:t>
      </w:r>
      <w:r>
        <w:rPr>
          <w:rFonts w:ascii="宋体" w:hAnsi="宋体" w:cs="宋体"/>
          <w:sz w:val="32"/>
        </w:rPr>
        <w:t>：</w:t>
      </w:r>
    </w:p>
    <w:p w14:paraId="344E6040">
      <w:pPr>
        <w:ind w:left="198" w:firstLine="640"/>
        <w:rPr>
          <w:rFonts w:ascii="宋体" w:hAnsi="宋体" w:cs="宋体" w:eastAsiaTheme="minorEastAsia"/>
          <w:sz w:val="32"/>
        </w:rPr>
      </w:pPr>
      <w:r>
        <w:rPr>
          <w:rFonts w:hint="eastAsia" w:ascii="宋体" w:hAnsi="宋体" w:cs="宋体"/>
          <w:sz w:val="32"/>
        </w:rPr>
        <w:t>1、</w:t>
      </w:r>
      <w:r>
        <w:rPr>
          <w:rFonts w:ascii="宋体" w:hAnsi="宋体" w:cs="宋体"/>
          <w:sz w:val="32"/>
        </w:rPr>
        <w:t>公务用车购置及运</w:t>
      </w:r>
      <w:r>
        <w:rPr>
          <w:rFonts w:hint="eastAsia" w:ascii="宋体" w:hAnsi="宋体" w:cs="宋体"/>
          <w:sz w:val="32"/>
        </w:rPr>
        <w:t>维</w:t>
      </w:r>
      <w:r>
        <w:rPr>
          <w:rFonts w:ascii="宋体" w:hAnsi="宋体" w:cs="宋体"/>
          <w:sz w:val="32"/>
        </w:rPr>
        <w:t>费</w:t>
      </w:r>
      <w:r>
        <w:rPr>
          <w:rFonts w:hint="eastAsia" w:ascii="宋体" w:hAnsi="宋体" w:cs="宋体"/>
          <w:sz w:val="32"/>
        </w:rPr>
        <w:t>。共计安排</w:t>
      </w:r>
      <w:r>
        <w:rPr>
          <w:rFonts w:hint="eastAsia" w:ascii="仿宋_GB2312" w:hAnsi="仿宋_GB2312" w:eastAsia="仿宋_GB2312" w:cs="仿宋_GB2312"/>
          <w:sz w:val="32"/>
        </w:rPr>
        <w:t>3</w:t>
      </w:r>
      <w:r>
        <w:rPr>
          <w:rFonts w:ascii="宋体" w:hAnsi="宋体" w:cs="宋体"/>
          <w:sz w:val="32"/>
        </w:rPr>
        <w:t>万元</w:t>
      </w:r>
      <w:r>
        <w:rPr>
          <w:rFonts w:hint="eastAsia" w:ascii="宋体" w:hAnsi="宋体" w:cs="宋体"/>
          <w:sz w:val="32"/>
        </w:rPr>
        <w:t>，较上年</w:t>
      </w:r>
      <w:r>
        <w:rPr>
          <w:rFonts w:hint="eastAsia" w:ascii="宋体" w:hAnsi="宋体" w:cs="宋体" w:eastAsiaTheme="minorEastAsia"/>
          <w:sz w:val="32"/>
        </w:rPr>
        <w:t>减少1</w:t>
      </w:r>
      <w:r>
        <w:rPr>
          <w:rFonts w:hint="eastAsia" w:ascii="宋体" w:hAnsi="宋体" w:cs="宋体"/>
          <w:sz w:val="32"/>
        </w:rPr>
        <w:t>万元，主要是</w:t>
      </w:r>
      <w:r>
        <w:rPr>
          <w:rFonts w:hint="eastAsia" w:cs="宋体" w:asciiTheme="minorEastAsia" w:hAnsiTheme="minorEastAsia" w:eastAsiaTheme="minorEastAsia"/>
          <w:sz w:val="32"/>
          <w:szCs w:val="32"/>
        </w:rPr>
        <w:t>按照财政局预算要求减少预算</w:t>
      </w:r>
      <w:r>
        <w:rPr>
          <w:rFonts w:hint="eastAsia" w:ascii="宋体" w:hAnsi="宋体" w:cs="宋体"/>
          <w:sz w:val="32"/>
        </w:rPr>
        <w:t>。</w:t>
      </w:r>
      <w:r>
        <w:rPr>
          <w:rFonts w:hint="eastAsia" w:ascii="宋体" w:hAnsi="宋体" w:cs="宋体"/>
          <w:sz w:val="32"/>
        </w:rPr>
        <w:sym w:font="Wingdings" w:char="F081"/>
      </w:r>
      <w:r>
        <w:rPr>
          <w:rFonts w:hint="eastAsia" w:ascii="宋体" w:hAnsi="宋体" w:cs="宋体"/>
          <w:sz w:val="32"/>
        </w:rPr>
        <w:t>公务用车购置安排</w:t>
      </w:r>
      <w:r>
        <w:rPr>
          <w:rFonts w:hint="eastAsia" w:ascii="宋体" w:hAnsi="宋体" w:cs="宋体" w:eastAsiaTheme="minorEastAsia"/>
          <w:sz w:val="32"/>
        </w:rPr>
        <w:t>0</w:t>
      </w:r>
      <w:r>
        <w:rPr>
          <w:rFonts w:hint="eastAsia" w:ascii="宋体" w:hAnsi="宋体" w:cs="宋体"/>
          <w:sz w:val="32"/>
        </w:rPr>
        <w:t>万元，较上年</w:t>
      </w:r>
      <w:r>
        <w:rPr>
          <w:rFonts w:hint="eastAsia" w:ascii="宋体" w:hAnsi="宋体" w:cs="宋体" w:eastAsiaTheme="minorEastAsia"/>
          <w:sz w:val="32"/>
        </w:rPr>
        <w:t>无增减变化。</w:t>
      </w:r>
      <w:r>
        <w:rPr>
          <w:rFonts w:hint="eastAsia" w:ascii="宋体" w:hAnsi="宋体" w:cs="宋体"/>
          <w:sz w:val="32"/>
        </w:rPr>
        <w:sym w:font="Wingdings" w:char="F082"/>
      </w:r>
      <w:r>
        <w:rPr>
          <w:rFonts w:hint="eastAsia" w:ascii="宋体" w:hAnsi="宋体" w:cs="宋体" w:eastAsiaTheme="minorEastAsia"/>
          <w:sz w:val="32"/>
        </w:rPr>
        <w:t>公务用车</w:t>
      </w:r>
      <w:r>
        <w:rPr>
          <w:rFonts w:hint="eastAsia" w:ascii="宋体" w:hAnsi="宋体" w:cs="宋体"/>
          <w:sz w:val="32"/>
        </w:rPr>
        <w:t>运行维护经费安排3万元，较上年减少1万元，主要原因为</w:t>
      </w:r>
      <w:r>
        <w:rPr>
          <w:rFonts w:hint="eastAsia" w:cs="宋体" w:asciiTheme="minorEastAsia" w:hAnsiTheme="minorEastAsia" w:eastAsiaTheme="minorEastAsia"/>
          <w:sz w:val="32"/>
          <w:szCs w:val="32"/>
        </w:rPr>
        <w:t>按照财政局预算要求减少预算，</w:t>
      </w:r>
      <w:r>
        <w:rPr>
          <w:rFonts w:hint="eastAsia" w:ascii="宋体" w:hAnsi="宋体" w:cs="宋体"/>
          <w:sz w:val="32"/>
        </w:rPr>
        <w:t>节约开支，压缩公车运行维护费。</w:t>
      </w:r>
    </w:p>
    <w:p w14:paraId="562DBA54">
      <w:pPr>
        <w:ind w:left="198" w:firstLine="640"/>
        <w:rPr>
          <w:rFonts w:ascii="宋体" w:hAnsi="宋体" w:cs="宋体" w:eastAsiaTheme="minorEastAsia"/>
          <w:sz w:val="32"/>
        </w:rPr>
      </w:pPr>
      <w:r>
        <w:rPr>
          <w:rFonts w:hint="eastAsia" w:ascii="宋体" w:hAnsi="宋体" w:cs="宋体"/>
          <w:sz w:val="32"/>
        </w:rPr>
        <w:t>2、</w:t>
      </w:r>
      <w:r>
        <w:rPr>
          <w:rFonts w:ascii="宋体" w:hAnsi="宋体" w:cs="宋体"/>
          <w:sz w:val="32"/>
        </w:rPr>
        <w:t>公务接待费</w:t>
      </w:r>
      <w:r>
        <w:rPr>
          <w:rFonts w:hint="eastAsia" w:ascii="宋体" w:hAnsi="宋体" w:cs="宋体"/>
          <w:sz w:val="32"/>
        </w:rPr>
        <w:t>。安排</w:t>
      </w:r>
      <w:r>
        <w:rPr>
          <w:rFonts w:hint="eastAsia" w:ascii="仿宋_GB2312" w:hAnsi="仿宋_GB2312" w:eastAsia="仿宋_GB2312" w:cs="仿宋_GB2312"/>
          <w:sz w:val="32"/>
        </w:rPr>
        <w:t>0</w:t>
      </w:r>
      <w:r>
        <w:rPr>
          <w:rFonts w:ascii="宋体" w:hAnsi="宋体" w:cs="宋体"/>
          <w:sz w:val="32"/>
        </w:rPr>
        <w:t>万元</w:t>
      </w:r>
      <w:r>
        <w:rPr>
          <w:rFonts w:hint="eastAsia" w:ascii="宋体" w:hAnsi="宋体" w:cs="宋体"/>
          <w:sz w:val="32"/>
        </w:rPr>
        <w:t>，较</w:t>
      </w:r>
      <w:r>
        <w:rPr>
          <w:rFonts w:ascii="宋体" w:hAnsi="宋体" w:cs="宋体"/>
          <w:sz w:val="32"/>
        </w:rPr>
        <w:t>上年</w:t>
      </w:r>
      <w:r>
        <w:rPr>
          <w:rFonts w:hint="eastAsia" w:ascii="宋体" w:hAnsi="宋体" w:cs="宋体"/>
          <w:sz w:val="32"/>
        </w:rPr>
        <w:t>预算无增减变化。</w:t>
      </w:r>
    </w:p>
    <w:p w14:paraId="7B8A5F61">
      <w:pPr>
        <w:ind w:left="198" w:firstLine="640"/>
        <w:rPr>
          <w:rFonts w:ascii="仿宋_GB2312" w:hAnsi="仿宋_GB2312" w:cs="仿宋_GB2312" w:eastAsiaTheme="minorEastAsia"/>
          <w:sz w:val="32"/>
        </w:rPr>
      </w:pPr>
      <w:r>
        <w:rPr>
          <w:rFonts w:hint="eastAsia" w:ascii="宋体" w:hAnsi="宋体" w:cs="宋体"/>
          <w:sz w:val="32"/>
        </w:rPr>
        <w:t>3、</w:t>
      </w:r>
      <w:r>
        <w:rPr>
          <w:rFonts w:ascii="宋体" w:hAnsi="宋体" w:cs="宋体"/>
          <w:sz w:val="32"/>
        </w:rPr>
        <w:t>因公出国（境）费</w:t>
      </w:r>
      <w:r>
        <w:rPr>
          <w:rFonts w:hint="eastAsia" w:ascii="宋体" w:hAnsi="宋体" w:cs="宋体"/>
          <w:sz w:val="32"/>
        </w:rPr>
        <w:t>。安排</w:t>
      </w:r>
      <w:r>
        <w:rPr>
          <w:rFonts w:ascii="仿宋_GB2312" w:hAnsi="仿宋_GB2312" w:eastAsia="仿宋_GB2312" w:cs="仿宋_GB2312"/>
          <w:sz w:val="32"/>
        </w:rPr>
        <w:t>0</w:t>
      </w:r>
      <w:r>
        <w:rPr>
          <w:rFonts w:ascii="宋体" w:hAnsi="宋体" w:cs="宋体"/>
          <w:sz w:val="32"/>
        </w:rPr>
        <w:t>万元</w:t>
      </w:r>
      <w:r>
        <w:rPr>
          <w:rFonts w:hint="eastAsia" w:ascii="宋体" w:hAnsi="宋体" w:cs="宋体"/>
          <w:sz w:val="32"/>
        </w:rPr>
        <w:t>，较上年无增减变化。</w:t>
      </w:r>
    </w:p>
    <w:p w14:paraId="0D057DBE">
      <w:pPr>
        <w:rPr>
          <w:rFonts w:ascii="仿宋_GB2312" w:hAnsi="仿宋_GB2312" w:eastAsia="仿宋_GB2312" w:cs="仿宋_GB2312"/>
          <w:sz w:val="32"/>
          <w:szCs w:val="32"/>
        </w:rPr>
      </w:pPr>
    </w:p>
    <w:p w14:paraId="4E8EC5A6">
      <w:pPr>
        <w:autoSpaceDE w:val="0"/>
        <w:autoSpaceDN w:val="0"/>
        <w:adjustRightInd w:val="0"/>
        <w:ind w:left="198" w:firstLine="643" w:firstLineChars="200"/>
        <w:jc w:val="left"/>
        <w:rPr>
          <w:rFonts w:cs="Times New Roman" w:asciiTheme="minorEastAsia" w:hAnsiTheme="minorEastAsia" w:eastAsiaTheme="minorEastAsia"/>
          <w:b/>
          <w:sz w:val="32"/>
          <w:szCs w:val="32"/>
        </w:rPr>
      </w:pPr>
      <w:r>
        <w:rPr>
          <w:rFonts w:hint="eastAsia" w:cs="Times New Roman" w:asciiTheme="minorEastAsia" w:hAnsiTheme="minorEastAsia" w:eastAsiaTheme="minorEastAsia"/>
          <w:b/>
          <w:sz w:val="32"/>
          <w:szCs w:val="32"/>
        </w:rPr>
        <w:t>五、绩效预算信息</w:t>
      </w:r>
    </w:p>
    <w:p w14:paraId="390DAFB8">
      <w:pPr>
        <w:spacing w:line="500" w:lineRule="exact"/>
        <w:ind w:firstLine="643" w:firstLineChars="200"/>
        <w:jc w:val="left"/>
        <w:rPr>
          <w:rFonts w:cs="Times New Roman" w:asciiTheme="minorEastAsia" w:hAnsiTheme="minorEastAsia" w:eastAsiaTheme="minorEastAsia"/>
          <w:b/>
          <w:sz w:val="32"/>
          <w:szCs w:val="32"/>
        </w:rPr>
      </w:pPr>
      <w:r>
        <w:rPr>
          <w:rFonts w:cs="Times New Roman" w:asciiTheme="minorEastAsia" w:hAnsiTheme="minorEastAsia" w:eastAsiaTheme="minorEastAsia"/>
          <w:b/>
          <w:sz w:val="32"/>
          <w:szCs w:val="32"/>
        </w:rPr>
        <w:t xml:space="preserve"> </w:t>
      </w:r>
      <w:r>
        <w:rPr>
          <w:rFonts w:hint="eastAsia" w:cs="Times New Roman" w:asciiTheme="minorEastAsia" w:hAnsiTheme="minorEastAsia" w:eastAsiaTheme="minorEastAsia"/>
          <w:b/>
          <w:sz w:val="32"/>
          <w:szCs w:val="32"/>
        </w:rPr>
        <w:t>总体绩效目标：</w:t>
      </w:r>
    </w:p>
    <w:p w14:paraId="0FB47445">
      <w:pPr>
        <w:pStyle w:val="19"/>
        <w:spacing w:line="550" w:lineRule="exact"/>
        <w:ind w:firstLine="640"/>
        <w:rPr>
          <w:rFonts w:ascii="宋体" w:hAnsi="宋体" w:cs="宋体"/>
          <w:kern w:val="2"/>
          <w:sz w:val="32"/>
          <w:szCs w:val="22"/>
        </w:rPr>
      </w:pPr>
      <w:r>
        <w:rPr>
          <w:rFonts w:hint="eastAsia" w:ascii="宋体" w:hAnsi="宋体" w:cs="宋体"/>
          <w:kern w:val="2"/>
          <w:sz w:val="32"/>
          <w:szCs w:val="22"/>
        </w:rPr>
        <w:t>1、坚决落实党要管党、全面从严治党主体责任，把严的主基调长期坚持下去。坚持从严治校，确保党校姓党；从严治教、守好政治阵地；从严治学，严肃培训纪律，把“党校姓党”根本原则贯彻落实到办学治校各环节和全过程，为开创新时代党校工作新局面提供坚强有力的纪律保证。</w:t>
      </w:r>
    </w:p>
    <w:p w14:paraId="0CE99B20">
      <w:pPr>
        <w:spacing w:line="550" w:lineRule="exact"/>
        <w:ind w:firstLine="640" w:firstLineChars="200"/>
        <w:rPr>
          <w:rFonts w:ascii="宋体" w:hAnsi="宋体" w:cs="宋体"/>
          <w:sz w:val="32"/>
        </w:rPr>
      </w:pPr>
      <w:r>
        <w:rPr>
          <w:rFonts w:hint="eastAsia" w:ascii="宋体" w:hAnsi="宋体" w:cs="宋体"/>
          <w:sz w:val="32"/>
        </w:rPr>
        <w:t>2、落实责任，强化措施，做好常态化疫情防控工作。坚决扛起打赢疫情防控阻击战的重大政治责任，深刻认识当前疫情防控形势的严峻性、复杂性和抓好疫情防控工作的极端重要性，克服麻痹思想、厌战情绪、侥幸心理、松劲心态，第一时间落实省市区相关会议精神和部署要求，统筹做好疫情防控和党校各项工作。</w:t>
      </w:r>
    </w:p>
    <w:p w14:paraId="6304510C">
      <w:pPr>
        <w:pStyle w:val="7"/>
        <w:shd w:val="clear" w:color="auto" w:fill="FFFFFF"/>
        <w:spacing w:beforeAutospacing="0" w:afterAutospacing="0" w:line="550" w:lineRule="exact"/>
        <w:ind w:firstLine="640" w:firstLineChars="200"/>
        <w:rPr>
          <w:kern w:val="2"/>
          <w:sz w:val="32"/>
          <w:szCs w:val="22"/>
        </w:rPr>
      </w:pPr>
      <w:r>
        <w:rPr>
          <w:rFonts w:hint="eastAsia"/>
          <w:kern w:val="2"/>
          <w:sz w:val="32"/>
          <w:szCs w:val="22"/>
        </w:rPr>
        <w:t>3、扎实开展干部培训和党员教育工作。根据区委干训计划和区委组织部具体要求，充分发挥干部教育培训主渠道作用，开展好乡科级领导干部、基层</w:t>
      </w:r>
      <w:r>
        <w:rPr>
          <w:rFonts w:hint="eastAsia"/>
          <w:kern w:val="2"/>
          <w:sz w:val="32"/>
          <w:szCs w:val="22"/>
          <w:lang w:eastAsia="zh-CN"/>
        </w:rPr>
        <w:t>党党支部书记</w:t>
      </w:r>
      <w:r>
        <w:rPr>
          <w:rFonts w:hint="eastAsia"/>
          <w:kern w:val="2"/>
          <w:sz w:val="32"/>
          <w:szCs w:val="22"/>
        </w:rPr>
        <w:t>、优秀中青年干部、理论宣传骨干等专题培训，负责对学员在培训期间的表现进行考核，提出考核意见。</w:t>
      </w:r>
    </w:p>
    <w:p w14:paraId="1361CFEF">
      <w:pPr>
        <w:spacing w:line="550" w:lineRule="exact"/>
        <w:ind w:firstLine="640" w:firstLineChars="200"/>
        <w:rPr>
          <w:rFonts w:ascii="宋体" w:hAnsi="宋体" w:cs="宋体"/>
          <w:sz w:val="32"/>
        </w:rPr>
      </w:pPr>
      <w:r>
        <w:rPr>
          <w:rFonts w:hint="eastAsia" w:ascii="宋体" w:hAnsi="宋体" w:cs="宋体"/>
          <w:sz w:val="32"/>
        </w:rPr>
        <w:t>4、立足本职，发挥优势，努力开创科研和决策咨询工作新局面。开展重大理论问题和现实问题研究，承担区委决策咨询服务，发挥新型智库作用。加强与区委、区政府相关部门以及上级党校的合作交流，积极承担相关委托课题，突出针对性、实效性、可行性，着力形成有针对性、有分量的研究成果，为区委、区政府中心工作提供有参考价值的咨询成果。</w:t>
      </w:r>
    </w:p>
    <w:p w14:paraId="7A8CECEC">
      <w:pPr>
        <w:spacing w:line="550" w:lineRule="exact"/>
        <w:ind w:firstLine="640" w:firstLineChars="200"/>
        <w:rPr>
          <w:rFonts w:ascii="宋体" w:hAnsi="宋体" w:cs="宋体"/>
          <w:sz w:val="32"/>
        </w:rPr>
      </w:pPr>
      <w:r>
        <w:rPr>
          <w:rFonts w:hint="eastAsia" w:ascii="宋体" w:hAnsi="宋体" w:cs="宋体"/>
          <w:sz w:val="32"/>
        </w:rPr>
        <w:t>5、以提高教师队伍素质为重点，加强业务培训、提升工作能力。加强干部队伍建设，努力提升教职工队伍的整体工作水平；增加师资总量，夯实人才基础，通过公开招录等方式补充新鲜血液，充实教师队伍；做好师资培训，制定教师培养工作计划和年度培训计划，有针对性地安排教师到省委党校、市委党校等院校参加学习进修、业务培训等，提升理论业务水平。</w:t>
      </w:r>
    </w:p>
    <w:p w14:paraId="4829CE12">
      <w:pPr>
        <w:pStyle w:val="19"/>
        <w:spacing w:line="550" w:lineRule="exact"/>
        <w:ind w:firstLine="640"/>
        <w:rPr>
          <w:rFonts w:ascii="宋体" w:hAnsi="宋体" w:cs="宋体"/>
          <w:kern w:val="2"/>
          <w:sz w:val="32"/>
          <w:szCs w:val="22"/>
        </w:rPr>
      </w:pPr>
      <w:r>
        <w:rPr>
          <w:rFonts w:hint="eastAsia" w:ascii="宋体" w:hAnsi="宋体" w:cs="宋体"/>
          <w:kern w:val="2"/>
          <w:sz w:val="32"/>
          <w:szCs w:val="22"/>
        </w:rPr>
        <w:t>6、以提升组织力为重点，突出政治功能，不断增强党支部的凝聚力创造力战斗力。严格执行《关于新形势下党内政治生活的若干准则》，认真落实民主集中制、“三会一课”、重大事项请示报告、党员领导干部讲党课等制度，落实好党员领导干部双重组织生活制度。健全完善主题党日制度，提升组织生活质量和效果。</w:t>
      </w:r>
    </w:p>
    <w:p w14:paraId="669BE476">
      <w:pPr>
        <w:pStyle w:val="19"/>
        <w:spacing w:line="550" w:lineRule="exact"/>
        <w:ind w:firstLine="640" w:firstLineChars="200"/>
        <w:rPr>
          <w:rFonts w:ascii="宋体" w:hAnsi="宋体" w:cs="宋体"/>
          <w:kern w:val="2"/>
          <w:sz w:val="32"/>
          <w:szCs w:val="22"/>
        </w:rPr>
      </w:pPr>
      <w:r>
        <w:rPr>
          <w:rFonts w:hint="eastAsia" w:ascii="宋体" w:hAnsi="宋体" w:cs="宋体"/>
          <w:kern w:val="2"/>
          <w:sz w:val="32"/>
          <w:szCs w:val="22"/>
        </w:rPr>
        <w:t>7、以区委党校迁建为契机，全面提升党校基础设施建设水平。充分展现迁建项目主体的责任担当，严格按程序依规依法推进区委党校迁建各项工作，积极完成手续跑办工作，按照时间节点推进工期，同时做好工程质量监督。</w:t>
      </w:r>
    </w:p>
    <w:p w14:paraId="1724423A">
      <w:pPr>
        <w:ind w:firstLine="560" w:firstLineChars="200"/>
        <w:jc w:val="left"/>
        <w:rPr>
          <w:rFonts w:ascii="方正书宋_GBK" w:eastAsia="方正书宋_GBK"/>
          <w:sz w:val="28"/>
          <w:szCs w:val="28"/>
        </w:rPr>
      </w:pPr>
      <w:r>
        <w:rPr>
          <w:rFonts w:ascii="方正书宋_GBK" w:eastAsia="方正书宋_GBK"/>
          <w:sz w:val="28"/>
          <w:szCs w:val="28"/>
        </w:rPr>
        <w:t xml:space="preserve">    </w:t>
      </w:r>
      <w:r>
        <w:rPr>
          <w:rFonts w:hint="eastAsia" w:ascii="方正楷体_GBK" w:eastAsia="方正楷体_GBK"/>
          <w:b/>
          <w:color w:val="000000"/>
          <w:sz w:val="28"/>
          <w:szCs w:val="28"/>
        </w:rPr>
        <w:t>职责分类绩效目标</w:t>
      </w:r>
      <w:r>
        <w:rPr>
          <w:rFonts w:hint="eastAsia" w:ascii="方正楷体_GBK" w:eastAsiaTheme="minorEastAsia"/>
          <w:b/>
          <w:color w:val="000000"/>
          <w:sz w:val="28"/>
          <w:szCs w:val="28"/>
        </w:rPr>
        <w:t>（见下表）</w:t>
      </w:r>
      <w:r>
        <w:rPr>
          <w:rFonts w:hint="eastAsia" w:ascii="方正楷体_GBK" w:eastAsia="方正楷体_GBK"/>
          <w:b/>
          <w:color w:val="000000"/>
          <w:sz w:val="28"/>
          <w:szCs w:val="28"/>
        </w:rPr>
        <w:t>：</w:t>
      </w:r>
      <w:r>
        <w:rPr>
          <w:sz w:val="28"/>
          <w:szCs w:val="28"/>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6DFA8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5FACFB2D">
            <w:pPr>
              <w:spacing w:line="300" w:lineRule="exact"/>
              <w:jc w:val="left"/>
              <w:rPr>
                <w:rFonts w:ascii="方正小标宋_GBK" w:eastAsia="方正小标宋_GBK"/>
                <w:sz w:val="24"/>
              </w:rPr>
            </w:pPr>
            <w:r>
              <w:rPr>
                <w:rFonts w:ascii="方正小标宋_GBK" w:eastAsia="方正小标宋_GBK"/>
                <w:sz w:val="24"/>
              </w:rPr>
              <w:t>281</w:t>
            </w:r>
            <w:r>
              <w:rPr>
                <w:rFonts w:hint="eastAsia" w:ascii="方正小标宋_GBK" w:eastAsia="方正小标宋_GBK"/>
                <w:sz w:val="24"/>
              </w:rPr>
              <w:t>党校中共曹妃甸区委党校</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4D38B3DC">
            <w:pPr>
              <w:spacing w:line="300" w:lineRule="exact"/>
              <w:jc w:val="right"/>
              <w:rPr>
                <w:rFonts w:ascii="方正书宋_GBK" w:eastAsia="方正书宋_GBK"/>
                <w:sz w:val="24"/>
              </w:rPr>
            </w:pPr>
            <w:r>
              <w:rPr>
                <w:rFonts w:hint="eastAsia" w:ascii="方正书宋_GBK" w:eastAsia="方正书宋_GBK"/>
                <w:sz w:val="24"/>
              </w:rPr>
              <w:t>单位：万元</w:t>
            </w:r>
          </w:p>
        </w:tc>
      </w:tr>
      <w:tr w14:paraId="2C0DE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6D867DA5">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3D4EE92B">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45D9B4BD">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7BF8CA18">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469C5997">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2D12D967">
            <w:pPr>
              <w:spacing w:line="300" w:lineRule="exact"/>
              <w:jc w:val="center"/>
              <w:rPr>
                <w:rFonts w:ascii="方正书宋_GBK" w:eastAsia="方正书宋_GBK"/>
                <w:b/>
              </w:rPr>
            </w:pPr>
            <w:r>
              <w:rPr>
                <w:rFonts w:hint="eastAsia" w:ascii="方正书宋_GBK" w:eastAsia="方正书宋_GBK"/>
                <w:b/>
              </w:rPr>
              <w:t>评价标准</w:t>
            </w:r>
          </w:p>
        </w:tc>
      </w:tr>
      <w:tr w14:paraId="5677A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3472FA87">
            <w:pPr>
              <w:spacing w:line="300" w:lineRule="exact"/>
              <w:jc w:val="left"/>
              <w:outlineLvl w:val="0"/>
            </w:pPr>
          </w:p>
        </w:tc>
        <w:tc>
          <w:tcPr>
            <w:tcW w:w="1276" w:type="dxa"/>
            <w:vMerge w:val="continue"/>
            <w:shd w:val="clear" w:color="auto" w:fill="auto"/>
            <w:vAlign w:val="center"/>
          </w:tcPr>
          <w:p w14:paraId="47FBFD59">
            <w:pPr>
              <w:spacing w:line="300" w:lineRule="exact"/>
              <w:jc w:val="left"/>
              <w:outlineLvl w:val="0"/>
            </w:pPr>
          </w:p>
        </w:tc>
        <w:tc>
          <w:tcPr>
            <w:tcW w:w="2976" w:type="dxa"/>
            <w:vMerge w:val="continue"/>
            <w:shd w:val="clear" w:color="auto" w:fill="auto"/>
            <w:vAlign w:val="center"/>
          </w:tcPr>
          <w:p w14:paraId="2EA6757F">
            <w:pPr>
              <w:spacing w:line="300" w:lineRule="exact"/>
              <w:jc w:val="left"/>
              <w:outlineLvl w:val="0"/>
            </w:pPr>
          </w:p>
        </w:tc>
        <w:tc>
          <w:tcPr>
            <w:tcW w:w="2976" w:type="dxa"/>
            <w:vMerge w:val="continue"/>
            <w:shd w:val="clear" w:color="auto" w:fill="auto"/>
            <w:vAlign w:val="center"/>
          </w:tcPr>
          <w:p w14:paraId="3213D371">
            <w:pPr>
              <w:spacing w:line="300" w:lineRule="exact"/>
              <w:jc w:val="left"/>
              <w:outlineLvl w:val="0"/>
            </w:pPr>
          </w:p>
        </w:tc>
        <w:tc>
          <w:tcPr>
            <w:tcW w:w="1417" w:type="dxa"/>
            <w:vMerge w:val="continue"/>
            <w:shd w:val="clear" w:color="auto" w:fill="auto"/>
            <w:vAlign w:val="center"/>
          </w:tcPr>
          <w:p w14:paraId="50F4E3A8">
            <w:pPr>
              <w:spacing w:line="300" w:lineRule="exact"/>
              <w:jc w:val="left"/>
              <w:outlineLvl w:val="0"/>
            </w:pPr>
          </w:p>
        </w:tc>
        <w:tc>
          <w:tcPr>
            <w:tcW w:w="737" w:type="dxa"/>
            <w:shd w:val="clear" w:color="auto" w:fill="auto"/>
            <w:vAlign w:val="center"/>
          </w:tcPr>
          <w:p w14:paraId="3FA472F1">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1AC5299D">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7015CEEF">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1A3AB2FC">
            <w:pPr>
              <w:spacing w:line="300" w:lineRule="exact"/>
              <w:jc w:val="center"/>
              <w:rPr>
                <w:rFonts w:ascii="方正书宋_GBK" w:eastAsia="方正书宋_GBK"/>
                <w:b/>
              </w:rPr>
            </w:pPr>
            <w:r>
              <w:rPr>
                <w:rFonts w:hint="eastAsia" w:ascii="方正书宋_GBK" w:eastAsia="方正书宋_GBK"/>
                <w:b/>
              </w:rPr>
              <w:t>差</w:t>
            </w:r>
          </w:p>
        </w:tc>
      </w:tr>
      <w:tr w14:paraId="630E0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EB750E9">
            <w:pPr>
              <w:spacing w:line="300" w:lineRule="exact"/>
              <w:jc w:val="left"/>
              <w:rPr>
                <w:rFonts w:ascii="方正书宋_GBK" w:eastAsia="方正书宋_GBK"/>
                <w:b/>
              </w:rPr>
            </w:pPr>
            <w:r>
              <w:rPr>
                <w:rFonts w:hint="eastAsia" w:ascii="方正书宋_GBK" w:eastAsia="方正书宋_GBK"/>
                <w:b/>
              </w:rPr>
              <w:t>一、培训教育</w:t>
            </w:r>
          </w:p>
        </w:tc>
        <w:tc>
          <w:tcPr>
            <w:tcW w:w="1276" w:type="dxa"/>
            <w:shd w:val="clear" w:color="auto" w:fill="auto"/>
            <w:vAlign w:val="center"/>
          </w:tcPr>
          <w:p w14:paraId="10364B17">
            <w:pPr>
              <w:spacing w:line="300" w:lineRule="exact"/>
              <w:jc w:val="left"/>
              <w:rPr>
                <w:rFonts w:ascii="方正书宋_GBK" w:eastAsia="方正书宋_GBK"/>
              </w:rPr>
            </w:pPr>
            <w:r>
              <w:rPr>
                <w:rFonts w:hint="eastAsia" w:ascii="方正书宋_GBK" w:eastAsia="方正书宋_GBK"/>
              </w:rPr>
              <w:t>89.5</w:t>
            </w:r>
          </w:p>
        </w:tc>
        <w:tc>
          <w:tcPr>
            <w:tcW w:w="2976" w:type="dxa"/>
            <w:shd w:val="clear" w:color="auto" w:fill="auto"/>
            <w:vAlign w:val="center"/>
          </w:tcPr>
          <w:p w14:paraId="4B6E94A5">
            <w:pPr>
              <w:spacing w:line="300" w:lineRule="exact"/>
              <w:jc w:val="left"/>
              <w:rPr>
                <w:rFonts w:ascii="方正书宋_GBK" w:eastAsia="方正书宋_GBK"/>
              </w:rPr>
            </w:pPr>
            <w:r>
              <w:rPr>
                <w:rFonts w:hint="eastAsia" w:ascii="方正书宋_GBK" w:eastAsia="方正书宋_GBK"/>
              </w:rPr>
              <w:t>根据党中央、省市和县委关于建设高素质干部队伍的要求，有计划地培训、轮训党员领导干部和宣传骨干；结合全县经济社会发展实际，以研讨中央重大理论和方针、政策问题为目的，举办各种专题研讨班</w:t>
            </w:r>
            <w:r>
              <w:rPr>
                <w:rFonts w:ascii="方正书宋_GBK" w:eastAsia="方正书宋_GBK"/>
              </w:rPr>
              <w:t>;</w:t>
            </w:r>
            <w:r>
              <w:rPr>
                <w:rFonts w:hint="eastAsia" w:ascii="方正书宋_GBK" w:eastAsia="方正书宋_GBK"/>
              </w:rPr>
              <w:t>利用教学资源进行干部短期培训</w:t>
            </w:r>
          </w:p>
        </w:tc>
        <w:tc>
          <w:tcPr>
            <w:tcW w:w="2976" w:type="dxa"/>
            <w:shd w:val="clear" w:color="auto" w:fill="auto"/>
            <w:vAlign w:val="center"/>
          </w:tcPr>
          <w:p w14:paraId="6CC3943E">
            <w:pPr>
              <w:spacing w:line="300" w:lineRule="exact"/>
              <w:jc w:val="left"/>
              <w:rPr>
                <w:rFonts w:ascii="方正书宋_GBK" w:eastAsia="方正书宋_GBK"/>
              </w:rPr>
            </w:pPr>
            <w:r>
              <w:rPr>
                <w:rFonts w:hint="eastAsia" w:ascii="方正书宋_GBK" w:eastAsia="方正书宋_GBK"/>
              </w:rPr>
              <w:t>通过不断提高教学水平、完善教学设施、优化教学布局、丰富教学手段，围绕全县工作大局，按照实事求是、与时俱进、艰苦奋斗、执政为民的要求，培养忠诚于中国特色社会主义事业、德才兼备的党员领导干部和理论干部，有效提高干部的政策理论水平、思想觉悟和执政能力。</w:t>
            </w:r>
          </w:p>
        </w:tc>
        <w:tc>
          <w:tcPr>
            <w:tcW w:w="1417" w:type="dxa"/>
            <w:shd w:val="clear" w:color="auto" w:fill="auto"/>
            <w:vAlign w:val="center"/>
          </w:tcPr>
          <w:p w14:paraId="709F02D7">
            <w:pPr>
              <w:spacing w:line="300" w:lineRule="exact"/>
              <w:jc w:val="left"/>
              <w:rPr>
                <w:rFonts w:ascii="方正书宋_GBK" w:eastAsiaTheme="minorEastAsia"/>
              </w:rPr>
            </w:pPr>
          </w:p>
          <w:p w14:paraId="1F2ADB37">
            <w:pPr>
              <w:spacing w:line="300" w:lineRule="exact"/>
              <w:jc w:val="left"/>
              <w:rPr>
                <w:rFonts w:ascii="方正书宋_GBK" w:eastAsiaTheme="minorEastAsia"/>
              </w:rPr>
            </w:pPr>
          </w:p>
          <w:p w14:paraId="653D831E">
            <w:pPr>
              <w:spacing w:line="300" w:lineRule="exact"/>
              <w:jc w:val="left"/>
              <w:rPr>
                <w:rFonts w:ascii="方正书宋_GBK" w:eastAsiaTheme="minorEastAsia"/>
              </w:rPr>
            </w:pPr>
          </w:p>
          <w:p w14:paraId="2BA4F400">
            <w:pPr>
              <w:spacing w:line="300" w:lineRule="exact"/>
              <w:jc w:val="left"/>
              <w:rPr>
                <w:rFonts w:ascii="方正书宋_GBK" w:eastAsiaTheme="minorEastAsia"/>
              </w:rPr>
            </w:pPr>
          </w:p>
          <w:p w14:paraId="450846AD">
            <w:pPr>
              <w:spacing w:line="300" w:lineRule="exact"/>
              <w:jc w:val="left"/>
              <w:rPr>
                <w:rFonts w:ascii="方正书宋_GBK" w:eastAsiaTheme="minorEastAsia"/>
              </w:rPr>
            </w:pPr>
          </w:p>
          <w:p w14:paraId="2811B4F3">
            <w:pPr>
              <w:spacing w:line="300" w:lineRule="exact"/>
              <w:jc w:val="left"/>
              <w:rPr>
                <w:rFonts w:ascii="方正书宋_GBK" w:eastAsiaTheme="minorEastAsia"/>
              </w:rPr>
            </w:pPr>
          </w:p>
          <w:p w14:paraId="78D34779">
            <w:pPr>
              <w:spacing w:line="300" w:lineRule="exact"/>
              <w:jc w:val="left"/>
              <w:rPr>
                <w:rFonts w:ascii="方正书宋_GBK" w:eastAsiaTheme="minorEastAsia"/>
              </w:rPr>
            </w:pPr>
          </w:p>
          <w:p w14:paraId="2074C22C">
            <w:pPr>
              <w:spacing w:line="300" w:lineRule="exact"/>
              <w:jc w:val="left"/>
              <w:rPr>
                <w:rFonts w:ascii="方正书宋_GBK" w:eastAsiaTheme="minorEastAsia"/>
              </w:rPr>
            </w:pPr>
          </w:p>
          <w:p w14:paraId="44514B41">
            <w:pPr>
              <w:spacing w:line="300" w:lineRule="exact"/>
              <w:jc w:val="left"/>
              <w:rPr>
                <w:rFonts w:ascii="方正书宋_GBK" w:eastAsiaTheme="minorEastAsia"/>
              </w:rPr>
            </w:pPr>
          </w:p>
          <w:p w14:paraId="3B093CAE">
            <w:pPr>
              <w:spacing w:line="300" w:lineRule="exact"/>
              <w:jc w:val="left"/>
              <w:rPr>
                <w:rFonts w:ascii="方正书宋_GBK" w:eastAsiaTheme="minorEastAsia"/>
              </w:rPr>
            </w:pPr>
          </w:p>
          <w:p w14:paraId="6145A175">
            <w:pPr>
              <w:spacing w:line="300" w:lineRule="exact"/>
              <w:jc w:val="left"/>
              <w:rPr>
                <w:rFonts w:ascii="方正书宋_GBK" w:eastAsiaTheme="minorEastAsia"/>
              </w:rPr>
            </w:pPr>
          </w:p>
        </w:tc>
        <w:tc>
          <w:tcPr>
            <w:tcW w:w="737" w:type="dxa"/>
            <w:shd w:val="clear" w:color="auto" w:fill="auto"/>
            <w:vAlign w:val="center"/>
          </w:tcPr>
          <w:p w14:paraId="4BD40795">
            <w:pPr>
              <w:spacing w:line="300" w:lineRule="exact"/>
              <w:jc w:val="center"/>
              <w:rPr>
                <w:rFonts w:ascii="方正书宋_GBK" w:eastAsia="方正书宋_GBK"/>
              </w:rPr>
            </w:pPr>
          </w:p>
        </w:tc>
        <w:tc>
          <w:tcPr>
            <w:tcW w:w="737" w:type="dxa"/>
            <w:shd w:val="clear" w:color="auto" w:fill="auto"/>
            <w:vAlign w:val="center"/>
          </w:tcPr>
          <w:p w14:paraId="5793C5C2">
            <w:pPr>
              <w:spacing w:line="300" w:lineRule="exact"/>
              <w:jc w:val="center"/>
              <w:rPr>
                <w:rFonts w:ascii="方正书宋_GBK" w:eastAsia="方正书宋_GBK"/>
              </w:rPr>
            </w:pPr>
          </w:p>
        </w:tc>
        <w:tc>
          <w:tcPr>
            <w:tcW w:w="737" w:type="dxa"/>
            <w:shd w:val="clear" w:color="auto" w:fill="auto"/>
            <w:vAlign w:val="center"/>
          </w:tcPr>
          <w:p w14:paraId="2E923825">
            <w:pPr>
              <w:spacing w:line="300" w:lineRule="exact"/>
              <w:jc w:val="center"/>
              <w:rPr>
                <w:rFonts w:ascii="方正书宋_GBK" w:eastAsia="方正书宋_GBK"/>
              </w:rPr>
            </w:pPr>
          </w:p>
        </w:tc>
        <w:tc>
          <w:tcPr>
            <w:tcW w:w="737" w:type="dxa"/>
            <w:shd w:val="clear" w:color="auto" w:fill="auto"/>
            <w:vAlign w:val="center"/>
          </w:tcPr>
          <w:p w14:paraId="6D6A17F7">
            <w:pPr>
              <w:spacing w:line="300" w:lineRule="exact"/>
              <w:jc w:val="center"/>
              <w:rPr>
                <w:rFonts w:ascii="方正书宋_GBK" w:eastAsia="方正书宋_GBK"/>
              </w:rPr>
            </w:pPr>
          </w:p>
        </w:tc>
      </w:tr>
      <w:tr w14:paraId="5FB4E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484544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、组织培训班</w:t>
            </w:r>
          </w:p>
        </w:tc>
        <w:tc>
          <w:tcPr>
            <w:tcW w:w="1276" w:type="dxa"/>
            <w:vMerge w:val="restart"/>
            <w:shd w:val="clear" w:color="auto" w:fill="auto"/>
            <w:vAlign w:val="center"/>
          </w:tcPr>
          <w:p w14:paraId="27EF5BA1">
            <w:pPr>
              <w:spacing w:line="300" w:lineRule="exact"/>
              <w:jc w:val="left"/>
              <w:rPr>
                <w:rFonts w:ascii="方正书宋_GBK" w:eastAsia="方正书宋_GBK"/>
              </w:rPr>
            </w:pPr>
            <w:r>
              <w:rPr>
                <w:rFonts w:hint="eastAsia" w:ascii="方正书宋_GBK" w:eastAsia="方正书宋_GBK"/>
              </w:rPr>
              <w:t>5</w:t>
            </w:r>
            <w:r>
              <w:rPr>
                <w:rFonts w:ascii="方正书宋_GBK" w:eastAsia="方正书宋_GBK"/>
              </w:rPr>
              <w:t>.00</w:t>
            </w:r>
          </w:p>
        </w:tc>
        <w:tc>
          <w:tcPr>
            <w:tcW w:w="2976" w:type="dxa"/>
            <w:vMerge w:val="restart"/>
            <w:shd w:val="clear" w:color="auto" w:fill="auto"/>
            <w:vAlign w:val="center"/>
          </w:tcPr>
          <w:p w14:paraId="401F05DC">
            <w:pPr>
              <w:spacing w:line="300" w:lineRule="exact"/>
              <w:jc w:val="left"/>
              <w:rPr>
                <w:rFonts w:ascii="方正书宋_GBK" w:eastAsia="方正书宋_GBK"/>
              </w:rPr>
            </w:pPr>
            <w:r>
              <w:rPr>
                <w:rFonts w:hint="eastAsia" w:ascii="方正书宋_GBK" w:eastAsia="方正书宋_GBK"/>
              </w:rPr>
              <w:t>根据县委组织部的干训计划，培训、轮训领导干部和理论骨干；受县委、县政府及有关职能部门委托，结合全县经济社会发展实际，举办各种专题培训、研讨班。</w:t>
            </w:r>
          </w:p>
        </w:tc>
        <w:tc>
          <w:tcPr>
            <w:tcW w:w="2976" w:type="dxa"/>
            <w:vMerge w:val="restart"/>
            <w:shd w:val="clear" w:color="auto" w:fill="auto"/>
            <w:vAlign w:val="center"/>
          </w:tcPr>
          <w:p w14:paraId="1C6FA269">
            <w:pPr>
              <w:spacing w:line="300" w:lineRule="exact"/>
              <w:jc w:val="left"/>
              <w:rPr>
                <w:rFonts w:ascii="方正书宋_GBK" w:eastAsia="方正书宋_GBK"/>
              </w:rPr>
            </w:pPr>
            <w:r>
              <w:rPr>
                <w:rFonts w:hint="eastAsia" w:ascii="方正书宋_GBK" w:eastAsia="方正书宋_GBK"/>
              </w:rPr>
              <w:t>通过外请专家学者授课，开拓学员思路；通过现场教学、情景教学、案例教学，有效提高培训质量，提高学员解决实际问题的能力。</w:t>
            </w:r>
          </w:p>
        </w:tc>
        <w:tc>
          <w:tcPr>
            <w:tcW w:w="1417" w:type="dxa"/>
            <w:shd w:val="clear" w:color="auto" w:fill="auto"/>
            <w:vAlign w:val="center"/>
          </w:tcPr>
          <w:p w14:paraId="68688BCA">
            <w:pPr>
              <w:spacing w:line="300" w:lineRule="exact"/>
              <w:jc w:val="left"/>
              <w:rPr>
                <w:rFonts w:ascii="方正书宋_GBK" w:eastAsia="方正书宋_GBK"/>
              </w:rPr>
            </w:pPr>
            <w:r>
              <w:rPr>
                <w:rFonts w:hint="eastAsia" w:ascii="方正书宋_GBK" w:eastAsia="方正书宋_GBK"/>
              </w:rPr>
              <w:t>培训、轮训工作完成率</w:t>
            </w:r>
          </w:p>
        </w:tc>
        <w:tc>
          <w:tcPr>
            <w:tcW w:w="737" w:type="dxa"/>
            <w:shd w:val="clear" w:color="auto" w:fill="auto"/>
            <w:vAlign w:val="center"/>
          </w:tcPr>
          <w:p w14:paraId="145EA7C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14:paraId="6253655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7C7356F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ACE0F98">
            <w:pPr>
              <w:spacing w:line="300" w:lineRule="exact"/>
              <w:jc w:val="center"/>
              <w:rPr>
                <w:rFonts w:ascii="方正书宋_GBK" w:eastAsia="方正书宋_GBK"/>
              </w:rPr>
            </w:pPr>
            <w:r>
              <w:rPr>
                <w:rFonts w:ascii="方正书宋_GBK" w:eastAsia="方正书宋_GBK"/>
              </w:rPr>
              <w:t>&lt;90%</w:t>
            </w:r>
          </w:p>
        </w:tc>
      </w:tr>
      <w:tr w14:paraId="6BA57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4C46576">
            <w:pPr>
              <w:spacing w:line="300" w:lineRule="exact"/>
              <w:jc w:val="left"/>
              <w:rPr>
                <w:rFonts w:ascii="方正书宋_GBK" w:eastAsia="方正书宋_GBK"/>
                <w:b/>
              </w:rPr>
            </w:pPr>
          </w:p>
        </w:tc>
        <w:tc>
          <w:tcPr>
            <w:tcW w:w="1276" w:type="dxa"/>
            <w:vMerge w:val="continue"/>
            <w:shd w:val="clear" w:color="auto" w:fill="auto"/>
            <w:vAlign w:val="center"/>
          </w:tcPr>
          <w:p w14:paraId="3CCDEE15">
            <w:pPr>
              <w:spacing w:line="300" w:lineRule="exact"/>
              <w:jc w:val="left"/>
              <w:rPr>
                <w:rFonts w:ascii="方正书宋_GBK" w:eastAsia="方正书宋_GBK"/>
              </w:rPr>
            </w:pPr>
          </w:p>
        </w:tc>
        <w:tc>
          <w:tcPr>
            <w:tcW w:w="2976" w:type="dxa"/>
            <w:vMerge w:val="continue"/>
            <w:shd w:val="clear" w:color="auto" w:fill="auto"/>
            <w:vAlign w:val="center"/>
          </w:tcPr>
          <w:p w14:paraId="79985600">
            <w:pPr>
              <w:spacing w:line="300" w:lineRule="exact"/>
              <w:jc w:val="left"/>
              <w:rPr>
                <w:rFonts w:ascii="方正书宋_GBK" w:eastAsia="方正书宋_GBK"/>
              </w:rPr>
            </w:pPr>
          </w:p>
        </w:tc>
        <w:tc>
          <w:tcPr>
            <w:tcW w:w="2976" w:type="dxa"/>
            <w:vMerge w:val="continue"/>
            <w:shd w:val="clear" w:color="auto" w:fill="auto"/>
            <w:vAlign w:val="center"/>
          </w:tcPr>
          <w:p w14:paraId="054EDA65">
            <w:pPr>
              <w:spacing w:line="300" w:lineRule="exact"/>
              <w:jc w:val="left"/>
              <w:rPr>
                <w:rFonts w:ascii="方正书宋_GBK" w:eastAsia="方正书宋_GBK"/>
              </w:rPr>
            </w:pPr>
          </w:p>
        </w:tc>
        <w:tc>
          <w:tcPr>
            <w:tcW w:w="1417" w:type="dxa"/>
            <w:shd w:val="clear" w:color="auto" w:fill="auto"/>
            <w:vAlign w:val="center"/>
          </w:tcPr>
          <w:p w14:paraId="43383A64">
            <w:pPr>
              <w:spacing w:line="300" w:lineRule="exact"/>
              <w:jc w:val="left"/>
              <w:rPr>
                <w:rFonts w:ascii="方正书宋_GBK" w:eastAsia="方正书宋_GBK"/>
              </w:rPr>
            </w:pPr>
            <w:r>
              <w:rPr>
                <w:rFonts w:hint="eastAsia" w:ascii="方正书宋_GBK" w:eastAsia="方正书宋_GBK"/>
              </w:rPr>
              <w:t>特色教学百分比</w:t>
            </w:r>
          </w:p>
        </w:tc>
        <w:tc>
          <w:tcPr>
            <w:tcW w:w="737" w:type="dxa"/>
            <w:shd w:val="clear" w:color="auto" w:fill="auto"/>
            <w:vAlign w:val="center"/>
          </w:tcPr>
          <w:p w14:paraId="644796C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14:paraId="3DF8E4A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14:paraId="3B7B924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350558C5">
            <w:pPr>
              <w:spacing w:line="300" w:lineRule="exact"/>
              <w:jc w:val="center"/>
              <w:rPr>
                <w:rFonts w:ascii="方正书宋_GBK" w:eastAsia="方正书宋_GBK"/>
              </w:rPr>
            </w:pPr>
            <w:r>
              <w:rPr>
                <w:rFonts w:ascii="方正书宋_GBK" w:eastAsia="方正书宋_GBK"/>
              </w:rPr>
              <w:t>&lt;10%</w:t>
            </w:r>
          </w:p>
        </w:tc>
      </w:tr>
      <w:tr w14:paraId="330A5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EC3BA82">
            <w:pPr>
              <w:spacing w:line="300" w:lineRule="exact"/>
              <w:jc w:val="left"/>
              <w:rPr>
                <w:rFonts w:ascii="方正书宋_GBK" w:eastAsia="方正书宋_GBK"/>
                <w:b/>
              </w:rPr>
            </w:pPr>
          </w:p>
        </w:tc>
        <w:tc>
          <w:tcPr>
            <w:tcW w:w="1276" w:type="dxa"/>
            <w:vMerge w:val="continue"/>
            <w:shd w:val="clear" w:color="auto" w:fill="auto"/>
            <w:vAlign w:val="center"/>
          </w:tcPr>
          <w:p w14:paraId="58F2A009">
            <w:pPr>
              <w:spacing w:line="300" w:lineRule="exact"/>
              <w:jc w:val="left"/>
              <w:rPr>
                <w:rFonts w:ascii="方正书宋_GBK" w:eastAsia="方正书宋_GBK"/>
              </w:rPr>
            </w:pPr>
          </w:p>
        </w:tc>
        <w:tc>
          <w:tcPr>
            <w:tcW w:w="2976" w:type="dxa"/>
            <w:vMerge w:val="continue"/>
            <w:shd w:val="clear" w:color="auto" w:fill="auto"/>
            <w:vAlign w:val="center"/>
          </w:tcPr>
          <w:p w14:paraId="1EBE5FE7">
            <w:pPr>
              <w:spacing w:line="300" w:lineRule="exact"/>
              <w:jc w:val="left"/>
              <w:rPr>
                <w:rFonts w:ascii="方正书宋_GBK" w:eastAsia="方正书宋_GBK"/>
              </w:rPr>
            </w:pPr>
          </w:p>
        </w:tc>
        <w:tc>
          <w:tcPr>
            <w:tcW w:w="2976" w:type="dxa"/>
            <w:vMerge w:val="continue"/>
            <w:shd w:val="clear" w:color="auto" w:fill="auto"/>
            <w:vAlign w:val="center"/>
          </w:tcPr>
          <w:p w14:paraId="1CCB60F0">
            <w:pPr>
              <w:spacing w:line="300" w:lineRule="exact"/>
              <w:jc w:val="left"/>
              <w:rPr>
                <w:rFonts w:ascii="方正书宋_GBK" w:eastAsia="方正书宋_GBK"/>
              </w:rPr>
            </w:pPr>
          </w:p>
        </w:tc>
        <w:tc>
          <w:tcPr>
            <w:tcW w:w="1417" w:type="dxa"/>
            <w:shd w:val="clear" w:color="auto" w:fill="auto"/>
            <w:vAlign w:val="center"/>
          </w:tcPr>
          <w:p w14:paraId="11F651ED">
            <w:pPr>
              <w:spacing w:line="300" w:lineRule="exact"/>
              <w:jc w:val="left"/>
              <w:rPr>
                <w:rFonts w:ascii="方正书宋_GBK" w:eastAsia="方正书宋_GBK"/>
              </w:rPr>
            </w:pPr>
            <w:r>
              <w:rPr>
                <w:rFonts w:hint="eastAsia" w:ascii="方正书宋_GBK" w:eastAsia="方正书宋_GBK"/>
              </w:rPr>
              <w:t>委托单位满意率</w:t>
            </w:r>
          </w:p>
        </w:tc>
        <w:tc>
          <w:tcPr>
            <w:tcW w:w="737" w:type="dxa"/>
            <w:shd w:val="clear" w:color="auto" w:fill="auto"/>
            <w:vAlign w:val="center"/>
          </w:tcPr>
          <w:p w14:paraId="444C605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19DB097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E9B64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44E167A5">
            <w:pPr>
              <w:spacing w:line="300" w:lineRule="exact"/>
              <w:jc w:val="center"/>
              <w:rPr>
                <w:rFonts w:ascii="方正书宋_GBK" w:eastAsia="方正书宋_GBK"/>
              </w:rPr>
            </w:pPr>
            <w:r>
              <w:rPr>
                <w:rFonts w:ascii="方正书宋_GBK" w:eastAsia="方正书宋_GBK"/>
              </w:rPr>
              <w:t>&lt;85%</w:t>
            </w:r>
          </w:p>
        </w:tc>
      </w:tr>
      <w:tr w14:paraId="51219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111AB57">
            <w:pPr>
              <w:spacing w:line="300" w:lineRule="exact"/>
              <w:jc w:val="left"/>
              <w:rPr>
                <w:rFonts w:ascii="方正书宋_GBK" w:eastAsia="方正书宋_GBK"/>
                <w:b/>
              </w:rPr>
            </w:pPr>
          </w:p>
        </w:tc>
        <w:tc>
          <w:tcPr>
            <w:tcW w:w="1276" w:type="dxa"/>
            <w:vMerge w:val="continue"/>
            <w:shd w:val="clear" w:color="auto" w:fill="auto"/>
            <w:vAlign w:val="center"/>
          </w:tcPr>
          <w:p w14:paraId="52A209FA">
            <w:pPr>
              <w:spacing w:line="300" w:lineRule="exact"/>
              <w:jc w:val="left"/>
              <w:rPr>
                <w:rFonts w:ascii="方正书宋_GBK" w:eastAsia="方正书宋_GBK"/>
              </w:rPr>
            </w:pPr>
          </w:p>
        </w:tc>
        <w:tc>
          <w:tcPr>
            <w:tcW w:w="2976" w:type="dxa"/>
            <w:vMerge w:val="continue"/>
            <w:shd w:val="clear" w:color="auto" w:fill="auto"/>
            <w:vAlign w:val="center"/>
          </w:tcPr>
          <w:p w14:paraId="00B68633">
            <w:pPr>
              <w:spacing w:line="300" w:lineRule="exact"/>
              <w:jc w:val="left"/>
              <w:rPr>
                <w:rFonts w:ascii="方正书宋_GBK" w:eastAsia="方正书宋_GBK"/>
              </w:rPr>
            </w:pPr>
          </w:p>
        </w:tc>
        <w:tc>
          <w:tcPr>
            <w:tcW w:w="2976" w:type="dxa"/>
            <w:vMerge w:val="continue"/>
            <w:shd w:val="clear" w:color="auto" w:fill="auto"/>
            <w:vAlign w:val="center"/>
          </w:tcPr>
          <w:p w14:paraId="34686B75">
            <w:pPr>
              <w:spacing w:line="300" w:lineRule="exact"/>
              <w:jc w:val="left"/>
              <w:rPr>
                <w:rFonts w:ascii="方正书宋_GBK" w:eastAsia="方正书宋_GBK"/>
              </w:rPr>
            </w:pPr>
          </w:p>
        </w:tc>
        <w:tc>
          <w:tcPr>
            <w:tcW w:w="1417" w:type="dxa"/>
            <w:shd w:val="clear" w:color="auto" w:fill="auto"/>
            <w:vAlign w:val="center"/>
          </w:tcPr>
          <w:p w14:paraId="1A661A02">
            <w:pPr>
              <w:spacing w:line="300" w:lineRule="exact"/>
              <w:jc w:val="left"/>
              <w:rPr>
                <w:rFonts w:ascii="方正书宋_GBK" w:eastAsia="方正书宋_GBK"/>
              </w:rPr>
            </w:pPr>
            <w:r>
              <w:rPr>
                <w:rFonts w:hint="eastAsia" w:ascii="方正书宋_GBK" w:eastAsia="方正书宋_GBK"/>
              </w:rPr>
              <w:t>学员教学满意率</w:t>
            </w:r>
          </w:p>
        </w:tc>
        <w:tc>
          <w:tcPr>
            <w:tcW w:w="737" w:type="dxa"/>
            <w:shd w:val="clear" w:color="auto" w:fill="auto"/>
            <w:vAlign w:val="center"/>
          </w:tcPr>
          <w:p w14:paraId="5AC1FDF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70370C0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9C0E4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1EB059CA">
            <w:pPr>
              <w:spacing w:line="300" w:lineRule="exact"/>
              <w:jc w:val="center"/>
              <w:rPr>
                <w:rFonts w:ascii="方正书宋_GBK" w:eastAsia="方正书宋_GBK"/>
              </w:rPr>
            </w:pPr>
            <w:r>
              <w:rPr>
                <w:rFonts w:ascii="方正书宋_GBK" w:eastAsia="方正书宋_GBK"/>
              </w:rPr>
              <w:t>&lt;85%</w:t>
            </w:r>
          </w:p>
        </w:tc>
      </w:tr>
      <w:tr w14:paraId="0CF36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24B2D4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、师资与学科建设</w:t>
            </w:r>
          </w:p>
        </w:tc>
        <w:tc>
          <w:tcPr>
            <w:tcW w:w="1276" w:type="dxa"/>
            <w:vMerge w:val="restart"/>
            <w:shd w:val="clear" w:color="auto" w:fill="auto"/>
            <w:vAlign w:val="center"/>
          </w:tcPr>
          <w:p w14:paraId="0BEDCF88">
            <w:pPr>
              <w:spacing w:line="300" w:lineRule="exact"/>
              <w:jc w:val="left"/>
              <w:rPr>
                <w:rFonts w:ascii="方正书宋_GBK" w:eastAsiaTheme="minorEastAsia"/>
              </w:rPr>
            </w:pPr>
            <w:r>
              <w:rPr>
                <w:rFonts w:hint="eastAsia" w:ascii="方正书宋_GBK" w:eastAsiaTheme="minorEastAsia"/>
              </w:rPr>
              <w:t>75.00</w:t>
            </w:r>
          </w:p>
        </w:tc>
        <w:tc>
          <w:tcPr>
            <w:tcW w:w="2976" w:type="dxa"/>
            <w:vMerge w:val="restart"/>
            <w:shd w:val="clear" w:color="auto" w:fill="auto"/>
            <w:vAlign w:val="center"/>
          </w:tcPr>
          <w:p w14:paraId="23AC6D48">
            <w:pPr>
              <w:spacing w:line="300" w:lineRule="exact"/>
              <w:jc w:val="left"/>
              <w:rPr>
                <w:rFonts w:ascii="方正书宋_GBK" w:eastAsia="方正书宋_GBK"/>
              </w:rPr>
            </w:pPr>
            <w:r>
              <w:rPr>
                <w:rFonts w:hint="eastAsia" w:ascii="方正书宋_GBK" w:eastAsia="方正书宋_GBK"/>
              </w:rPr>
              <w:t>加强师资培训、交流、培养，引进高水平人才，加强学科建设和学科培育，形成有党校特色的优势学科和教学基地。全面提高党校基础建设实施水平，切实提高日常管理水平和后勤服务保障</w:t>
            </w:r>
          </w:p>
        </w:tc>
        <w:tc>
          <w:tcPr>
            <w:tcW w:w="2976" w:type="dxa"/>
            <w:vMerge w:val="restart"/>
            <w:shd w:val="clear" w:color="auto" w:fill="auto"/>
            <w:vAlign w:val="center"/>
          </w:tcPr>
          <w:p w14:paraId="4D39241A">
            <w:pPr>
              <w:spacing w:line="300" w:lineRule="exact"/>
              <w:jc w:val="left"/>
              <w:rPr>
                <w:rFonts w:ascii="方正书宋_GBK" w:eastAsia="方正书宋_GBK"/>
              </w:rPr>
            </w:pPr>
            <w:r>
              <w:rPr>
                <w:rFonts w:hint="eastAsia" w:ascii="方正书宋_GBK" w:eastAsia="方正书宋_GBK"/>
              </w:rPr>
              <w:t>通过重点培育和建设，形成几门有党校特色的优势学科。党校评估纳入各县区的指标体系，用于发挥教育培训主渠道作用，举办专题研讨班。</w:t>
            </w:r>
          </w:p>
        </w:tc>
        <w:tc>
          <w:tcPr>
            <w:tcW w:w="1417" w:type="dxa"/>
            <w:shd w:val="clear" w:color="auto" w:fill="auto"/>
            <w:vAlign w:val="center"/>
          </w:tcPr>
          <w:p w14:paraId="15F5E501">
            <w:pPr>
              <w:spacing w:line="300" w:lineRule="exact"/>
              <w:jc w:val="left"/>
              <w:rPr>
                <w:rFonts w:ascii="方正书宋_GBK" w:eastAsia="方正书宋_GBK"/>
              </w:rPr>
            </w:pPr>
            <w:r>
              <w:rPr>
                <w:rFonts w:hint="eastAsia" w:ascii="方正书宋_GBK" w:eastAsia="方正书宋_GBK"/>
              </w:rPr>
              <w:t>特色优势学科门数</w:t>
            </w:r>
          </w:p>
        </w:tc>
        <w:tc>
          <w:tcPr>
            <w:tcW w:w="737" w:type="dxa"/>
            <w:shd w:val="clear" w:color="auto" w:fill="auto"/>
            <w:vAlign w:val="center"/>
          </w:tcPr>
          <w:p w14:paraId="559B76D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06022D61">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14:paraId="0D455AE9">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12E0C743">
            <w:pPr>
              <w:spacing w:line="300" w:lineRule="exact"/>
              <w:jc w:val="center"/>
              <w:rPr>
                <w:rFonts w:ascii="方正书宋_GBK" w:eastAsia="方正书宋_GBK"/>
              </w:rPr>
            </w:pPr>
            <w:r>
              <w:rPr>
                <w:rFonts w:ascii="方正书宋_GBK" w:eastAsia="方正书宋_GBK"/>
              </w:rPr>
              <w:t>0</w:t>
            </w:r>
          </w:p>
        </w:tc>
      </w:tr>
      <w:tr w14:paraId="7AD3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C0365A4">
            <w:pPr>
              <w:spacing w:line="300" w:lineRule="exact"/>
              <w:jc w:val="left"/>
              <w:rPr>
                <w:rFonts w:ascii="方正书宋_GBK" w:eastAsia="方正书宋_GBK"/>
                <w:b/>
              </w:rPr>
            </w:pPr>
          </w:p>
        </w:tc>
        <w:tc>
          <w:tcPr>
            <w:tcW w:w="1276" w:type="dxa"/>
            <w:vMerge w:val="continue"/>
            <w:shd w:val="clear" w:color="auto" w:fill="auto"/>
            <w:vAlign w:val="center"/>
          </w:tcPr>
          <w:p w14:paraId="2D56AF2C">
            <w:pPr>
              <w:spacing w:line="300" w:lineRule="exact"/>
              <w:jc w:val="left"/>
              <w:rPr>
                <w:rFonts w:ascii="方正书宋_GBK" w:eastAsia="方正书宋_GBK"/>
              </w:rPr>
            </w:pPr>
          </w:p>
        </w:tc>
        <w:tc>
          <w:tcPr>
            <w:tcW w:w="2976" w:type="dxa"/>
            <w:vMerge w:val="continue"/>
            <w:shd w:val="clear" w:color="auto" w:fill="auto"/>
            <w:vAlign w:val="center"/>
          </w:tcPr>
          <w:p w14:paraId="19D3B512">
            <w:pPr>
              <w:spacing w:line="300" w:lineRule="exact"/>
              <w:jc w:val="left"/>
              <w:rPr>
                <w:rFonts w:ascii="方正书宋_GBK" w:eastAsia="方正书宋_GBK"/>
              </w:rPr>
            </w:pPr>
          </w:p>
        </w:tc>
        <w:tc>
          <w:tcPr>
            <w:tcW w:w="2976" w:type="dxa"/>
            <w:vMerge w:val="continue"/>
            <w:shd w:val="clear" w:color="auto" w:fill="auto"/>
            <w:vAlign w:val="center"/>
          </w:tcPr>
          <w:p w14:paraId="78490542">
            <w:pPr>
              <w:spacing w:line="300" w:lineRule="exact"/>
              <w:jc w:val="left"/>
              <w:rPr>
                <w:rFonts w:ascii="方正书宋_GBK" w:eastAsia="方正书宋_GBK"/>
              </w:rPr>
            </w:pPr>
          </w:p>
        </w:tc>
        <w:tc>
          <w:tcPr>
            <w:tcW w:w="1417" w:type="dxa"/>
            <w:shd w:val="clear" w:color="auto" w:fill="auto"/>
            <w:vAlign w:val="center"/>
          </w:tcPr>
          <w:p w14:paraId="52172297">
            <w:pPr>
              <w:spacing w:line="300" w:lineRule="exact"/>
              <w:jc w:val="left"/>
              <w:rPr>
                <w:rFonts w:ascii="方正书宋_GBK" w:eastAsia="方正书宋_GBK"/>
              </w:rPr>
            </w:pPr>
            <w:r>
              <w:rPr>
                <w:rFonts w:hint="eastAsia" w:ascii="方正书宋_GBK" w:eastAsia="方正书宋_GBK"/>
              </w:rPr>
              <w:t>党校特色教材教案比率</w:t>
            </w:r>
          </w:p>
        </w:tc>
        <w:tc>
          <w:tcPr>
            <w:tcW w:w="737" w:type="dxa"/>
            <w:shd w:val="clear" w:color="auto" w:fill="auto"/>
            <w:vAlign w:val="center"/>
          </w:tcPr>
          <w:p w14:paraId="46CA93F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14:paraId="51CA54D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14:paraId="791F827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506AD506">
            <w:pPr>
              <w:spacing w:line="300" w:lineRule="exact"/>
              <w:jc w:val="center"/>
              <w:rPr>
                <w:rFonts w:ascii="方正书宋_GBK" w:eastAsia="方正书宋_GBK"/>
              </w:rPr>
            </w:pPr>
            <w:r>
              <w:rPr>
                <w:rFonts w:ascii="方正书宋_GBK" w:eastAsia="方正书宋_GBK"/>
              </w:rPr>
              <w:t>&lt;10%</w:t>
            </w:r>
          </w:p>
        </w:tc>
      </w:tr>
      <w:tr w14:paraId="3E674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3C0F085">
            <w:pPr>
              <w:spacing w:line="300" w:lineRule="exact"/>
              <w:jc w:val="left"/>
              <w:rPr>
                <w:rFonts w:ascii="方正书宋_GBK" w:eastAsia="方正书宋_GBK"/>
                <w:b/>
              </w:rPr>
            </w:pPr>
          </w:p>
        </w:tc>
        <w:tc>
          <w:tcPr>
            <w:tcW w:w="1276" w:type="dxa"/>
            <w:vMerge w:val="continue"/>
            <w:shd w:val="clear" w:color="auto" w:fill="auto"/>
            <w:vAlign w:val="center"/>
          </w:tcPr>
          <w:p w14:paraId="74A94CE9">
            <w:pPr>
              <w:spacing w:line="300" w:lineRule="exact"/>
              <w:jc w:val="left"/>
              <w:rPr>
                <w:rFonts w:ascii="方正书宋_GBK" w:eastAsia="方正书宋_GBK"/>
              </w:rPr>
            </w:pPr>
          </w:p>
        </w:tc>
        <w:tc>
          <w:tcPr>
            <w:tcW w:w="2976" w:type="dxa"/>
            <w:vMerge w:val="continue"/>
            <w:shd w:val="clear" w:color="auto" w:fill="auto"/>
            <w:vAlign w:val="center"/>
          </w:tcPr>
          <w:p w14:paraId="4EEE8423">
            <w:pPr>
              <w:spacing w:line="300" w:lineRule="exact"/>
              <w:jc w:val="left"/>
              <w:rPr>
                <w:rFonts w:ascii="方正书宋_GBK" w:eastAsia="方正书宋_GBK"/>
              </w:rPr>
            </w:pPr>
          </w:p>
        </w:tc>
        <w:tc>
          <w:tcPr>
            <w:tcW w:w="2976" w:type="dxa"/>
            <w:vMerge w:val="continue"/>
            <w:shd w:val="clear" w:color="auto" w:fill="auto"/>
            <w:vAlign w:val="center"/>
          </w:tcPr>
          <w:p w14:paraId="4DB124E7">
            <w:pPr>
              <w:spacing w:line="300" w:lineRule="exact"/>
              <w:jc w:val="left"/>
              <w:rPr>
                <w:rFonts w:ascii="方正书宋_GBK" w:eastAsia="方正书宋_GBK"/>
              </w:rPr>
            </w:pPr>
          </w:p>
        </w:tc>
        <w:tc>
          <w:tcPr>
            <w:tcW w:w="1417" w:type="dxa"/>
            <w:shd w:val="clear" w:color="auto" w:fill="auto"/>
            <w:vAlign w:val="center"/>
          </w:tcPr>
          <w:p w14:paraId="761877F6">
            <w:pPr>
              <w:spacing w:line="300" w:lineRule="exact"/>
              <w:jc w:val="left"/>
              <w:rPr>
                <w:rFonts w:ascii="方正书宋_GBK" w:eastAsia="方正书宋_GBK"/>
              </w:rPr>
            </w:pPr>
            <w:r>
              <w:rPr>
                <w:rFonts w:hint="eastAsia" w:ascii="方正书宋_GBK" w:eastAsia="方正书宋_GBK"/>
              </w:rPr>
              <w:t>培训满意度</w:t>
            </w:r>
          </w:p>
        </w:tc>
        <w:tc>
          <w:tcPr>
            <w:tcW w:w="737" w:type="dxa"/>
            <w:shd w:val="clear" w:color="auto" w:fill="auto"/>
            <w:vAlign w:val="center"/>
          </w:tcPr>
          <w:p w14:paraId="3745C65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F94709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683233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19F1FACB">
            <w:pPr>
              <w:spacing w:line="300" w:lineRule="exact"/>
              <w:jc w:val="center"/>
              <w:rPr>
                <w:rFonts w:ascii="方正书宋_GBK" w:eastAsia="方正书宋_GBK"/>
              </w:rPr>
            </w:pPr>
            <w:r>
              <w:rPr>
                <w:rFonts w:ascii="方正书宋_GBK" w:eastAsia="方正书宋_GBK"/>
              </w:rPr>
              <w:t>&lt;85%</w:t>
            </w:r>
          </w:p>
        </w:tc>
      </w:tr>
      <w:tr w14:paraId="6993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ADEAD5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、教学事物管理</w:t>
            </w:r>
          </w:p>
        </w:tc>
        <w:tc>
          <w:tcPr>
            <w:tcW w:w="1276" w:type="dxa"/>
            <w:vMerge w:val="restart"/>
            <w:shd w:val="clear" w:color="auto" w:fill="auto"/>
            <w:vAlign w:val="center"/>
          </w:tcPr>
          <w:p w14:paraId="0CB7EAB2">
            <w:pPr>
              <w:spacing w:line="300" w:lineRule="exact"/>
              <w:jc w:val="left"/>
              <w:rPr>
                <w:rFonts w:ascii="方正书宋_GBK" w:eastAsia="方正书宋_GBK"/>
              </w:rPr>
            </w:pPr>
            <w:r>
              <w:rPr>
                <w:rFonts w:hint="eastAsia" w:ascii="方正书宋_GBK" w:eastAsia="方正书宋_GBK"/>
              </w:rPr>
              <w:t>9.5</w:t>
            </w:r>
          </w:p>
        </w:tc>
        <w:tc>
          <w:tcPr>
            <w:tcW w:w="2976" w:type="dxa"/>
            <w:vMerge w:val="restart"/>
            <w:shd w:val="clear" w:color="auto" w:fill="auto"/>
            <w:vAlign w:val="center"/>
          </w:tcPr>
          <w:p w14:paraId="2EDCE58D">
            <w:pPr>
              <w:spacing w:line="300" w:lineRule="exact"/>
              <w:jc w:val="left"/>
              <w:rPr>
                <w:rFonts w:ascii="方正书宋_GBK" w:eastAsia="方正书宋_GBK"/>
              </w:rPr>
            </w:pPr>
            <w:r>
              <w:rPr>
                <w:rFonts w:hint="eastAsia" w:ascii="方正书宋_GBK" w:eastAsia="方正书宋_GBK"/>
              </w:rPr>
              <w:t>组织实施与教学活动和学员培训相关的综合管理和后勤保障事物</w:t>
            </w:r>
          </w:p>
        </w:tc>
        <w:tc>
          <w:tcPr>
            <w:tcW w:w="2976" w:type="dxa"/>
            <w:vMerge w:val="restart"/>
            <w:shd w:val="clear" w:color="auto" w:fill="auto"/>
            <w:vAlign w:val="center"/>
          </w:tcPr>
          <w:p w14:paraId="00213C5D">
            <w:pPr>
              <w:spacing w:line="300" w:lineRule="exact"/>
              <w:jc w:val="left"/>
              <w:rPr>
                <w:rFonts w:ascii="方正书宋_GBK" w:eastAsia="方正书宋_GBK"/>
              </w:rPr>
            </w:pPr>
            <w:r>
              <w:rPr>
                <w:rFonts w:hint="eastAsia" w:ascii="方正书宋_GBK" w:eastAsia="方正书宋_GBK"/>
              </w:rPr>
              <w:t>通过严格的行政后勤管理，为学员培训和教学科研活动创造良好的硬件环境和后勤保障</w:t>
            </w:r>
          </w:p>
        </w:tc>
        <w:tc>
          <w:tcPr>
            <w:tcW w:w="1417" w:type="dxa"/>
            <w:shd w:val="clear" w:color="auto" w:fill="auto"/>
            <w:vAlign w:val="center"/>
          </w:tcPr>
          <w:p w14:paraId="38880EB6">
            <w:pPr>
              <w:spacing w:line="300" w:lineRule="exact"/>
              <w:jc w:val="left"/>
              <w:rPr>
                <w:rFonts w:ascii="方正书宋_GBK" w:eastAsia="方正书宋_GBK"/>
              </w:rPr>
            </w:pPr>
            <w:r>
              <w:rPr>
                <w:rFonts w:hint="eastAsia" w:ascii="方正书宋_GBK" w:eastAsia="方正书宋_GBK"/>
              </w:rPr>
              <w:t>后勤保障事务完成率</w:t>
            </w:r>
          </w:p>
        </w:tc>
        <w:tc>
          <w:tcPr>
            <w:tcW w:w="737" w:type="dxa"/>
            <w:shd w:val="clear" w:color="auto" w:fill="auto"/>
            <w:vAlign w:val="center"/>
          </w:tcPr>
          <w:p w14:paraId="3A84648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14:paraId="4EE6CB6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E18E70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01AA30E">
            <w:pPr>
              <w:spacing w:line="300" w:lineRule="exact"/>
              <w:jc w:val="center"/>
              <w:rPr>
                <w:rFonts w:ascii="方正书宋_GBK" w:eastAsia="方正书宋_GBK"/>
              </w:rPr>
            </w:pPr>
            <w:r>
              <w:rPr>
                <w:rFonts w:ascii="方正书宋_GBK" w:eastAsia="方正书宋_GBK"/>
              </w:rPr>
              <w:t>&lt;90%</w:t>
            </w:r>
          </w:p>
        </w:tc>
      </w:tr>
      <w:tr w14:paraId="43B46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B570CC6">
            <w:pPr>
              <w:spacing w:line="300" w:lineRule="exact"/>
              <w:jc w:val="left"/>
              <w:rPr>
                <w:rFonts w:ascii="方正书宋_GBK" w:eastAsia="方正书宋_GBK"/>
                <w:b/>
              </w:rPr>
            </w:pPr>
          </w:p>
        </w:tc>
        <w:tc>
          <w:tcPr>
            <w:tcW w:w="1276" w:type="dxa"/>
            <w:vMerge w:val="continue"/>
            <w:shd w:val="clear" w:color="auto" w:fill="auto"/>
            <w:vAlign w:val="center"/>
          </w:tcPr>
          <w:p w14:paraId="575DECA7">
            <w:pPr>
              <w:spacing w:line="300" w:lineRule="exact"/>
              <w:jc w:val="left"/>
              <w:rPr>
                <w:rFonts w:ascii="方正书宋_GBK" w:eastAsia="方正书宋_GBK"/>
              </w:rPr>
            </w:pPr>
          </w:p>
        </w:tc>
        <w:tc>
          <w:tcPr>
            <w:tcW w:w="2976" w:type="dxa"/>
            <w:vMerge w:val="continue"/>
            <w:shd w:val="clear" w:color="auto" w:fill="auto"/>
            <w:vAlign w:val="center"/>
          </w:tcPr>
          <w:p w14:paraId="37B9366C">
            <w:pPr>
              <w:spacing w:line="300" w:lineRule="exact"/>
              <w:jc w:val="left"/>
              <w:rPr>
                <w:rFonts w:ascii="方正书宋_GBK" w:eastAsia="方正书宋_GBK"/>
              </w:rPr>
            </w:pPr>
          </w:p>
        </w:tc>
        <w:tc>
          <w:tcPr>
            <w:tcW w:w="2976" w:type="dxa"/>
            <w:vMerge w:val="continue"/>
            <w:shd w:val="clear" w:color="auto" w:fill="auto"/>
            <w:vAlign w:val="center"/>
          </w:tcPr>
          <w:p w14:paraId="1014BDD3">
            <w:pPr>
              <w:spacing w:line="300" w:lineRule="exact"/>
              <w:jc w:val="left"/>
              <w:rPr>
                <w:rFonts w:ascii="方正书宋_GBK" w:eastAsia="方正书宋_GBK"/>
              </w:rPr>
            </w:pPr>
          </w:p>
        </w:tc>
        <w:tc>
          <w:tcPr>
            <w:tcW w:w="1417" w:type="dxa"/>
            <w:shd w:val="clear" w:color="auto" w:fill="auto"/>
            <w:vAlign w:val="center"/>
          </w:tcPr>
          <w:p w14:paraId="68E6FB83">
            <w:pPr>
              <w:spacing w:line="300" w:lineRule="exact"/>
              <w:jc w:val="left"/>
              <w:rPr>
                <w:rFonts w:ascii="方正书宋_GBK" w:eastAsia="方正书宋_GBK"/>
              </w:rPr>
            </w:pPr>
            <w:r>
              <w:rPr>
                <w:rFonts w:hint="eastAsia" w:ascii="方正书宋_GBK" w:eastAsia="方正书宋_GBK"/>
              </w:rPr>
              <w:t>受训学员后勤管理综合满意率</w:t>
            </w:r>
          </w:p>
        </w:tc>
        <w:tc>
          <w:tcPr>
            <w:tcW w:w="737" w:type="dxa"/>
            <w:shd w:val="clear" w:color="auto" w:fill="auto"/>
            <w:vAlign w:val="center"/>
          </w:tcPr>
          <w:p w14:paraId="6446711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7ABE6CE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2DA04C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6B288AE0">
            <w:pPr>
              <w:spacing w:line="300" w:lineRule="exact"/>
              <w:jc w:val="center"/>
              <w:rPr>
                <w:rFonts w:ascii="方正书宋_GBK" w:eastAsia="方正书宋_GBK"/>
              </w:rPr>
            </w:pPr>
            <w:r>
              <w:rPr>
                <w:rFonts w:ascii="方正书宋_GBK" w:eastAsia="方正书宋_GBK"/>
              </w:rPr>
              <w:t>&lt;85%</w:t>
            </w:r>
          </w:p>
        </w:tc>
      </w:tr>
      <w:tr w14:paraId="4BAFA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451550F">
            <w:pPr>
              <w:spacing w:line="300" w:lineRule="exact"/>
              <w:jc w:val="left"/>
              <w:rPr>
                <w:rFonts w:ascii="方正书宋_GBK" w:eastAsia="方正书宋_GBK"/>
                <w:b/>
              </w:rPr>
            </w:pPr>
            <w:r>
              <w:rPr>
                <w:rFonts w:hint="eastAsia" w:ascii="方正书宋_GBK" w:eastAsia="方正书宋_GBK"/>
                <w:b/>
              </w:rPr>
              <w:t>二、理论研究和决策咨询</w:t>
            </w:r>
          </w:p>
        </w:tc>
        <w:tc>
          <w:tcPr>
            <w:tcW w:w="1276" w:type="dxa"/>
            <w:shd w:val="clear" w:color="auto" w:fill="auto"/>
            <w:vAlign w:val="center"/>
          </w:tcPr>
          <w:p w14:paraId="6B59CE2A">
            <w:pPr>
              <w:spacing w:line="300" w:lineRule="exact"/>
              <w:jc w:val="left"/>
              <w:rPr>
                <w:rFonts w:ascii="方正书宋_GBK" w:eastAsia="方正书宋_GBK"/>
              </w:rPr>
            </w:pPr>
            <w:r>
              <w:rPr>
                <w:rFonts w:hint="eastAsia" w:ascii="方正书宋_GBK" w:eastAsia="方正书宋_GBK"/>
              </w:rPr>
              <w:t>10</w:t>
            </w:r>
          </w:p>
        </w:tc>
        <w:tc>
          <w:tcPr>
            <w:tcW w:w="2976" w:type="dxa"/>
            <w:shd w:val="clear" w:color="auto" w:fill="auto"/>
            <w:vAlign w:val="center"/>
          </w:tcPr>
          <w:p w14:paraId="2F4C3C7D">
            <w:pPr>
              <w:spacing w:line="300" w:lineRule="exact"/>
              <w:jc w:val="left"/>
              <w:rPr>
                <w:rFonts w:ascii="方正书宋_GBK" w:eastAsia="方正书宋_GBK"/>
              </w:rPr>
            </w:pPr>
            <w:r>
              <w:rPr>
                <w:rFonts w:hint="eastAsia" w:ascii="方正书宋_GBK" w:eastAsia="方正书宋_GBK"/>
              </w:rPr>
              <w:t>开展对马克思主义中国化最新成果、全县重大现实问题及战略问题的研究，为推进党的理论创新服务，为县委、县政府及有关部门决策咨询服务</w:t>
            </w:r>
          </w:p>
        </w:tc>
        <w:tc>
          <w:tcPr>
            <w:tcW w:w="2976" w:type="dxa"/>
            <w:shd w:val="clear" w:color="auto" w:fill="auto"/>
            <w:vAlign w:val="center"/>
          </w:tcPr>
          <w:p w14:paraId="65C47516">
            <w:pPr>
              <w:spacing w:line="300" w:lineRule="exact"/>
              <w:jc w:val="left"/>
              <w:rPr>
                <w:rFonts w:ascii="方正书宋_GBK" w:eastAsia="方正书宋_GBK"/>
              </w:rPr>
            </w:pPr>
            <w:r>
              <w:rPr>
                <w:rFonts w:hint="eastAsia" w:ascii="方正书宋_GBK" w:eastAsia="方正书宋_GBK"/>
              </w:rPr>
              <w:t>通过对党的中心任务、重大战略部署及相关重大现实理论问题开展调查研究，有效推进理论创新，立项一批有质量的课题；通过开展调查研究，拿出一批有质量的成果为领导决策服务；通过对党的路线方针政策的宣传和重大理论问题的分析解读，使党员领导干部和群众掌握马克思主义的立场、观点、方法，坚定理想信念，始终和党中央保持一致。</w:t>
            </w:r>
          </w:p>
        </w:tc>
        <w:tc>
          <w:tcPr>
            <w:tcW w:w="1417" w:type="dxa"/>
            <w:shd w:val="clear" w:color="auto" w:fill="auto"/>
            <w:vAlign w:val="center"/>
          </w:tcPr>
          <w:p w14:paraId="05B7D03D">
            <w:pPr>
              <w:spacing w:line="300" w:lineRule="exact"/>
              <w:jc w:val="left"/>
              <w:rPr>
                <w:rFonts w:ascii="方正书宋_GBK" w:eastAsia="方正书宋_GBK"/>
              </w:rPr>
            </w:pPr>
          </w:p>
        </w:tc>
        <w:tc>
          <w:tcPr>
            <w:tcW w:w="737" w:type="dxa"/>
            <w:shd w:val="clear" w:color="auto" w:fill="auto"/>
            <w:vAlign w:val="center"/>
          </w:tcPr>
          <w:p w14:paraId="783CD05A">
            <w:pPr>
              <w:spacing w:line="300" w:lineRule="exact"/>
              <w:jc w:val="center"/>
              <w:rPr>
                <w:rFonts w:ascii="方正书宋_GBK" w:eastAsia="方正书宋_GBK"/>
                <w:highlight w:val="yellow"/>
              </w:rPr>
            </w:pPr>
          </w:p>
        </w:tc>
        <w:tc>
          <w:tcPr>
            <w:tcW w:w="737" w:type="dxa"/>
            <w:shd w:val="clear" w:color="auto" w:fill="auto"/>
            <w:vAlign w:val="center"/>
          </w:tcPr>
          <w:p w14:paraId="7422D62B">
            <w:pPr>
              <w:spacing w:line="300" w:lineRule="exact"/>
              <w:jc w:val="center"/>
              <w:rPr>
                <w:rFonts w:ascii="方正书宋_GBK" w:eastAsia="方正书宋_GBK"/>
                <w:highlight w:val="yellow"/>
              </w:rPr>
            </w:pPr>
          </w:p>
        </w:tc>
        <w:tc>
          <w:tcPr>
            <w:tcW w:w="737" w:type="dxa"/>
            <w:shd w:val="clear" w:color="auto" w:fill="auto"/>
            <w:vAlign w:val="center"/>
          </w:tcPr>
          <w:p w14:paraId="14A25EA4">
            <w:pPr>
              <w:spacing w:line="300" w:lineRule="exact"/>
              <w:jc w:val="center"/>
              <w:rPr>
                <w:rFonts w:ascii="方正书宋_GBK" w:eastAsia="方正书宋_GBK"/>
                <w:highlight w:val="yellow"/>
              </w:rPr>
            </w:pPr>
          </w:p>
        </w:tc>
        <w:tc>
          <w:tcPr>
            <w:tcW w:w="737" w:type="dxa"/>
            <w:shd w:val="clear" w:color="auto" w:fill="auto"/>
            <w:vAlign w:val="center"/>
          </w:tcPr>
          <w:p w14:paraId="241584EC">
            <w:pPr>
              <w:spacing w:line="300" w:lineRule="exact"/>
              <w:jc w:val="center"/>
              <w:rPr>
                <w:rFonts w:ascii="方正书宋_GBK" w:eastAsia="方正书宋_GBK"/>
                <w:highlight w:val="yellow"/>
              </w:rPr>
            </w:pPr>
          </w:p>
        </w:tc>
      </w:tr>
      <w:tr w14:paraId="67454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D60254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、理论研究</w:t>
            </w:r>
          </w:p>
        </w:tc>
        <w:tc>
          <w:tcPr>
            <w:tcW w:w="1276" w:type="dxa"/>
            <w:shd w:val="clear" w:color="auto" w:fill="auto"/>
            <w:vAlign w:val="center"/>
          </w:tcPr>
          <w:p w14:paraId="5B2490E9">
            <w:pPr>
              <w:spacing w:line="300" w:lineRule="exact"/>
              <w:jc w:val="left"/>
              <w:rPr>
                <w:rFonts w:ascii="方正书宋_GBK" w:eastAsia="方正书宋_GBK"/>
              </w:rPr>
            </w:pPr>
          </w:p>
        </w:tc>
        <w:tc>
          <w:tcPr>
            <w:tcW w:w="2976" w:type="dxa"/>
            <w:shd w:val="clear" w:color="auto" w:fill="auto"/>
            <w:vAlign w:val="center"/>
          </w:tcPr>
          <w:p w14:paraId="6FB7676C">
            <w:pPr>
              <w:spacing w:line="300" w:lineRule="exact"/>
              <w:jc w:val="left"/>
              <w:rPr>
                <w:rFonts w:ascii="方正书宋_GBK" w:eastAsia="方正书宋_GBK"/>
              </w:rPr>
            </w:pPr>
            <w:r>
              <w:rPr>
                <w:rFonts w:hint="eastAsia" w:ascii="方正书宋_GBK" w:eastAsia="方正书宋_GBK"/>
              </w:rPr>
              <w:t>对优秀科研成果和成绩突出的优秀科研人才进行定项资助。宣传党和国家的路线方针政策，推进理论和实践创新。</w:t>
            </w:r>
          </w:p>
        </w:tc>
        <w:tc>
          <w:tcPr>
            <w:tcW w:w="2976" w:type="dxa"/>
            <w:shd w:val="clear" w:color="auto" w:fill="auto"/>
            <w:vAlign w:val="center"/>
          </w:tcPr>
          <w:p w14:paraId="630CB2E3">
            <w:pPr>
              <w:spacing w:line="300" w:lineRule="exact"/>
              <w:jc w:val="left"/>
              <w:rPr>
                <w:rFonts w:ascii="方正书宋_GBK" w:eastAsia="方正书宋_GBK"/>
              </w:rPr>
            </w:pPr>
            <w:r>
              <w:rPr>
                <w:rFonts w:hint="eastAsia" w:ascii="方正书宋_GBK" w:eastAsia="方正书宋_GBK"/>
              </w:rPr>
              <w:t>推动教研人员的科研交流和理论探索，产出高质量的理论成果。</w:t>
            </w:r>
          </w:p>
        </w:tc>
        <w:tc>
          <w:tcPr>
            <w:tcW w:w="1417" w:type="dxa"/>
            <w:shd w:val="clear" w:color="auto" w:fill="auto"/>
            <w:vAlign w:val="center"/>
          </w:tcPr>
          <w:p w14:paraId="443C7C7C">
            <w:pPr>
              <w:spacing w:line="300" w:lineRule="exact"/>
              <w:jc w:val="left"/>
              <w:rPr>
                <w:rFonts w:ascii="方正书宋_GBK" w:eastAsia="方正书宋_GBK"/>
              </w:rPr>
            </w:pPr>
            <w:r>
              <w:rPr>
                <w:rFonts w:hint="eastAsia" w:ascii="方正书宋_GBK" w:eastAsia="方正书宋_GBK"/>
              </w:rPr>
              <w:t>科研课题立项数</w:t>
            </w:r>
          </w:p>
        </w:tc>
        <w:tc>
          <w:tcPr>
            <w:tcW w:w="737" w:type="dxa"/>
            <w:shd w:val="clear" w:color="auto" w:fill="auto"/>
            <w:vAlign w:val="center"/>
          </w:tcPr>
          <w:p w14:paraId="111BF732">
            <w:pPr>
              <w:spacing w:line="300" w:lineRule="exact"/>
              <w:jc w:val="center"/>
              <w:rPr>
                <w:rFonts w:ascii="方正书宋_GBK" w:eastAsia="方正书宋_GBK"/>
              </w:rPr>
            </w:pPr>
          </w:p>
        </w:tc>
        <w:tc>
          <w:tcPr>
            <w:tcW w:w="737" w:type="dxa"/>
            <w:shd w:val="clear" w:color="auto" w:fill="auto"/>
            <w:vAlign w:val="center"/>
          </w:tcPr>
          <w:p w14:paraId="680C6410">
            <w:pPr>
              <w:spacing w:line="300" w:lineRule="exact"/>
              <w:jc w:val="center"/>
              <w:rPr>
                <w:rFonts w:ascii="方正书宋_GBK" w:eastAsia="方正书宋_GBK"/>
              </w:rPr>
            </w:pPr>
          </w:p>
        </w:tc>
        <w:tc>
          <w:tcPr>
            <w:tcW w:w="737" w:type="dxa"/>
            <w:shd w:val="clear" w:color="auto" w:fill="auto"/>
            <w:vAlign w:val="center"/>
          </w:tcPr>
          <w:p w14:paraId="3A2C62D4">
            <w:pPr>
              <w:spacing w:line="300" w:lineRule="exact"/>
              <w:jc w:val="center"/>
              <w:rPr>
                <w:rFonts w:ascii="方正书宋_GBK" w:eastAsia="方正书宋_GBK"/>
              </w:rPr>
            </w:pPr>
          </w:p>
        </w:tc>
        <w:tc>
          <w:tcPr>
            <w:tcW w:w="737" w:type="dxa"/>
            <w:shd w:val="clear" w:color="auto" w:fill="auto"/>
            <w:vAlign w:val="center"/>
          </w:tcPr>
          <w:p w14:paraId="0222B450">
            <w:pPr>
              <w:spacing w:line="300" w:lineRule="exact"/>
              <w:jc w:val="center"/>
              <w:rPr>
                <w:rFonts w:ascii="方正书宋_GBK" w:eastAsia="方正书宋_GBK"/>
              </w:rPr>
            </w:pPr>
          </w:p>
        </w:tc>
      </w:tr>
      <w:tr w14:paraId="5F013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5D8FCBA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、决策咨询和政策宣讲</w:t>
            </w:r>
          </w:p>
        </w:tc>
        <w:tc>
          <w:tcPr>
            <w:tcW w:w="1276" w:type="dxa"/>
            <w:vMerge w:val="restart"/>
            <w:shd w:val="clear" w:color="auto" w:fill="auto"/>
            <w:vAlign w:val="center"/>
          </w:tcPr>
          <w:p w14:paraId="0A6FC08F">
            <w:pPr>
              <w:spacing w:line="300" w:lineRule="exact"/>
              <w:jc w:val="left"/>
              <w:rPr>
                <w:rFonts w:ascii="方正书宋_GBK" w:eastAsia="方正书宋_GBK"/>
              </w:rPr>
            </w:pPr>
            <w:r>
              <w:rPr>
                <w:rFonts w:hint="eastAsia" w:ascii="方正书宋_GBK" w:eastAsia="方正书宋_GBK"/>
              </w:rPr>
              <w:t>10</w:t>
            </w:r>
          </w:p>
        </w:tc>
        <w:tc>
          <w:tcPr>
            <w:tcW w:w="2976" w:type="dxa"/>
            <w:vMerge w:val="restart"/>
            <w:shd w:val="clear" w:color="auto" w:fill="auto"/>
            <w:vAlign w:val="center"/>
          </w:tcPr>
          <w:p w14:paraId="1E2662F1">
            <w:pPr>
              <w:spacing w:line="300" w:lineRule="exact"/>
              <w:jc w:val="left"/>
              <w:rPr>
                <w:rFonts w:ascii="方正书宋_GBK" w:eastAsia="方正书宋_GBK"/>
              </w:rPr>
            </w:pPr>
            <w:r>
              <w:rPr>
                <w:rFonts w:hint="eastAsia" w:ascii="方正书宋_GBK" w:eastAsia="方正书宋_GBK"/>
              </w:rPr>
              <w:t>承担县领导交办的调研任务，围绕县委县政府中心工作，开展决策咨询研究；组织有关领导、教师到各乡镇及相关部门进行政策宣讲。</w:t>
            </w:r>
          </w:p>
        </w:tc>
        <w:tc>
          <w:tcPr>
            <w:tcW w:w="2976" w:type="dxa"/>
            <w:vMerge w:val="restart"/>
            <w:shd w:val="clear" w:color="auto" w:fill="auto"/>
            <w:vAlign w:val="center"/>
          </w:tcPr>
          <w:p w14:paraId="480960F9">
            <w:pPr>
              <w:spacing w:line="300" w:lineRule="exact"/>
              <w:jc w:val="left"/>
              <w:rPr>
                <w:rFonts w:ascii="方正书宋_GBK" w:eastAsia="方正书宋_GBK"/>
              </w:rPr>
            </w:pPr>
            <w:r>
              <w:rPr>
                <w:rFonts w:hint="eastAsia" w:ascii="方正书宋_GBK" w:eastAsia="方正书宋_GBK"/>
              </w:rPr>
              <w:t>通过决策咨询研究，设立一批有质量的决策咨询服务项目，拿出一批优秀的决策咨询成果，为领导决策咨询服务，发挥思想库和智囊团的作用。</w:t>
            </w:r>
          </w:p>
        </w:tc>
        <w:tc>
          <w:tcPr>
            <w:tcW w:w="1417" w:type="dxa"/>
            <w:shd w:val="clear" w:color="auto" w:fill="auto"/>
            <w:vAlign w:val="center"/>
          </w:tcPr>
          <w:p w14:paraId="3C2A18DF">
            <w:pPr>
              <w:spacing w:line="300" w:lineRule="exact"/>
              <w:jc w:val="left"/>
              <w:rPr>
                <w:rFonts w:ascii="方正书宋_GBK" w:eastAsia="方正书宋_GBK"/>
              </w:rPr>
            </w:pPr>
            <w:r>
              <w:rPr>
                <w:rFonts w:hint="eastAsia" w:ascii="方正书宋_GBK" w:eastAsia="方正书宋_GBK"/>
              </w:rPr>
              <w:t>送教下乡次数</w:t>
            </w:r>
          </w:p>
        </w:tc>
        <w:tc>
          <w:tcPr>
            <w:tcW w:w="737" w:type="dxa"/>
            <w:shd w:val="clear" w:color="auto" w:fill="auto"/>
            <w:vAlign w:val="center"/>
          </w:tcPr>
          <w:p w14:paraId="4A70FE2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232DA8E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14:paraId="6A09C58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64BD525A">
            <w:pPr>
              <w:spacing w:line="300" w:lineRule="exact"/>
              <w:jc w:val="center"/>
              <w:rPr>
                <w:rFonts w:ascii="方正书宋_GBK" w:eastAsia="方正书宋_GBK"/>
              </w:rPr>
            </w:pPr>
            <w:r>
              <w:rPr>
                <w:rFonts w:ascii="方正书宋_GBK" w:eastAsia="方正书宋_GBK"/>
              </w:rPr>
              <w:t>&lt;5</w:t>
            </w:r>
          </w:p>
        </w:tc>
      </w:tr>
      <w:tr w14:paraId="658A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45739E1">
            <w:pPr>
              <w:spacing w:line="300" w:lineRule="exact"/>
              <w:jc w:val="left"/>
              <w:rPr>
                <w:rFonts w:ascii="方正书宋_GBK" w:eastAsia="方正书宋_GBK"/>
                <w:b/>
              </w:rPr>
            </w:pPr>
          </w:p>
        </w:tc>
        <w:tc>
          <w:tcPr>
            <w:tcW w:w="1276" w:type="dxa"/>
            <w:vMerge w:val="continue"/>
            <w:shd w:val="clear" w:color="auto" w:fill="auto"/>
            <w:vAlign w:val="center"/>
          </w:tcPr>
          <w:p w14:paraId="062F65DE">
            <w:pPr>
              <w:spacing w:line="300" w:lineRule="exact"/>
              <w:jc w:val="left"/>
              <w:rPr>
                <w:rFonts w:ascii="方正书宋_GBK" w:eastAsia="方正书宋_GBK"/>
              </w:rPr>
            </w:pPr>
          </w:p>
        </w:tc>
        <w:tc>
          <w:tcPr>
            <w:tcW w:w="2976" w:type="dxa"/>
            <w:vMerge w:val="continue"/>
            <w:shd w:val="clear" w:color="auto" w:fill="auto"/>
            <w:vAlign w:val="center"/>
          </w:tcPr>
          <w:p w14:paraId="10FAA5C4">
            <w:pPr>
              <w:spacing w:line="300" w:lineRule="exact"/>
              <w:jc w:val="left"/>
              <w:rPr>
                <w:rFonts w:ascii="方正书宋_GBK" w:eastAsia="方正书宋_GBK"/>
              </w:rPr>
            </w:pPr>
          </w:p>
        </w:tc>
        <w:tc>
          <w:tcPr>
            <w:tcW w:w="2976" w:type="dxa"/>
            <w:vMerge w:val="continue"/>
            <w:shd w:val="clear" w:color="auto" w:fill="auto"/>
            <w:vAlign w:val="center"/>
          </w:tcPr>
          <w:p w14:paraId="76592851">
            <w:pPr>
              <w:spacing w:line="300" w:lineRule="exact"/>
              <w:jc w:val="left"/>
              <w:rPr>
                <w:rFonts w:ascii="方正书宋_GBK" w:eastAsia="方正书宋_GBK"/>
              </w:rPr>
            </w:pPr>
          </w:p>
        </w:tc>
        <w:tc>
          <w:tcPr>
            <w:tcW w:w="1417" w:type="dxa"/>
            <w:shd w:val="clear" w:color="auto" w:fill="auto"/>
            <w:vAlign w:val="center"/>
          </w:tcPr>
          <w:p w14:paraId="390DBE34">
            <w:pPr>
              <w:spacing w:line="300" w:lineRule="exact"/>
              <w:jc w:val="left"/>
              <w:rPr>
                <w:rFonts w:ascii="方正书宋_GBK" w:eastAsia="方正书宋_GBK"/>
              </w:rPr>
            </w:pPr>
            <w:r>
              <w:rPr>
                <w:rFonts w:hint="eastAsia" w:ascii="方正书宋_GBK" w:eastAsia="方正书宋_GBK"/>
              </w:rPr>
              <w:t>对外宣讲次数</w:t>
            </w:r>
          </w:p>
        </w:tc>
        <w:tc>
          <w:tcPr>
            <w:tcW w:w="737" w:type="dxa"/>
            <w:shd w:val="clear" w:color="auto" w:fill="auto"/>
            <w:vAlign w:val="center"/>
          </w:tcPr>
          <w:p w14:paraId="428EF23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29651FA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14:paraId="70455C4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42EFED5B">
            <w:pPr>
              <w:spacing w:line="300" w:lineRule="exact"/>
              <w:jc w:val="center"/>
              <w:rPr>
                <w:rFonts w:ascii="方正书宋_GBK" w:eastAsia="方正书宋_GBK"/>
              </w:rPr>
            </w:pPr>
            <w:r>
              <w:rPr>
                <w:rFonts w:ascii="方正书宋_GBK" w:eastAsia="方正书宋_GBK"/>
              </w:rPr>
              <w:t>&lt;5</w:t>
            </w:r>
          </w:p>
        </w:tc>
      </w:tr>
      <w:tr w14:paraId="48DC4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8FE026F">
            <w:pPr>
              <w:spacing w:line="300" w:lineRule="exact"/>
              <w:jc w:val="left"/>
              <w:rPr>
                <w:rFonts w:ascii="方正书宋_GBK" w:eastAsia="方正书宋_GBK"/>
                <w:b/>
              </w:rPr>
            </w:pPr>
          </w:p>
        </w:tc>
        <w:tc>
          <w:tcPr>
            <w:tcW w:w="1276" w:type="dxa"/>
            <w:vMerge w:val="continue"/>
            <w:shd w:val="clear" w:color="auto" w:fill="auto"/>
            <w:vAlign w:val="center"/>
          </w:tcPr>
          <w:p w14:paraId="06B0CE99">
            <w:pPr>
              <w:spacing w:line="300" w:lineRule="exact"/>
              <w:jc w:val="left"/>
              <w:rPr>
                <w:rFonts w:ascii="方正书宋_GBK" w:eastAsia="方正书宋_GBK"/>
              </w:rPr>
            </w:pPr>
          </w:p>
        </w:tc>
        <w:tc>
          <w:tcPr>
            <w:tcW w:w="2976" w:type="dxa"/>
            <w:vMerge w:val="continue"/>
            <w:shd w:val="clear" w:color="auto" w:fill="auto"/>
            <w:vAlign w:val="center"/>
          </w:tcPr>
          <w:p w14:paraId="67C2EBB4">
            <w:pPr>
              <w:spacing w:line="300" w:lineRule="exact"/>
              <w:jc w:val="left"/>
              <w:rPr>
                <w:rFonts w:ascii="方正书宋_GBK" w:eastAsia="方正书宋_GBK"/>
              </w:rPr>
            </w:pPr>
          </w:p>
        </w:tc>
        <w:tc>
          <w:tcPr>
            <w:tcW w:w="2976" w:type="dxa"/>
            <w:vMerge w:val="continue"/>
            <w:shd w:val="clear" w:color="auto" w:fill="auto"/>
            <w:vAlign w:val="center"/>
          </w:tcPr>
          <w:p w14:paraId="79E568DC">
            <w:pPr>
              <w:spacing w:line="300" w:lineRule="exact"/>
              <w:jc w:val="left"/>
              <w:rPr>
                <w:rFonts w:ascii="方正书宋_GBK" w:eastAsia="方正书宋_GBK"/>
              </w:rPr>
            </w:pPr>
          </w:p>
        </w:tc>
        <w:tc>
          <w:tcPr>
            <w:tcW w:w="1417" w:type="dxa"/>
            <w:shd w:val="clear" w:color="auto" w:fill="auto"/>
            <w:vAlign w:val="center"/>
          </w:tcPr>
          <w:p w14:paraId="50C3F634">
            <w:pPr>
              <w:spacing w:line="300" w:lineRule="exact"/>
              <w:jc w:val="left"/>
              <w:rPr>
                <w:rFonts w:ascii="方正书宋_GBK" w:eastAsia="方正书宋_GBK"/>
              </w:rPr>
            </w:pPr>
            <w:r>
              <w:rPr>
                <w:rFonts w:hint="eastAsia" w:ascii="方正书宋_GBK" w:eastAsia="方正书宋_GBK"/>
              </w:rPr>
              <w:t>决策咨询研究工作完成率</w:t>
            </w:r>
          </w:p>
        </w:tc>
        <w:tc>
          <w:tcPr>
            <w:tcW w:w="737" w:type="dxa"/>
            <w:shd w:val="clear" w:color="auto" w:fill="auto"/>
            <w:vAlign w:val="center"/>
          </w:tcPr>
          <w:p w14:paraId="3A840B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14:paraId="6A3362B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2439A8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25CF8D5">
            <w:pPr>
              <w:spacing w:line="300" w:lineRule="exact"/>
              <w:jc w:val="center"/>
              <w:rPr>
                <w:rFonts w:ascii="方正书宋_GBK" w:eastAsia="方正书宋_GBK"/>
              </w:rPr>
            </w:pPr>
            <w:r>
              <w:rPr>
                <w:rFonts w:ascii="方正书宋_GBK" w:eastAsia="方正书宋_GBK"/>
              </w:rPr>
              <w:t>&lt;90%</w:t>
            </w:r>
          </w:p>
        </w:tc>
      </w:tr>
      <w:tr w14:paraId="78AD7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DDED0F3">
            <w:pPr>
              <w:spacing w:line="300" w:lineRule="exact"/>
              <w:jc w:val="left"/>
              <w:rPr>
                <w:rFonts w:ascii="方正书宋_GBK" w:eastAsia="方正书宋_GBK"/>
                <w:b/>
              </w:rPr>
            </w:pPr>
          </w:p>
        </w:tc>
        <w:tc>
          <w:tcPr>
            <w:tcW w:w="1276" w:type="dxa"/>
            <w:vMerge w:val="continue"/>
            <w:shd w:val="clear" w:color="auto" w:fill="auto"/>
            <w:vAlign w:val="center"/>
          </w:tcPr>
          <w:p w14:paraId="0CCECA26">
            <w:pPr>
              <w:spacing w:line="300" w:lineRule="exact"/>
              <w:jc w:val="left"/>
              <w:rPr>
                <w:rFonts w:ascii="方正书宋_GBK" w:eastAsia="方正书宋_GBK"/>
              </w:rPr>
            </w:pPr>
          </w:p>
        </w:tc>
        <w:tc>
          <w:tcPr>
            <w:tcW w:w="2976" w:type="dxa"/>
            <w:vMerge w:val="continue"/>
            <w:shd w:val="clear" w:color="auto" w:fill="auto"/>
            <w:vAlign w:val="center"/>
          </w:tcPr>
          <w:p w14:paraId="3FA2115B">
            <w:pPr>
              <w:spacing w:line="300" w:lineRule="exact"/>
              <w:jc w:val="left"/>
              <w:rPr>
                <w:rFonts w:ascii="方正书宋_GBK" w:eastAsia="方正书宋_GBK"/>
              </w:rPr>
            </w:pPr>
          </w:p>
        </w:tc>
        <w:tc>
          <w:tcPr>
            <w:tcW w:w="2976" w:type="dxa"/>
            <w:vMerge w:val="continue"/>
            <w:shd w:val="clear" w:color="auto" w:fill="auto"/>
            <w:vAlign w:val="center"/>
          </w:tcPr>
          <w:p w14:paraId="4B2F286A">
            <w:pPr>
              <w:spacing w:line="300" w:lineRule="exact"/>
              <w:jc w:val="left"/>
              <w:rPr>
                <w:rFonts w:ascii="方正书宋_GBK" w:eastAsia="方正书宋_GBK"/>
              </w:rPr>
            </w:pPr>
          </w:p>
        </w:tc>
        <w:tc>
          <w:tcPr>
            <w:tcW w:w="1417" w:type="dxa"/>
            <w:shd w:val="clear" w:color="auto" w:fill="auto"/>
            <w:vAlign w:val="center"/>
          </w:tcPr>
          <w:p w14:paraId="3C6F8D1A">
            <w:pPr>
              <w:spacing w:line="300" w:lineRule="exact"/>
              <w:jc w:val="left"/>
              <w:rPr>
                <w:rFonts w:ascii="方正书宋_GBK" w:eastAsia="方正书宋_GBK"/>
              </w:rPr>
            </w:pPr>
            <w:r>
              <w:rPr>
                <w:rFonts w:hint="eastAsia" w:ascii="方正书宋_GBK" w:eastAsia="方正书宋_GBK"/>
              </w:rPr>
              <w:t>宣讲满意度</w:t>
            </w:r>
          </w:p>
        </w:tc>
        <w:tc>
          <w:tcPr>
            <w:tcW w:w="737" w:type="dxa"/>
            <w:shd w:val="clear" w:color="auto" w:fill="auto"/>
            <w:vAlign w:val="center"/>
          </w:tcPr>
          <w:p w14:paraId="58983CA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2A48B4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0A661D2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6A874117">
            <w:pPr>
              <w:spacing w:line="300" w:lineRule="exact"/>
              <w:jc w:val="center"/>
              <w:rPr>
                <w:rFonts w:ascii="方正书宋_GBK" w:eastAsia="方正书宋_GBK"/>
              </w:rPr>
            </w:pPr>
            <w:r>
              <w:rPr>
                <w:rFonts w:ascii="方正书宋_GBK" w:eastAsia="方正书宋_GBK"/>
              </w:rPr>
              <w:t>&lt;85%</w:t>
            </w:r>
          </w:p>
        </w:tc>
      </w:tr>
    </w:tbl>
    <w:p w14:paraId="13FADEDD">
      <w:pPr>
        <w:autoSpaceDE w:val="0"/>
        <w:autoSpaceDN w:val="0"/>
        <w:adjustRightInd w:val="0"/>
        <w:jc w:val="left"/>
        <w:rPr>
          <w:rFonts w:ascii="黑体" w:hAnsi="黑体" w:eastAsia="黑体" w:cs="Times New Roman"/>
          <w:b/>
          <w:sz w:val="32"/>
          <w:szCs w:val="32"/>
        </w:rPr>
      </w:pPr>
    </w:p>
    <w:p w14:paraId="52CAE483">
      <w:pPr>
        <w:autoSpaceDE w:val="0"/>
        <w:autoSpaceDN w:val="0"/>
        <w:adjustRightInd w:val="0"/>
        <w:ind w:firstLine="964" w:firstLineChars="300"/>
        <w:jc w:val="left"/>
        <w:rPr>
          <w:rFonts w:ascii="黑体" w:hAnsi="黑体" w:eastAsia="黑体" w:cs="Times New Roman"/>
          <w:b/>
          <w:sz w:val="32"/>
          <w:szCs w:val="32"/>
        </w:rPr>
      </w:pPr>
      <w:r>
        <w:rPr>
          <w:rFonts w:hint="eastAsia" w:ascii="黑体" w:hAnsi="黑体" w:eastAsia="黑体" w:cs="Times New Roman"/>
          <w:b/>
          <w:sz w:val="32"/>
          <w:szCs w:val="32"/>
        </w:rPr>
        <w:t>六、政府采购预算情况</w:t>
      </w:r>
    </w:p>
    <w:p w14:paraId="62DEAF3D">
      <w:pPr>
        <w:widowControl/>
        <w:spacing w:line="580" w:lineRule="exact"/>
        <w:ind w:firstLine="640" w:firstLineChars="200"/>
        <w:jc w:val="left"/>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w:t>
      </w:r>
      <w:r>
        <w:rPr>
          <w:rFonts w:hint="eastAsia" w:ascii="Times New Roman" w:hAnsi="Times New Roman" w:eastAsia="方正仿宋_GBK" w:cs="Times New Roman"/>
          <w:sz w:val="32"/>
          <w:szCs w:val="24"/>
        </w:rPr>
        <w:t>本部门</w:t>
      </w:r>
      <w:r>
        <w:rPr>
          <w:rFonts w:ascii="Times New Roman" w:hAnsi="Times New Roman" w:eastAsia="方正仿宋_GBK" w:cs="Times New Roman"/>
          <w:sz w:val="32"/>
          <w:szCs w:val="24"/>
        </w:rPr>
        <w:t>20</w:t>
      </w:r>
      <w:r>
        <w:rPr>
          <w:rFonts w:hint="eastAsia" w:ascii="Times New Roman" w:hAnsi="Times New Roman" w:eastAsia="方正仿宋_GBK" w:cs="Times New Roman"/>
          <w:sz w:val="32"/>
          <w:szCs w:val="24"/>
        </w:rPr>
        <w:t>22</w:t>
      </w:r>
      <w:r>
        <w:rPr>
          <w:rFonts w:ascii="Times New Roman" w:hAnsi="Times New Roman" w:eastAsia="方正仿宋_GBK" w:cs="Times New Roman"/>
          <w:sz w:val="32"/>
          <w:szCs w:val="24"/>
        </w:rPr>
        <w:t>年，安排政府采购预算</w:t>
      </w:r>
      <w:r>
        <w:rPr>
          <w:rFonts w:hint="eastAsia" w:ascii="Times New Roman" w:hAnsi="Times New Roman" w:cs="Times New Roman"/>
          <w:sz w:val="32"/>
          <w:szCs w:val="24"/>
        </w:rPr>
        <w:t>0</w:t>
      </w:r>
      <w:r>
        <w:rPr>
          <w:rFonts w:ascii="Times New Roman" w:hAnsi="Times New Roman" w:eastAsia="方正仿宋_GBK" w:cs="Times New Roman"/>
          <w:sz w:val="32"/>
          <w:szCs w:val="24"/>
        </w:rPr>
        <w:t>万元</w:t>
      </w:r>
      <w:r>
        <w:rPr>
          <w:rFonts w:hint="eastAsia" w:ascii="Times New Roman" w:hAnsi="Times New Roman" w:eastAsia="方正仿宋_GBK" w:cs="Times New Roman"/>
          <w:sz w:val="32"/>
          <w:szCs w:val="24"/>
        </w:rPr>
        <w:t>（见下表）</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rPr>
        <w:t>因采购项目、采购物品、采购数量、采购金额未超政府采购限额，2022年度未安排政府采购预算。政府采购预算情况为，采购项目为0、采购物品为0、采购数量0、采购金额0。</w:t>
      </w:r>
    </w:p>
    <w:tbl>
      <w:tblPr>
        <w:tblStyle w:val="9"/>
        <w:tblpPr w:leftFromText="180" w:rightFromText="180" w:vertAnchor="text" w:horzAnchor="page" w:tblpX="1422" w:tblpY="265"/>
        <w:tblOverlap w:val="never"/>
        <w:tblW w:w="1489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4"/>
        <w:gridCol w:w="1088"/>
        <w:gridCol w:w="1470"/>
        <w:gridCol w:w="1471"/>
        <w:gridCol w:w="681"/>
        <w:gridCol w:w="871"/>
        <w:gridCol w:w="970"/>
        <w:gridCol w:w="992"/>
        <w:gridCol w:w="1089"/>
        <w:gridCol w:w="1089"/>
        <w:gridCol w:w="1089"/>
        <w:gridCol w:w="1089"/>
        <w:gridCol w:w="1092"/>
      </w:tblGrid>
      <w:tr w14:paraId="07245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blHeader/>
        </w:trPr>
        <w:tc>
          <w:tcPr>
            <w:tcW w:w="8455" w:type="dxa"/>
            <w:gridSpan w:val="7"/>
            <w:tcBorders>
              <w:top w:val="single" w:color="FFFFFF" w:sz="6" w:space="0"/>
              <w:left w:val="single" w:color="FFFFFF" w:sz="6" w:space="0"/>
              <w:bottom w:val="single" w:color="000000" w:sz="6" w:space="0"/>
              <w:right w:val="single" w:color="FFFFFF" w:sz="6" w:space="0"/>
            </w:tcBorders>
            <w:vAlign w:val="center"/>
          </w:tcPr>
          <w:p w14:paraId="61101110">
            <w:pPr>
              <w:spacing w:line="300" w:lineRule="exact"/>
              <w:jc w:val="left"/>
              <w:rPr>
                <w:rFonts w:ascii="方正小标宋_GBK" w:eastAsia="方正小标宋_GBK" w:hAnsiTheme="minorHAnsi" w:cstheme="minorBidi"/>
                <w:sz w:val="24"/>
              </w:rPr>
            </w:pPr>
            <w:r>
              <w:rPr>
                <w:rFonts w:hint="eastAsia" w:ascii="方正小标宋_GBK" w:eastAsia="方正小标宋_GBK"/>
                <w:sz w:val="24"/>
              </w:rPr>
              <w:t>281曹妃甸区党校</w:t>
            </w:r>
          </w:p>
        </w:tc>
        <w:tc>
          <w:tcPr>
            <w:tcW w:w="6440" w:type="dxa"/>
            <w:gridSpan w:val="6"/>
            <w:tcBorders>
              <w:top w:val="single" w:color="FFFFFF" w:sz="6" w:space="0"/>
              <w:left w:val="single" w:color="FFFFFF" w:sz="6" w:space="0"/>
              <w:bottom w:val="single" w:color="000000" w:sz="6" w:space="0"/>
              <w:right w:val="single" w:color="FFFFFF" w:sz="6" w:space="0"/>
            </w:tcBorders>
            <w:vAlign w:val="center"/>
          </w:tcPr>
          <w:p w14:paraId="58DBC337">
            <w:pPr>
              <w:spacing w:line="300" w:lineRule="exact"/>
              <w:jc w:val="right"/>
              <w:rPr>
                <w:rFonts w:ascii="方正书宋_GBK" w:eastAsia="方正书宋_GBK" w:hAnsiTheme="minorHAnsi" w:cstheme="minorBidi"/>
                <w:sz w:val="24"/>
              </w:rPr>
            </w:pPr>
            <w:r>
              <w:rPr>
                <w:rFonts w:hint="eastAsia" w:ascii="方正书宋_GBK" w:eastAsia="方正书宋_GBK"/>
                <w:sz w:val="24"/>
              </w:rPr>
              <w:t>单位：万元</w:t>
            </w:r>
          </w:p>
        </w:tc>
      </w:tr>
      <w:tr w14:paraId="4FA76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blHeader/>
        </w:trPr>
        <w:tc>
          <w:tcPr>
            <w:tcW w:w="2992" w:type="dxa"/>
            <w:gridSpan w:val="2"/>
            <w:tcBorders>
              <w:top w:val="single" w:color="000000" w:sz="6" w:space="0"/>
              <w:left w:val="single" w:color="000000" w:sz="6" w:space="0"/>
              <w:bottom w:val="single" w:color="000000" w:sz="6" w:space="0"/>
              <w:right w:val="single" w:color="000000" w:sz="6" w:space="0"/>
            </w:tcBorders>
            <w:vAlign w:val="center"/>
          </w:tcPr>
          <w:p w14:paraId="2D561112">
            <w:pPr>
              <w:spacing w:line="300" w:lineRule="exact"/>
              <w:jc w:val="center"/>
              <w:rPr>
                <w:rFonts w:ascii="方正书宋_GBK" w:eastAsia="方正书宋_GBK" w:hAnsiTheme="minorHAnsi" w:cstheme="minorBidi"/>
                <w:b/>
              </w:rPr>
            </w:pPr>
            <w:r>
              <w:rPr>
                <w:rFonts w:hint="eastAsia" w:ascii="方正书宋_GBK" w:eastAsia="方正书宋_GBK"/>
                <w:b/>
              </w:rPr>
              <w:t>政府采购项目来源</w:t>
            </w:r>
          </w:p>
        </w:tc>
        <w:tc>
          <w:tcPr>
            <w:tcW w:w="1470" w:type="dxa"/>
            <w:vMerge w:val="restart"/>
            <w:tcBorders>
              <w:top w:val="single" w:color="000000" w:sz="6" w:space="0"/>
              <w:left w:val="single" w:color="000000" w:sz="6" w:space="0"/>
              <w:bottom w:val="single" w:color="000000" w:sz="6" w:space="0"/>
              <w:right w:val="single" w:color="000000" w:sz="6" w:space="0"/>
            </w:tcBorders>
            <w:vAlign w:val="center"/>
          </w:tcPr>
          <w:p w14:paraId="3AF8CFE1">
            <w:pPr>
              <w:spacing w:line="300" w:lineRule="exact"/>
              <w:jc w:val="center"/>
              <w:rPr>
                <w:rFonts w:ascii="方正书宋_GBK" w:eastAsia="方正书宋_GBK" w:hAnsiTheme="minorHAnsi" w:cstheme="minorBidi"/>
                <w:b/>
              </w:rPr>
            </w:pPr>
            <w:r>
              <w:rPr>
                <w:rFonts w:hint="eastAsia" w:ascii="方正书宋_GBK" w:eastAsia="方正书宋_GBK"/>
                <w:b/>
              </w:rPr>
              <w:t>采购物品名称</w:t>
            </w:r>
          </w:p>
        </w:tc>
        <w:tc>
          <w:tcPr>
            <w:tcW w:w="1471" w:type="dxa"/>
            <w:vMerge w:val="restart"/>
            <w:tcBorders>
              <w:top w:val="single" w:color="000000" w:sz="6" w:space="0"/>
              <w:left w:val="single" w:color="000000" w:sz="6" w:space="0"/>
              <w:bottom w:val="single" w:color="000000" w:sz="6" w:space="0"/>
              <w:right w:val="single" w:color="000000" w:sz="6" w:space="0"/>
            </w:tcBorders>
            <w:vAlign w:val="center"/>
          </w:tcPr>
          <w:p w14:paraId="32CD8FB8">
            <w:pPr>
              <w:spacing w:line="300" w:lineRule="exact"/>
              <w:jc w:val="center"/>
              <w:rPr>
                <w:rFonts w:ascii="方正书宋_GBK" w:eastAsia="方正书宋_GBK" w:hAnsiTheme="minorHAnsi" w:cstheme="minorBidi"/>
                <w:b/>
              </w:rPr>
            </w:pPr>
            <w:r>
              <w:rPr>
                <w:rFonts w:hint="eastAsia" w:ascii="方正书宋_GBK" w:eastAsia="方正书宋_GBK"/>
                <w:b/>
              </w:rPr>
              <w:t>政府采购目录序号</w:t>
            </w:r>
          </w:p>
        </w:tc>
        <w:tc>
          <w:tcPr>
            <w:tcW w:w="681" w:type="dxa"/>
            <w:vMerge w:val="restart"/>
            <w:tcBorders>
              <w:top w:val="single" w:color="000000" w:sz="6" w:space="0"/>
              <w:left w:val="single" w:color="000000" w:sz="6" w:space="0"/>
              <w:bottom w:val="single" w:color="000000" w:sz="6" w:space="0"/>
              <w:right w:val="single" w:color="000000" w:sz="6" w:space="0"/>
            </w:tcBorders>
            <w:vAlign w:val="center"/>
          </w:tcPr>
          <w:p w14:paraId="43FEDDC6">
            <w:pPr>
              <w:spacing w:line="300" w:lineRule="exact"/>
              <w:jc w:val="center"/>
              <w:rPr>
                <w:rFonts w:ascii="方正书宋_GBK" w:eastAsia="方正书宋_GBK" w:hAnsiTheme="minorHAnsi" w:cstheme="minorBidi"/>
                <w:b/>
              </w:rPr>
            </w:pPr>
            <w:r>
              <w:rPr>
                <w:rFonts w:hint="eastAsia" w:ascii="方正书宋_GBK" w:eastAsia="方正书宋_GBK"/>
                <w:b/>
              </w:rPr>
              <w:t>计量  单位</w:t>
            </w:r>
          </w:p>
        </w:tc>
        <w:tc>
          <w:tcPr>
            <w:tcW w:w="871" w:type="dxa"/>
            <w:vMerge w:val="restart"/>
            <w:tcBorders>
              <w:top w:val="single" w:color="000000" w:sz="6" w:space="0"/>
              <w:left w:val="single" w:color="000000" w:sz="6" w:space="0"/>
              <w:bottom w:val="single" w:color="000000" w:sz="6" w:space="0"/>
              <w:right w:val="single" w:color="000000" w:sz="6" w:space="0"/>
            </w:tcBorders>
            <w:vAlign w:val="center"/>
          </w:tcPr>
          <w:p w14:paraId="14DCEE9C">
            <w:pPr>
              <w:spacing w:line="300" w:lineRule="exact"/>
              <w:jc w:val="center"/>
              <w:rPr>
                <w:rFonts w:ascii="方正书宋_GBK" w:eastAsia="方正书宋_GBK" w:hAnsiTheme="minorHAnsi" w:cstheme="minorBidi"/>
                <w:b/>
              </w:rPr>
            </w:pPr>
            <w:r>
              <w:rPr>
                <w:rFonts w:hint="eastAsia" w:ascii="方正书宋_GBK" w:eastAsia="方正书宋_GBK"/>
                <w:b/>
              </w:rPr>
              <w:t>数量</w:t>
            </w:r>
          </w:p>
        </w:tc>
        <w:tc>
          <w:tcPr>
            <w:tcW w:w="970" w:type="dxa"/>
            <w:vMerge w:val="restart"/>
            <w:tcBorders>
              <w:top w:val="single" w:color="000000" w:sz="6" w:space="0"/>
              <w:left w:val="single" w:color="000000" w:sz="6" w:space="0"/>
              <w:bottom w:val="single" w:color="000000" w:sz="6" w:space="0"/>
              <w:right w:val="single" w:color="000000" w:sz="6" w:space="0"/>
            </w:tcBorders>
            <w:vAlign w:val="center"/>
          </w:tcPr>
          <w:p w14:paraId="28FB910A">
            <w:pPr>
              <w:spacing w:line="300" w:lineRule="exact"/>
              <w:jc w:val="center"/>
              <w:rPr>
                <w:rFonts w:ascii="方正书宋_GBK" w:eastAsia="方正书宋_GBK" w:hAnsiTheme="minorHAnsi" w:cstheme="minorBidi"/>
                <w:b/>
              </w:rPr>
            </w:pPr>
            <w:r>
              <w:rPr>
                <w:rFonts w:hint="eastAsia" w:ascii="方正书宋_GBK" w:eastAsia="方正书宋_GBK"/>
                <w:b/>
              </w:rPr>
              <w:t>单价</w:t>
            </w:r>
          </w:p>
        </w:tc>
        <w:tc>
          <w:tcPr>
            <w:tcW w:w="6440" w:type="dxa"/>
            <w:gridSpan w:val="6"/>
            <w:tcBorders>
              <w:top w:val="single" w:color="000000" w:sz="6" w:space="0"/>
              <w:left w:val="single" w:color="000000" w:sz="6" w:space="0"/>
              <w:bottom w:val="single" w:color="000000" w:sz="6" w:space="0"/>
              <w:right w:val="single" w:color="000000" w:sz="6" w:space="0"/>
            </w:tcBorders>
            <w:vAlign w:val="center"/>
          </w:tcPr>
          <w:p w14:paraId="1452D6C9">
            <w:pPr>
              <w:spacing w:line="300" w:lineRule="exact"/>
              <w:jc w:val="center"/>
              <w:rPr>
                <w:rFonts w:ascii="方正书宋_GBK" w:eastAsia="方正书宋_GBK" w:hAnsiTheme="minorHAnsi" w:cstheme="minorBidi"/>
                <w:b/>
              </w:rPr>
            </w:pPr>
            <w:r>
              <w:rPr>
                <w:rFonts w:hint="eastAsia" w:ascii="方正书宋_GBK" w:eastAsia="方正书宋_GBK"/>
                <w:b/>
              </w:rPr>
              <w:t>政府采购金额（当年部门预算安排资金）</w:t>
            </w:r>
          </w:p>
        </w:tc>
      </w:tr>
      <w:tr w14:paraId="25623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6" w:hRule="atLeast"/>
          <w:tblHeader/>
        </w:trPr>
        <w:tc>
          <w:tcPr>
            <w:tcW w:w="1904" w:type="dxa"/>
            <w:tcBorders>
              <w:top w:val="single" w:color="000000" w:sz="6" w:space="0"/>
              <w:left w:val="single" w:color="000000" w:sz="6" w:space="0"/>
              <w:bottom w:val="single" w:color="000000" w:sz="6" w:space="0"/>
              <w:right w:val="single" w:color="000000" w:sz="6" w:space="0"/>
            </w:tcBorders>
            <w:vAlign w:val="center"/>
          </w:tcPr>
          <w:p w14:paraId="3778E1E9">
            <w:pPr>
              <w:spacing w:line="300" w:lineRule="exact"/>
              <w:jc w:val="center"/>
              <w:rPr>
                <w:rFonts w:ascii="方正书宋_GBK" w:eastAsia="方正书宋_GBK" w:hAnsiTheme="minorHAnsi" w:cstheme="minorBidi"/>
                <w:b/>
              </w:rPr>
            </w:pPr>
            <w:r>
              <w:rPr>
                <w:rFonts w:hint="eastAsia" w:ascii="方正书宋_GBK" w:eastAsia="方正书宋_GBK"/>
                <w:b/>
              </w:rPr>
              <w:t>项目名称</w:t>
            </w:r>
          </w:p>
        </w:tc>
        <w:tc>
          <w:tcPr>
            <w:tcW w:w="1088" w:type="dxa"/>
            <w:tcBorders>
              <w:top w:val="single" w:color="000000" w:sz="6" w:space="0"/>
              <w:left w:val="single" w:color="000000" w:sz="6" w:space="0"/>
              <w:bottom w:val="single" w:color="000000" w:sz="6" w:space="0"/>
              <w:right w:val="single" w:color="000000" w:sz="6" w:space="0"/>
            </w:tcBorders>
            <w:vAlign w:val="center"/>
          </w:tcPr>
          <w:p w14:paraId="65EDE12D">
            <w:pPr>
              <w:spacing w:line="300" w:lineRule="exact"/>
              <w:jc w:val="center"/>
              <w:rPr>
                <w:rFonts w:ascii="方正书宋_GBK" w:eastAsia="方正书宋_GBK" w:hAnsiTheme="minorHAnsi" w:cstheme="minorBidi"/>
                <w:b/>
              </w:rPr>
            </w:pPr>
            <w:r>
              <w:rPr>
                <w:rFonts w:hint="eastAsia" w:ascii="方正书宋_GBK" w:eastAsia="方正书宋_GBK"/>
                <w:b/>
              </w:rPr>
              <w:t>预算资金</w:t>
            </w:r>
          </w:p>
        </w:tc>
        <w:tc>
          <w:tcPr>
            <w:tcW w:w="1470" w:type="dxa"/>
            <w:vMerge w:val="continue"/>
            <w:tcBorders>
              <w:top w:val="single" w:color="000000" w:sz="6" w:space="0"/>
              <w:left w:val="single" w:color="000000" w:sz="6" w:space="0"/>
              <w:bottom w:val="single" w:color="000000" w:sz="6" w:space="0"/>
              <w:right w:val="single" w:color="000000" w:sz="6" w:space="0"/>
            </w:tcBorders>
            <w:vAlign w:val="center"/>
          </w:tcPr>
          <w:p w14:paraId="29894BAB">
            <w:pPr>
              <w:widowControl/>
              <w:jc w:val="left"/>
              <w:rPr>
                <w:rFonts w:ascii="方正书宋_GBK" w:eastAsia="方正书宋_GBK" w:hAnsiTheme="minorHAnsi" w:cstheme="minorBidi"/>
                <w:b/>
              </w:rPr>
            </w:pPr>
          </w:p>
        </w:tc>
        <w:tc>
          <w:tcPr>
            <w:tcW w:w="1471" w:type="dxa"/>
            <w:vMerge w:val="continue"/>
            <w:tcBorders>
              <w:top w:val="single" w:color="000000" w:sz="6" w:space="0"/>
              <w:left w:val="single" w:color="000000" w:sz="6" w:space="0"/>
              <w:bottom w:val="single" w:color="000000" w:sz="6" w:space="0"/>
              <w:right w:val="single" w:color="000000" w:sz="6" w:space="0"/>
            </w:tcBorders>
            <w:vAlign w:val="center"/>
          </w:tcPr>
          <w:p w14:paraId="101D12FC">
            <w:pPr>
              <w:widowControl/>
              <w:jc w:val="left"/>
              <w:rPr>
                <w:rFonts w:ascii="方正书宋_GBK" w:eastAsia="方正书宋_GBK" w:hAnsiTheme="minorHAnsi" w:cstheme="minorBidi"/>
                <w:b/>
              </w:rPr>
            </w:pPr>
          </w:p>
        </w:tc>
        <w:tc>
          <w:tcPr>
            <w:tcW w:w="681" w:type="dxa"/>
            <w:vMerge w:val="continue"/>
            <w:tcBorders>
              <w:top w:val="single" w:color="000000" w:sz="6" w:space="0"/>
              <w:left w:val="single" w:color="000000" w:sz="6" w:space="0"/>
              <w:bottom w:val="single" w:color="000000" w:sz="6" w:space="0"/>
              <w:right w:val="single" w:color="000000" w:sz="6" w:space="0"/>
            </w:tcBorders>
            <w:vAlign w:val="center"/>
          </w:tcPr>
          <w:p w14:paraId="063C1075">
            <w:pPr>
              <w:widowControl/>
              <w:jc w:val="left"/>
              <w:rPr>
                <w:rFonts w:ascii="方正书宋_GBK" w:eastAsia="方正书宋_GBK" w:hAnsiTheme="minorHAnsi" w:cstheme="minorBidi"/>
                <w:b/>
              </w:rPr>
            </w:pPr>
          </w:p>
        </w:tc>
        <w:tc>
          <w:tcPr>
            <w:tcW w:w="871" w:type="dxa"/>
            <w:vMerge w:val="continue"/>
            <w:tcBorders>
              <w:top w:val="single" w:color="000000" w:sz="6" w:space="0"/>
              <w:left w:val="single" w:color="000000" w:sz="6" w:space="0"/>
              <w:bottom w:val="single" w:color="000000" w:sz="6" w:space="0"/>
              <w:right w:val="single" w:color="000000" w:sz="6" w:space="0"/>
            </w:tcBorders>
            <w:vAlign w:val="center"/>
          </w:tcPr>
          <w:p w14:paraId="1E336BF1">
            <w:pPr>
              <w:widowControl/>
              <w:jc w:val="left"/>
              <w:rPr>
                <w:rFonts w:ascii="方正书宋_GBK" w:eastAsia="方正书宋_GBK" w:hAnsiTheme="minorHAnsi" w:cstheme="minorBidi"/>
                <w:b/>
              </w:rPr>
            </w:pPr>
          </w:p>
        </w:tc>
        <w:tc>
          <w:tcPr>
            <w:tcW w:w="970" w:type="dxa"/>
            <w:vMerge w:val="continue"/>
            <w:tcBorders>
              <w:top w:val="single" w:color="000000" w:sz="6" w:space="0"/>
              <w:left w:val="single" w:color="000000" w:sz="6" w:space="0"/>
              <w:bottom w:val="single" w:color="000000" w:sz="6" w:space="0"/>
              <w:right w:val="single" w:color="000000" w:sz="6" w:space="0"/>
            </w:tcBorders>
            <w:vAlign w:val="center"/>
          </w:tcPr>
          <w:p w14:paraId="3E06B221">
            <w:pPr>
              <w:widowControl/>
              <w:jc w:val="left"/>
              <w:rPr>
                <w:rFonts w:ascii="方正书宋_GBK" w:eastAsia="方正书宋_GBK" w:hAnsiTheme="minorHAnsi" w:cstheme="minorBidi"/>
                <w:b/>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22EEB96E">
            <w:pPr>
              <w:spacing w:line="300" w:lineRule="exact"/>
              <w:jc w:val="center"/>
              <w:rPr>
                <w:rFonts w:ascii="方正书宋_GBK" w:eastAsia="方正书宋_GBK" w:hAnsiTheme="minorHAnsi" w:cstheme="minorBidi"/>
                <w:b/>
              </w:rPr>
            </w:pPr>
            <w:r>
              <w:rPr>
                <w:rFonts w:hint="eastAsia" w:ascii="方正书宋_GBK" w:eastAsia="方正书宋_GBK"/>
                <w:b/>
              </w:rPr>
              <w:t>合计</w:t>
            </w:r>
          </w:p>
        </w:tc>
        <w:tc>
          <w:tcPr>
            <w:tcW w:w="1089" w:type="dxa"/>
            <w:tcBorders>
              <w:top w:val="single" w:color="000000" w:sz="6" w:space="0"/>
              <w:left w:val="single" w:color="000000" w:sz="6" w:space="0"/>
              <w:bottom w:val="single" w:color="000000" w:sz="6" w:space="0"/>
              <w:right w:val="single" w:color="000000" w:sz="6" w:space="0"/>
            </w:tcBorders>
            <w:vAlign w:val="center"/>
          </w:tcPr>
          <w:p w14:paraId="0D4ADEBF">
            <w:pPr>
              <w:spacing w:line="300" w:lineRule="exact"/>
              <w:jc w:val="center"/>
              <w:rPr>
                <w:rFonts w:ascii="方正书宋_GBK" w:eastAsia="方正书宋_GBK" w:hAnsiTheme="minorHAnsi" w:cstheme="minorBidi"/>
                <w:b/>
              </w:rPr>
            </w:pPr>
            <w:r>
              <w:rPr>
                <w:rFonts w:hint="eastAsia" w:ascii="方正书宋_GBK" w:eastAsia="方正书宋_GBK"/>
                <w:b/>
              </w:rPr>
              <w:t>一般公共预算拨款</w:t>
            </w:r>
          </w:p>
        </w:tc>
        <w:tc>
          <w:tcPr>
            <w:tcW w:w="1089" w:type="dxa"/>
            <w:tcBorders>
              <w:top w:val="single" w:color="000000" w:sz="6" w:space="0"/>
              <w:left w:val="single" w:color="000000" w:sz="6" w:space="0"/>
              <w:bottom w:val="single" w:color="000000" w:sz="6" w:space="0"/>
              <w:right w:val="single" w:color="000000" w:sz="6" w:space="0"/>
            </w:tcBorders>
            <w:vAlign w:val="center"/>
          </w:tcPr>
          <w:p w14:paraId="2201EEFD">
            <w:pPr>
              <w:spacing w:line="300" w:lineRule="exact"/>
              <w:jc w:val="center"/>
              <w:rPr>
                <w:rFonts w:ascii="方正书宋_GBK" w:eastAsia="方正书宋_GBK" w:hAnsiTheme="minorHAnsi" w:cstheme="minorBidi"/>
                <w:b/>
              </w:rPr>
            </w:pPr>
            <w:r>
              <w:rPr>
                <w:rFonts w:hint="eastAsia" w:ascii="方正书宋_GBK" w:eastAsia="方正书宋_GBK"/>
                <w:b/>
              </w:rPr>
              <w:t>基金预算拨款</w:t>
            </w:r>
          </w:p>
        </w:tc>
        <w:tc>
          <w:tcPr>
            <w:tcW w:w="1089" w:type="dxa"/>
            <w:tcBorders>
              <w:top w:val="single" w:color="000000" w:sz="6" w:space="0"/>
              <w:left w:val="single" w:color="000000" w:sz="6" w:space="0"/>
              <w:bottom w:val="single" w:color="000000" w:sz="6" w:space="0"/>
              <w:right w:val="single" w:color="000000" w:sz="6" w:space="0"/>
            </w:tcBorders>
            <w:vAlign w:val="center"/>
          </w:tcPr>
          <w:p w14:paraId="166F4ECF">
            <w:pPr>
              <w:spacing w:line="300" w:lineRule="exact"/>
              <w:jc w:val="center"/>
              <w:rPr>
                <w:rFonts w:ascii="方正书宋_GBK" w:eastAsia="方正书宋_GBK" w:hAnsiTheme="minorHAnsi" w:cstheme="minorBidi"/>
                <w:b/>
              </w:rPr>
            </w:pPr>
            <w:r>
              <w:rPr>
                <w:rFonts w:hint="eastAsia" w:ascii="方正书宋_GBK" w:eastAsia="方正书宋_GBK"/>
                <w:b/>
              </w:rPr>
              <w:t>国有资本经营预算拨款</w:t>
            </w:r>
          </w:p>
        </w:tc>
        <w:tc>
          <w:tcPr>
            <w:tcW w:w="1089" w:type="dxa"/>
            <w:tcBorders>
              <w:top w:val="single" w:color="000000" w:sz="6" w:space="0"/>
              <w:left w:val="single" w:color="000000" w:sz="6" w:space="0"/>
              <w:bottom w:val="single" w:color="000000" w:sz="6" w:space="0"/>
              <w:right w:val="single" w:color="000000" w:sz="6" w:space="0"/>
            </w:tcBorders>
            <w:vAlign w:val="center"/>
          </w:tcPr>
          <w:p w14:paraId="4CD4FC6B">
            <w:pPr>
              <w:spacing w:line="300" w:lineRule="exact"/>
              <w:jc w:val="center"/>
              <w:rPr>
                <w:rFonts w:ascii="方正书宋_GBK" w:eastAsia="方正书宋_GBK" w:hAnsiTheme="minorHAnsi" w:cstheme="minorBidi"/>
                <w:b/>
              </w:rPr>
            </w:pPr>
            <w:r>
              <w:rPr>
                <w:rFonts w:hint="eastAsia" w:ascii="方正书宋_GBK" w:eastAsia="方正书宋_GBK"/>
                <w:b/>
              </w:rPr>
              <w:t>财政专户核拨</w:t>
            </w:r>
          </w:p>
        </w:tc>
        <w:tc>
          <w:tcPr>
            <w:tcW w:w="1092" w:type="dxa"/>
            <w:tcBorders>
              <w:top w:val="single" w:color="000000" w:sz="6" w:space="0"/>
              <w:left w:val="single" w:color="000000" w:sz="6" w:space="0"/>
              <w:bottom w:val="single" w:color="000000" w:sz="6" w:space="0"/>
              <w:right w:val="single" w:color="000000" w:sz="6" w:space="0"/>
            </w:tcBorders>
            <w:vAlign w:val="center"/>
          </w:tcPr>
          <w:p w14:paraId="6517F95F">
            <w:pPr>
              <w:spacing w:line="300" w:lineRule="exact"/>
              <w:jc w:val="center"/>
              <w:rPr>
                <w:rFonts w:ascii="方正书宋_GBK" w:eastAsia="方正书宋_GBK" w:hAnsiTheme="minorHAnsi" w:cstheme="minorBidi"/>
                <w:b/>
              </w:rPr>
            </w:pPr>
            <w:r>
              <w:rPr>
                <w:rFonts w:hint="eastAsia" w:ascii="方正书宋_GBK" w:eastAsia="方正书宋_GBK"/>
                <w:b/>
              </w:rPr>
              <w:t>其他来源收入</w:t>
            </w:r>
          </w:p>
        </w:tc>
      </w:tr>
      <w:tr w14:paraId="271C8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1904" w:type="dxa"/>
            <w:tcBorders>
              <w:top w:val="single" w:color="000000" w:sz="6" w:space="0"/>
              <w:left w:val="single" w:color="000000" w:sz="6" w:space="0"/>
              <w:bottom w:val="single" w:color="000000" w:sz="6" w:space="0"/>
              <w:right w:val="single" w:color="000000" w:sz="6" w:space="0"/>
            </w:tcBorders>
            <w:vAlign w:val="center"/>
          </w:tcPr>
          <w:p w14:paraId="4C7F6858">
            <w:pPr>
              <w:spacing w:line="300" w:lineRule="exact"/>
              <w:jc w:val="center"/>
              <w:rPr>
                <w:rFonts w:ascii="方正书宋_GBK" w:eastAsia="方正书宋_GBK" w:hAnsiTheme="minorHAnsi" w:cstheme="minorBidi"/>
                <w:b/>
              </w:rPr>
            </w:pPr>
            <w:r>
              <w:rPr>
                <w:rFonts w:hint="eastAsia" w:ascii="方正书宋_GBK" w:eastAsia="方正书宋_GBK"/>
                <w:b/>
              </w:rPr>
              <w:t>合　计</w:t>
            </w:r>
          </w:p>
        </w:tc>
        <w:tc>
          <w:tcPr>
            <w:tcW w:w="1088" w:type="dxa"/>
            <w:tcBorders>
              <w:top w:val="single" w:color="000000" w:sz="6" w:space="0"/>
              <w:left w:val="single" w:color="000000" w:sz="6" w:space="0"/>
              <w:bottom w:val="single" w:color="000000" w:sz="6" w:space="0"/>
              <w:right w:val="single" w:color="000000" w:sz="6" w:space="0"/>
            </w:tcBorders>
            <w:vAlign w:val="center"/>
          </w:tcPr>
          <w:p w14:paraId="0314D7A0">
            <w:pPr>
              <w:spacing w:line="300" w:lineRule="exact"/>
              <w:jc w:val="right"/>
              <w:rPr>
                <w:rFonts w:ascii="方正书宋_GBK" w:eastAsia="方正书宋_GBK" w:hAnsiTheme="minorHAnsi" w:cstheme="minorBidi"/>
                <w:b/>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4D31BA57">
            <w:pPr>
              <w:spacing w:line="300" w:lineRule="exact"/>
              <w:jc w:val="left"/>
              <w:rPr>
                <w:rFonts w:ascii="方正书宋_GBK" w:eastAsia="方正书宋_GBK" w:hAnsiTheme="minorHAnsi" w:cstheme="minorBidi"/>
                <w:b/>
              </w:rPr>
            </w:pPr>
          </w:p>
        </w:tc>
        <w:tc>
          <w:tcPr>
            <w:tcW w:w="1471" w:type="dxa"/>
            <w:tcBorders>
              <w:top w:val="single" w:color="000000" w:sz="6" w:space="0"/>
              <w:left w:val="single" w:color="000000" w:sz="6" w:space="0"/>
              <w:bottom w:val="single" w:color="000000" w:sz="6" w:space="0"/>
              <w:right w:val="single" w:color="000000" w:sz="6" w:space="0"/>
            </w:tcBorders>
            <w:vAlign w:val="center"/>
          </w:tcPr>
          <w:p w14:paraId="46D83588">
            <w:pPr>
              <w:spacing w:line="300" w:lineRule="exact"/>
              <w:jc w:val="left"/>
              <w:rPr>
                <w:rFonts w:ascii="方正书宋_GBK" w:eastAsia="方正书宋_GBK" w:hAnsiTheme="minorHAnsi" w:cstheme="minorBidi"/>
                <w:b/>
              </w:rPr>
            </w:pPr>
          </w:p>
        </w:tc>
        <w:tc>
          <w:tcPr>
            <w:tcW w:w="681" w:type="dxa"/>
            <w:tcBorders>
              <w:top w:val="single" w:color="000000" w:sz="6" w:space="0"/>
              <w:left w:val="single" w:color="000000" w:sz="6" w:space="0"/>
              <w:bottom w:val="single" w:color="000000" w:sz="6" w:space="0"/>
              <w:right w:val="single" w:color="000000" w:sz="6" w:space="0"/>
            </w:tcBorders>
            <w:vAlign w:val="center"/>
          </w:tcPr>
          <w:p w14:paraId="557C2400">
            <w:pPr>
              <w:spacing w:line="300" w:lineRule="exact"/>
              <w:jc w:val="center"/>
              <w:rPr>
                <w:rFonts w:ascii="方正书宋_GBK" w:eastAsia="方正书宋_GBK" w:hAnsiTheme="minorHAnsi" w:cstheme="minorBidi"/>
                <w:b/>
              </w:rPr>
            </w:pPr>
          </w:p>
        </w:tc>
        <w:tc>
          <w:tcPr>
            <w:tcW w:w="871" w:type="dxa"/>
            <w:tcBorders>
              <w:top w:val="single" w:color="000000" w:sz="6" w:space="0"/>
              <w:left w:val="single" w:color="000000" w:sz="6" w:space="0"/>
              <w:bottom w:val="single" w:color="000000" w:sz="6" w:space="0"/>
              <w:right w:val="single" w:color="000000" w:sz="6" w:space="0"/>
            </w:tcBorders>
            <w:vAlign w:val="center"/>
          </w:tcPr>
          <w:p w14:paraId="6B77484D">
            <w:pPr>
              <w:spacing w:line="300" w:lineRule="exact"/>
              <w:jc w:val="right"/>
              <w:rPr>
                <w:rFonts w:ascii="方正书宋_GBK" w:eastAsia="方正书宋_GBK" w:hAnsiTheme="minorHAnsi" w:cstheme="minorBidi"/>
                <w:b/>
              </w:rPr>
            </w:pPr>
          </w:p>
        </w:tc>
        <w:tc>
          <w:tcPr>
            <w:tcW w:w="970" w:type="dxa"/>
            <w:tcBorders>
              <w:top w:val="single" w:color="000000" w:sz="6" w:space="0"/>
              <w:left w:val="single" w:color="000000" w:sz="6" w:space="0"/>
              <w:bottom w:val="single" w:color="000000" w:sz="6" w:space="0"/>
              <w:right w:val="single" w:color="000000" w:sz="6" w:space="0"/>
            </w:tcBorders>
            <w:vAlign w:val="center"/>
          </w:tcPr>
          <w:p w14:paraId="15E9ED22">
            <w:pPr>
              <w:spacing w:line="300" w:lineRule="exact"/>
              <w:jc w:val="right"/>
              <w:rPr>
                <w:rFonts w:ascii="方正书宋_GBK" w:eastAsia="方正书宋_GBK" w:hAnsiTheme="minorHAnsi" w:cstheme="minorBidi"/>
                <w:b/>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11C0FB68">
            <w:pPr>
              <w:spacing w:line="300" w:lineRule="exact"/>
              <w:jc w:val="right"/>
              <w:rPr>
                <w:rFonts w:ascii="方正书宋_GBK" w:eastAsia="方正书宋_GBK" w:hAnsiTheme="minorHAnsi" w:cstheme="minorBidi"/>
                <w:b/>
              </w:rPr>
            </w:pPr>
            <w:r>
              <w:rPr>
                <w:rFonts w:hint="eastAsia" w:ascii="方正书宋_GBK" w:eastAsia="方正书宋_GBK"/>
                <w:b/>
              </w:rPr>
              <w:t>0</w:t>
            </w:r>
          </w:p>
        </w:tc>
        <w:tc>
          <w:tcPr>
            <w:tcW w:w="1089" w:type="dxa"/>
            <w:tcBorders>
              <w:top w:val="single" w:color="000000" w:sz="6" w:space="0"/>
              <w:left w:val="single" w:color="000000" w:sz="6" w:space="0"/>
              <w:bottom w:val="single" w:color="000000" w:sz="6" w:space="0"/>
              <w:right w:val="single" w:color="000000" w:sz="6" w:space="0"/>
            </w:tcBorders>
            <w:vAlign w:val="center"/>
          </w:tcPr>
          <w:p w14:paraId="1B8ACB56">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18599C40">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4FEDD176">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34AD9246">
            <w:pPr>
              <w:spacing w:line="300" w:lineRule="exact"/>
              <w:jc w:val="right"/>
              <w:rPr>
                <w:rFonts w:ascii="方正书宋_GBK" w:eastAsia="方正书宋_GBK" w:hAnsiTheme="minorHAnsi" w:cstheme="minorBidi"/>
                <w:b/>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19DCE750">
            <w:pPr>
              <w:spacing w:line="300" w:lineRule="exact"/>
              <w:jc w:val="right"/>
              <w:rPr>
                <w:rFonts w:ascii="方正书宋_GBK" w:eastAsia="方正书宋_GBK" w:hAnsiTheme="minorHAnsi" w:cstheme="minorBidi"/>
                <w:b/>
              </w:rPr>
            </w:pPr>
          </w:p>
        </w:tc>
      </w:tr>
      <w:tr w14:paraId="54B29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1904" w:type="dxa"/>
            <w:tcBorders>
              <w:top w:val="single" w:color="000000" w:sz="6" w:space="0"/>
              <w:left w:val="single" w:color="000000" w:sz="6" w:space="0"/>
              <w:bottom w:val="single" w:color="000000" w:sz="6" w:space="0"/>
              <w:right w:val="single" w:color="000000" w:sz="6" w:space="0"/>
            </w:tcBorders>
            <w:vAlign w:val="center"/>
          </w:tcPr>
          <w:p w14:paraId="4BF7930C">
            <w:pPr>
              <w:spacing w:line="300" w:lineRule="exact"/>
              <w:jc w:val="center"/>
              <w:rPr>
                <w:rFonts w:ascii="方正书宋_GBK" w:eastAsia="方正书宋_GBK" w:hAnsiTheme="minorHAnsi" w:cstheme="minorBidi"/>
                <w:b/>
              </w:rPr>
            </w:pPr>
          </w:p>
        </w:tc>
        <w:tc>
          <w:tcPr>
            <w:tcW w:w="1088" w:type="dxa"/>
            <w:tcBorders>
              <w:top w:val="single" w:color="000000" w:sz="6" w:space="0"/>
              <w:left w:val="single" w:color="000000" w:sz="6" w:space="0"/>
              <w:bottom w:val="single" w:color="000000" w:sz="6" w:space="0"/>
              <w:right w:val="single" w:color="000000" w:sz="6" w:space="0"/>
            </w:tcBorders>
            <w:vAlign w:val="center"/>
          </w:tcPr>
          <w:p w14:paraId="629EB938">
            <w:pPr>
              <w:spacing w:line="300" w:lineRule="exact"/>
              <w:jc w:val="right"/>
              <w:rPr>
                <w:rFonts w:ascii="方正书宋_GBK" w:eastAsia="方正书宋_GBK" w:hAnsiTheme="minorHAnsi" w:cstheme="minorBidi"/>
                <w:b/>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5BE4A704">
            <w:pPr>
              <w:spacing w:line="300" w:lineRule="exact"/>
              <w:jc w:val="left"/>
              <w:rPr>
                <w:rFonts w:ascii="方正书宋_GBK" w:eastAsia="方正书宋_GBK" w:hAnsiTheme="minorHAnsi" w:cstheme="minorBidi"/>
                <w:b/>
              </w:rPr>
            </w:pPr>
          </w:p>
        </w:tc>
        <w:tc>
          <w:tcPr>
            <w:tcW w:w="1471" w:type="dxa"/>
            <w:tcBorders>
              <w:top w:val="single" w:color="000000" w:sz="6" w:space="0"/>
              <w:left w:val="single" w:color="000000" w:sz="6" w:space="0"/>
              <w:bottom w:val="single" w:color="000000" w:sz="6" w:space="0"/>
              <w:right w:val="single" w:color="000000" w:sz="6" w:space="0"/>
            </w:tcBorders>
            <w:vAlign w:val="center"/>
          </w:tcPr>
          <w:p w14:paraId="70B703B0">
            <w:pPr>
              <w:spacing w:line="300" w:lineRule="exact"/>
              <w:jc w:val="left"/>
              <w:rPr>
                <w:rFonts w:ascii="方正书宋_GBK" w:eastAsia="方正书宋_GBK" w:hAnsiTheme="minorHAnsi" w:cstheme="minorBidi"/>
                <w:b/>
              </w:rPr>
            </w:pPr>
          </w:p>
        </w:tc>
        <w:tc>
          <w:tcPr>
            <w:tcW w:w="681" w:type="dxa"/>
            <w:tcBorders>
              <w:top w:val="single" w:color="000000" w:sz="6" w:space="0"/>
              <w:left w:val="single" w:color="000000" w:sz="6" w:space="0"/>
              <w:bottom w:val="single" w:color="000000" w:sz="6" w:space="0"/>
              <w:right w:val="single" w:color="000000" w:sz="6" w:space="0"/>
            </w:tcBorders>
            <w:vAlign w:val="center"/>
          </w:tcPr>
          <w:p w14:paraId="59930FA4">
            <w:pPr>
              <w:spacing w:line="300" w:lineRule="exact"/>
              <w:jc w:val="center"/>
              <w:rPr>
                <w:rFonts w:ascii="方正书宋_GBK" w:eastAsia="方正书宋_GBK" w:hAnsiTheme="minorHAnsi" w:cstheme="minorBidi"/>
                <w:b/>
              </w:rPr>
            </w:pPr>
          </w:p>
        </w:tc>
        <w:tc>
          <w:tcPr>
            <w:tcW w:w="871" w:type="dxa"/>
            <w:tcBorders>
              <w:top w:val="single" w:color="000000" w:sz="6" w:space="0"/>
              <w:left w:val="single" w:color="000000" w:sz="6" w:space="0"/>
              <w:bottom w:val="single" w:color="000000" w:sz="6" w:space="0"/>
              <w:right w:val="single" w:color="000000" w:sz="6" w:space="0"/>
            </w:tcBorders>
            <w:vAlign w:val="center"/>
          </w:tcPr>
          <w:p w14:paraId="2C0DF496">
            <w:pPr>
              <w:spacing w:line="300" w:lineRule="exact"/>
              <w:jc w:val="right"/>
              <w:rPr>
                <w:rFonts w:ascii="方正书宋_GBK" w:eastAsia="方正书宋_GBK" w:hAnsiTheme="minorHAnsi" w:cstheme="minorBidi"/>
                <w:b/>
              </w:rPr>
            </w:pPr>
          </w:p>
        </w:tc>
        <w:tc>
          <w:tcPr>
            <w:tcW w:w="970" w:type="dxa"/>
            <w:tcBorders>
              <w:top w:val="single" w:color="000000" w:sz="6" w:space="0"/>
              <w:left w:val="single" w:color="000000" w:sz="6" w:space="0"/>
              <w:bottom w:val="single" w:color="000000" w:sz="6" w:space="0"/>
              <w:right w:val="single" w:color="000000" w:sz="6" w:space="0"/>
            </w:tcBorders>
            <w:vAlign w:val="center"/>
          </w:tcPr>
          <w:p w14:paraId="4225BF49">
            <w:pPr>
              <w:spacing w:line="300" w:lineRule="exact"/>
              <w:jc w:val="right"/>
              <w:rPr>
                <w:rFonts w:ascii="方正书宋_GBK" w:eastAsia="方正书宋_GBK" w:hAnsiTheme="minorHAnsi" w:cstheme="minorBidi"/>
                <w:b/>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0A2FB9DE">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2E5005B5">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780D876F">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68022939">
            <w:pPr>
              <w:spacing w:line="300" w:lineRule="exact"/>
              <w:jc w:val="right"/>
              <w:rPr>
                <w:rFonts w:ascii="方正书宋_GBK" w:eastAsia="方正书宋_GBK" w:hAnsiTheme="minorHAnsi" w:cstheme="minorBidi"/>
                <w:b/>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346C31D6">
            <w:pPr>
              <w:spacing w:line="300" w:lineRule="exact"/>
              <w:jc w:val="right"/>
              <w:rPr>
                <w:rFonts w:ascii="方正书宋_GBK" w:eastAsia="方正书宋_GBK" w:hAnsiTheme="minorHAnsi" w:cstheme="minorBidi"/>
                <w:b/>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28A8D2B7">
            <w:pPr>
              <w:spacing w:line="300" w:lineRule="exact"/>
              <w:jc w:val="right"/>
              <w:rPr>
                <w:rFonts w:ascii="方正书宋_GBK" w:eastAsia="方正书宋_GBK" w:hAnsiTheme="minorHAnsi" w:cstheme="minorBidi"/>
                <w:b/>
              </w:rPr>
            </w:pPr>
          </w:p>
        </w:tc>
      </w:tr>
      <w:tr w14:paraId="15FBE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1904" w:type="dxa"/>
            <w:tcBorders>
              <w:top w:val="single" w:color="000000" w:sz="6" w:space="0"/>
              <w:left w:val="single" w:color="000000" w:sz="6" w:space="0"/>
              <w:bottom w:val="single" w:color="000000" w:sz="6" w:space="0"/>
              <w:right w:val="single" w:color="000000" w:sz="6" w:space="0"/>
            </w:tcBorders>
            <w:vAlign w:val="center"/>
          </w:tcPr>
          <w:p w14:paraId="567B9F76">
            <w:pPr>
              <w:spacing w:line="300" w:lineRule="exact"/>
              <w:jc w:val="left"/>
              <w:rPr>
                <w:rFonts w:ascii="方正书宋_GBK" w:eastAsia="方正书宋_GBK" w:hAnsiTheme="minorHAnsi" w:cstheme="minorBidi"/>
              </w:rPr>
            </w:pPr>
          </w:p>
        </w:tc>
        <w:tc>
          <w:tcPr>
            <w:tcW w:w="1088" w:type="dxa"/>
            <w:tcBorders>
              <w:top w:val="single" w:color="000000" w:sz="6" w:space="0"/>
              <w:left w:val="single" w:color="000000" w:sz="6" w:space="0"/>
              <w:bottom w:val="single" w:color="000000" w:sz="6" w:space="0"/>
              <w:right w:val="single" w:color="000000" w:sz="6" w:space="0"/>
            </w:tcBorders>
            <w:vAlign w:val="center"/>
          </w:tcPr>
          <w:p w14:paraId="368FE8F0">
            <w:pPr>
              <w:spacing w:line="300" w:lineRule="exact"/>
              <w:jc w:val="right"/>
              <w:rPr>
                <w:rFonts w:ascii="方正书宋_GBK" w:eastAsia="方正书宋_GBK" w:hAnsiTheme="minorHAnsi" w:cstheme="minorBidi"/>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19335AA5">
            <w:pPr>
              <w:spacing w:line="300" w:lineRule="exact"/>
              <w:jc w:val="left"/>
              <w:rPr>
                <w:rFonts w:ascii="方正书宋_GBK" w:eastAsia="方正书宋_GBK" w:hAnsiTheme="minorHAnsi" w:cstheme="minorBidi"/>
              </w:rPr>
            </w:pPr>
          </w:p>
        </w:tc>
        <w:tc>
          <w:tcPr>
            <w:tcW w:w="1471" w:type="dxa"/>
            <w:tcBorders>
              <w:top w:val="single" w:color="000000" w:sz="6" w:space="0"/>
              <w:left w:val="single" w:color="000000" w:sz="6" w:space="0"/>
              <w:bottom w:val="single" w:color="000000" w:sz="6" w:space="0"/>
              <w:right w:val="single" w:color="000000" w:sz="6" w:space="0"/>
            </w:tcBorders>
            <w:vAlign w:val="center"/>
          </w:tcPr>
          <w:p w14:paraId="719EC9EE">
            <w:pPr>
              <w:spacing w:line="300" w:lineRule="exact"/>
              <w:jc w:val="left"/>
              <w:rPr>
                <w:rFonts w:ascii="方正书宋_GBK" w:eastAsia="方正书宋_GBK" w:hAnsiTheme="minorHAnsi" w:cstheme="minorBidi"/>
              </w:rPr>
            </w:pPr>
          </w:p>
        </w:tc>
        <w:tc>
          <w:tcPr>
            <w:tcW w:w="681" w:type="dxa"/>
            <w:tcBorders>
              <w:top w:val="single" w:color="000000" w:sz="6" w:space="0"/>
              <w:left w:val="single" w:color="000000" w:sz="6" w:space="0"/>
              <w:bottom w:val="single" w:color="000000" w:sz="6" w:space="0"/>
              <w:right w:val="single" w:color="000000" w:sz="6" w:space="0"/>
            </w:tcBorders>
            <w:vAlign w:val="center"/>
          </w:tcPr>
          <w:p w14:paraId="7CAC3BBF">
            <w:pPr>
              <w:spacing w:line="300" w:lineRule="exact"/>
              <w:jc w:val="center"/>
              <w:rPr>
                <w:rFonts w:ascii="方正书宋_GBK" w:eastAsia="方正书宋_GBK" w:hAnsiTheme="minorHAnsi" w:cstheme="minorBidi"/>
              </w:rPr>
            </w:pPr>
          </w:p>
        </w:tc>
        <w:tc>
          <w:tcPr>
            <w:tcW w:w="871" w:type="dxa"/>
            <w:tcBorders>
              <w:top w:val="single" w:color="000000" w:sz="6" w:space="0"/>
              <w:left w:val="single" w:color="000000" w:sz="6" w:space="0"/>
              <w:bottom w:val="single" w:color="000000" w:sz="6" w:space="0"/>
              <w:right w:val="single" w:color="000000" w:sz="6" w:space="0"/>
            </w:tcBorders>
            <w:vAlign w:val="center"/>
          </w:tcPr>
          <w:p w14:paraId="3A241F97">
            <w:pPr>
              <w:spacing w:line="300" w:lineRule="exact"/>
              <w:jc w:val="right"/>
              <w:rPr>
                <w:rFonts w:ascii="方正书宋_GBK" w:eastAsia="方正书宋_GBK" w:hAnsiTheme="minorHAnsi" w:cstheme="minorBidi"/>
              </w:rPr>
            </w:pPr>
          </w:p>
        </w:tc>
        <w:tc>
          <w:tcPr>
            <w:tcW w:w="970" w:type="dxa"/>
            <w:tcBorders>
              <w:top w:val="single" w:color="000000" w:sz="6" w:space="0"/>
              <w:left w:val="single" w:color="000000" w:sz="6" w:space="0"/>
              <w:bottom w:val="single" w:color="000000" w:sz="6" w:space="0"/>
              <w:right w:val="single" w:color="000000" w:sz="6" w:space="0"/>
            </w:tcBorders>
            <w:vAlign w:val="center"/>
          </w:tcPr>
          <w:p w14:paraId="776DF12B">
            <w:pPr>
              <w:spacing w:line="300" w:lineRule="exact"/>
              <w:jc w:val="right"/>
              <w:rPr>
                <w:rFonts w:ascii="方正书宋_GBK" w:eastAsia="方正书宋_GBK" w:hAnsiTheme="minorHAnsi" w:cstheme="minorBidi"/>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09D0923">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6E605336">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22AD2565">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413DC248">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6D1FC748">
            <w:pPr>
              <w:spacing w:line="300" w:lineRule="exact"/>
              <w:jc w:val="right"/>
              <w:rPr>
                <w:rFonts w:ascii="方正书宋_GBK" w:eastAsia="方正书宋_GBK" w:hAnsiTheme="minorHAnsi" w:cstheme="minorBidi"/>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779D7C71">
            <w:pPr>
              <w:spacing w:line="300" w:lineRule="exact"/>
              <w:jc w:val="right"/>
              <w:rPr>
                <w:rFonts w:ascii="方正书宋_GBK" w:eastAsia="方正书宋_GBK" w:hAnsiTheme="minorHAnsi" w:cstheme="minorBidi"/>
              </w:rPr>
            </w:pPr>
          </w:p>
        </w:tc>
      </w:tr>
      <w:tr w14:paraId="3113B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trPr>
        <w:tc>
          <w:tcPr>
            <w:tcW w:w="1904" w:type="dxa"/>
            <w:tcBorders>
              <w:top w:val="single" w:color="000000" w:sz="6" w:space="0"/>
              <w:left w:val="single" w:color="000000" w:sz="6" w:space="0"/>
              <w:bottom w:val="single" w:color="000000" w:sz="6" w:space="0"/>
              <w:right w:val="single" w:color="000000" w:sz="6" w:space="0"/>
            </w:tcBorders>
            <w:vAlign w:val="center"/>
          </w:tcPr>
          <w:p w14:paraId="32A9B56C">
            <w:pPr>
              <w:spacing w:line="300" w:lineRule="exact"/>
              <w:jc w:val="left"/>
              <w:rPr>
                <w:rFonts w:ascii="方正书宋_GBK" w:eastAsia="方正书宋_GBK" w:hAnsiTheme="minorHAnsi" w:cstheme="minorBidi"/>
              </w:rPr>
            </w:pPr>
          </w:p>
        </w:tc>
        <w:tc>
          <w:tcPr>
            <w:tcW w:w="1088" w:type="dxa"/>
            <w:tcBorders>
              <w:top w:val="single" w:color="000000" w:sz="6" w:space="0"/>
              <w:left w:val="single" w:color="000000" w:sz="6" w:space="0"/>
              <w:bottom w:val="single" w:color="000000" w:sz="6" w:space="0"/>
              <w:right w:val="single" w:color="000000" w:sz="6" w:space="0"/>
            </w:tcBorders>
            <w:vAlign w:val="center"/>
          </w:tcPr>
          <w:p w14:paraId="3EEA4A7D">
            <w:pPr>
              <w:spacing w:line="300" w:lineRule="exact"/>
              <w:jc w:val="right"/>
              <w:rPr>
                <w:rFonts w:ascii="方正书宋_GBK" w:eastAsia="方正书宋_GBK" w:hAnsiTheme="minorHAnsi" w:cstheme="minorBidi"/>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1082DDCF">
            <w:pPr>
              <w:spacing w:line="300" w:lineRule="exact"/>
              <w:jc w:val="left"/>
              <w:rPr>
                <w:rFonts w:ascii="方正书宋_GBK" w:eastAsia="方正书宋_GBK" w:hAnsiTheme="minorHAnsi" w:cstheme="minorBidi"/>
              </w:rPr>
            </w:pPr>
          </w:p>
        </w:tc>
        <w:tc>
          <w:tcPr>
            <w:tcW w:w="1471" w:type="dxa"/>
            <w:tcBorders>
              <w:top w:val="single" w:color="000000" w:sz="6" w:space="0"/>
              <w:left w:val="single" w:color="000000" w:sz="6" w:space="0"/>
              <w:bottom w:val="single" w:color="000000" w:sz="6" w:space="0"/>
              <w:right w:val="single" w:color="000000" w:sz="6" w:space="0"/>
            </w:tcBorders>
            <w:vAlign w:val="center"/>
          </w:tcPr>
          <w:p w14:paraId="7443D19A">
            <w:pPr>
              <w:spacing w:line="300" w:lineRule="exact"/>
              <w:jc w:val="left"/>
              <w:rPr>
                <w:rFonts w:ascii="方正书宋_GBK" w:eastAsia="方正书宋_GBK" w:hAnsiTheme="minorHAnsi" w:cstheme="minorBidi"/>
              </w:rPr>
            </w:pPr>
          </w:p>
        </w:tc>
        <w:tc>
          <w:tcPr>
            <w:tcW w:w="681" w:type="dxa"/>
            <w:tcBorders>
              <w:top w:val="single" w:color="000000" w:sz="6" w:space="0"/>
              <w:left w:val="single" w:color="000000" w:sz="6" w:space="0"/>
              <w:bottom w:val="single" w:color="000000" w:sz="6" w:space="0"/>
              <w:right w:val="single" w:color="000000" w:sz="6" w:space="0"/>
            </w:tcBorders>
            <w:vAlign w:val="center"/>
          </w:tcPr>
          <w:p w14:paraId="3ADB863E">
            <w:pPr>
              <w:spacing w:line="300" w:lineRule="exact"/>
              <w:jc w:val="center"/>
              <w:rPr>
                <w:rFonts w:ascii="方正书宋_GBK" w:eastAsia="方正书宋_GBK" w:hAnsiTheme="minorHAnsi" w:cstheme="minorBidi"/>
              </w:rPr>
            </w:pPr>
          </w:p>
        </w:tc>
        <w:tc>
          <w:tcPr>
            <w:tcW w:w="871" w:type="dxa"/>
            <w:tcBorders>
              <w:top w:val="single" w:color="000000" w:sz="6" w:space="0"/>
              <w:left w:val="single" w:color="000000" w:sz="6" w:space="0"/>
              <w:bottom w:val="single" w:color="000000" w:sz="6" w:space="0"/>
              <w:right w:val="single" w:color="000000" w:sz="6" w:space="0"/>
            </w:tcBorders>
            <w:vAlign w:val="center"/>
          </w:tcPr>
          <w:p w14:paraId="6294403A">
            <w:pPr>
              <w:spacing w:line="300" w:lineRule="exact"/>
              <w:jc w:val="right"/>
              <w:rPr>
                <w:rFonts w:ascii="方正书宋_GBK" w:eastAsia="方正书宋_GBK" w:hAnsiTheme="minorHAnsi" w:cstheme="minorBidi"/>
              </w:rPr>
            </w:pPr>
          </w:p>
        </w:tc>
        <w:tc>
          <w:tcPr>
            <w:tcW w:w="970" w:type="dxa"/>
            <w:tcBorders>
              <w:top w:val="single" w:color="000000" w:sz="6" w:space="0"/>
              <w:left w:val="single" w:color="000000" w:sz="6" w:space="0"/>
              <w:bottom w:val="single" w:color="000000" w:sz="6" w:space="0"/>
              <w:right w:val="single" w:color="000000" w:sz="6" w:space="0"/>
            </w:tcBorders>
            <w:vAlign w:val="center"/>
          </w:tcPr>
          <w:p w14:paraId="672C08F6">
            <w:pPr>
              <w:spacing w:line="300" w:lineRule="exact"/>
              <w:jc w:val="right"/>
              <w:rPr>
                <w:rFonts w:ascii="方正书宋_GBK" w:eastAsia="方正书宋_GBK" w:hAnsiTheme="minorHAnsi" w:cstheme="minorBidi"/>
              </w:rPr>
            </w:pPr>
          </w:p>
        </w:tc>
        <w:tc>
          <w:tcPr>
            <w:tcW w:w="992" w:type="dxa"/>
            <w:tcBorders>
              <w:top w:val="single" w:color="000000" w:sz="6" w:space="0"/>
              <w:left w:val="single" w:color="000000" w:sz="6" w:space="0"/>
              <w:bottom w:val="single" w:color="000000" w:sz="6" w:space="0"/>
              <w:right w:val="single" w:color="000000" w:sz="6" w:space="0"/>
            </w:tcBorders>
            <w:vAlign w:val="center"/>
          </w:tcPr>
          <w:p w14:paraId="5E79C3E9">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4987C6AB">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61077173">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10FE125E">
            <w:pPr>
              <w:spacing w:line="300" w:lineRule="exact"/>
              <w:jc w:val="right"/>
              <w:rPr>
                <w:rFonts w:ascii="方正书宋_GBK" w:eastAsia="方正书宋_GBK" w:hAnsiTheme="minorHAnsi" w:cstheme="minorBidi"/>
              </w:rPr>
            </w:pPr>
          </w:p>
        </w:tc>
        <w:tc>
          <w:tcPr>
            <w:tcW w:w="1089" w:type="dxa"/>
            <w:tcBorders>
              <w:top w:val="single" w:color="000000" w:sz="6" w:space="0"/>
              <w:left w:val="single" w:color="000000" w:sz="6" w:space="0"/>
              <w:bottom w:val="single" w:color="000000" w:sz="6" w:space="0"/>
              <w:right w:val="single" w:color="000000" w:sz="6" w:space="0"/>
            </w:tcBorders>
            <w:vAlign w:val="center"/>
          </w:tcPr>
          <w:p w14:paraId="53DBEFC8">
            <w:pPr>
              <w:spacing w:line="300" w:lineRule="exact"/>
              <w:jc w:val="right"/>
              <w:rPr>
                <w:rFonts w:ascii="方正书宋_GBK" w:eastAsia="方正书宋_GBK" w:hAnsiTheme="minorHAnsi" w:cstheme="minorBidi"/>
              </w:rPr>
            </w:pPr>
          </w:p>
        </w:tc>
        <w:tc>
          <w:tcPr>
            <w:tcW w:w="1092" w:type="dxa"/>
            <w:tcBorders>
              <w:top w:val="single" w:color="000000" w:sz="6" w:space="0"/>
              <w:left w:val="single" w:color="000000" w:sz="6" w:space="0"/>
              <w:bottom w:val="single" w:color="000000" w:sz="6" w:space="0"/>
              <w:right w:val="single" w:color="000000" w:sz="6" w:space="0"/>
            </w:tcBorders>
            <w:vAlign w:val="center"/>
          </w:tcPr>
          <w:p w14:paraId="7ABD7E81">
            <w:pPr>
              <w:spacing w:line="300" w:lineRule="exact"/>
              <w:jc w:val="right"/>
              <w:rPr>
                <w:rFonts w:ascii="方正书宋_GBK" w:eastAsia="方正书宋_GBK" w:hAnsiTheme="minorHAnsi" w:cstheme="minorBidi"/>
              </w:rPr>
            </w:pPr>
          </w:p>
        </w:tc>
      </w:tr>
    </w:tbl>
    <w:p w14:paraId="2512A87B">
      <w:pPr>
        <w:ind w:firstLine="420"/>
      </w:pPr>
      <w:r>
        <w:rPr>
          <w:rFonts w:ascii="方正书宋_GBK" w:hAnsi="方正书宋_GBK" w:eastAsia="方正书宋_GBK" w:cs="方正书宋_GBK"/>
          <w:color w:val="000000"/>
        </w:rPr>
        <w:t>注：无政府采购预算，空表列示。</w:t>
      </w:r>
    </w:p>
    <w:p w14:paraId="28C00BFB">
      <w:pPr>
        <w:widowControl/>
        <w:spacing w:line="580" w:lineRule="exact"/>
        <w:ind w:firstLine="640" w:firstLineChars="200"/>
        <w:jc w:val="left"/>
        <w:rPr>
          <w:rFonts w:ascii="Times New Roman" w:hAnsi="Times New Roman" w:eastAsia="方正仿宋_GBK" w:cs="Times New Roman"/>
          <w:sz w:val="32"/>
          <w:szCs w:val="24"/>
        </w:rPr>
      </w:pPr>
    </w:p>
    <w:p w14:paraId="5DF655AF">
      <w:pPr>
        <w:ind w:firstLine="803" w:firstLineChars="250"/>
        <w:outlineLvl w:val="0"/>
        <w:rPr>
          <w:b/>
        </w:rPr>
      </w:pPr>
      <w:r>
        <w:rPr>
          <w:rFonts w:hint="eastAsia" w:ascii="黑体" w:hAnsi="黑体" w:eastAsia="黑体" w:cs="Times New Roman"/>
          <w:b/>
          <w:sz w:val="32"/>
          <w:szCs w:val="32"/>
        </w:rPr>
        <w:t>七、国有资产信息</w:t>
      </w:r>
    </w:p>
    <w:p w14:paraId="738DC41F">
      <w:pPr>
        <w:ind w:firstLine="640"/>
        <w:rPr>
          <w:rFonts w:ascii="仿宋_GB2312" w:hAnsi="黑体" w:eastAsia="仿宋_GB2312" w:cs="Times New Roman"/>
          <w:sz w:val="32"/>
          <w:szCs w:val="32"/>
        </w:rPr>
      </w:pPr>
      <w:r>
        <w:rPr>
          <w:rFonts w:hint="eastAsia" w:ascii="Times New Roman" w:hAnsi="Times New Roman" w:eastAsia="方正仿宋_GBK" w:cs="Times New Roman"/>
          <w:sz w:val="32"/>
          <w:szCs w:val="24"/>
        </w:rPr>
        <w:t>上年末固定资产原值金额为132.60万元（详见下表）。本年度拟购置固定资产主要为凭证柜、装订机、饮水机及电脑、打印机等办公设备共计3.8万元，均为20万元以下的设备。</w:t>
      </w:r>
    </w:p>
    <w:p w14:paraId="6B55E94D">
      <w:pPr>
        <w:rPr>
          <w:rFonts w:ascii="??_GB2312" w:hAnsi="黑体" w:cs="Times New Roman" w:eastAsiaTheme="minorEastAsia"/>
          <w:color w:val="FF0000"/>
          <w:sz w:val="32"/>
          <w:szCs w:val="32"/>
        </w:rPr>
      </w:pPr>
    </w:p>
    <w:tbl>
      <w:tblPr>
        <w:tblStyle w:val="9"/>
        <w:tblW w:w="0" w:type="auto"/>
        <w:tblInd w:w="0" w:type="dxa"/>
        <w:tblLayout w:type="fixed"/>
        <w:tblCellMar>
          <w:top w:w="0" w:type="dxa"/>
          <w:left w:w="108" w:type="dxa"/>
          <w:bottom w:w="0" w:type="dxa"/>
          <w:right w:w="108" w:type="dxa"/>
        </w:tblCellMar>
      </w:tblPr>
      <w:tblGrid>
        <w:gridCol w:w="5224"/>
        <w:gridCol w:w="3155"/>
        <w:gridCol w:w="5103"/>
      </w:tblGrid>
      <w:tr w14:paraId="6D6FE8A5">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14D430C1">
            <w:pPr>
              <w:widowControl/>
              <w:jc w:val="center"/>
              <w:rPr>
                <w:rFonts w:ascii="宋体" w:cs="宋体"/>
                <w:b/>
                <w:bCs/>
                <w:kern w:val="0"/>
                <w:sz w:val="32"/>
                <w:szCs w:val="32"/>
              </w:rPr>
            </w:pPr>
            <w:r>
              <w:rPr>
                <w:rFonts w:hint="eastAsia" w:ascii="宋体" w:hAnsi="宋体" w:cs="宋体"/>
                <w:b/>
                <w:bCs/>
                <w:kern w:val="0"/>
                <w:sz w:val="32"/>
                <w:szCs w:val="32"/>
              </w:rPr>
              <w:t>曹妃甸区委党校部门固定资产占用情况表</w:t>
            </w:r>
          </w:p>
        </w:tc>
      </w:tr>
      <w:tr w14:paraId="0E7B319E">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10BDEAC0">
            <w:pPr>
              <w:widowControl/>
              <w:jc w:val="left"/>
              <w:rPr>
                <w:rFonts w:ascii="宋体" w:cs="宋体"/>
                <w:kern w:val="0"/>
                <w:sz w:val="22"/>
              </w:rPr>
            </w:pPr>
            <w:r>
              <w:rPr>
                <w:rFonts w:hint="eastAsia" w:ascii="宋体" w:hAnsi="宋体" w:cs="宋体"/>
                <w:kern w:val="0"/>
                <w:sz w:val="22"/>
              </w:rPr>
              <w:t>编制部门：曹妃甸区委党校</w:t>
            </w:r>
          </w:p>
        </w:tc>
        <w:tc>
          <w:tcPr>
            <w:tcW w:w="5103" w:type="dxa"/>
            <w:tcBorders>
              <w:top w:val="nil"/>
              <w:left w:val="nil"/>
              <w:bottom w:val="nil"/>
              <w:right w:val="nil"/>
            </w:tcBorders>
            <w:vAlign w:val="center"/>
          </w:tcPr>
          <w:p w14:paraId="565ED6DF">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w:t>
            </w:r>
            <w:r>
              <w:rPr>
                <w:rFonts w:hint="eastAsia" w:ascii="宋体" w:hAnsi="宋体" w:cs="宋体"/>
                <w:kern w:val="0"/>
                <w:sz w:val="22"/>
              </w:rPr>
              <w:t>21年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14:paraId="43C60C9D">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1969B77B">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14:paraId="5CB6E234">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16071AB2">
            <w:pPr>
              <w:widowControl/>
              <w:jc w:val="center"/>
              <w:rPr>
                <w:rFonts w:ascii="宋体" w:cs="宋体"/>
                <w:b/>
                <w:bCs/>
                <w:kern w:val="0"/>
                <w:sz w:val="22"/>
              </w:rPr>
            </w:pPr>
            <w:r>
              <w:rPr>
                <w:rFonts w:hint="eastAsia" w:ascii="宋体" w:hAnsi="宋体" w:cs="宋体"/>
                <w:b/>
                <w:bCs/>
                <w:kern w:val="0"/>
                <w:sz w:val="22"/>
              </w:rPr>
              <w:t>价值（金额单位：万元）</w:t>
            </w:r>
          </w:p>
        </w:tc>
      </w:tr>
      <w:tr w14:paraId="779C323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8DC16A3">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14:paraId="3F72E29F">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543ABA45">
            <w:pPr>
              <w:widowControl/>
              <w:jc w:val="center"/>
              <w:rPr>
                <w:rFonts w:ascii="宋体" w:cs="宋体"/>
                <w:kern w:val="0"/>
                <w:sz w:val="22"/>
              </w:rPr>
            </w:pPr>
            <w:r>
              <w:rPr>
                <w:rFonts w:hint="eastAsia" w:ascii="宋体" w:hAnsi="宋体" w:cs="宋体"/>
                <w:kern w:val="0"/>
                <w:sz w:val="22"/>
              </w:rPr>
              <w:t>132.60</w:t>
            </w:r>
          </w:p>
        </w:tc>
      </w:tr>
      <w:tr w14:paraId="030658A8">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7263C20">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14:paraId="006276CC">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14:paraId="4CBCCC2B">
            <w:pPr>
              <w:widowControl/>
              <w:jc w:val="center"/>
              <w:rPr>
                <w:rFonts w:ascii="宋体" w:cs="宋体"/>
                <w:kern w:val="0"/>
                <w:sz w:val="22"/>
              </w:rPr>
            </w:pPr>
            <w:r>
              <w:rPr>
                <w:rFonts w:hint="eastAsia" w:ascii="宋体" w:hAnsi="宋体" w:cs="宋体"/>
                <w:kern w:val="0"/>
                <w:sz w:val="22"/>
              </w:rPr>
              <w:t>85.85</w:t>
            </w:r>
          </w:p>
        </w:tc>
      </w:tr>
      <w:tr w14:paraId="0C605B1A">
        <w:tblPrEx>
          <w:tblCellMar>
            <w:top w:w="0" w:type="dxa"/>
            <w:left w:w="108" w:type="dxa"/>
            <w:bottom w:w="0" w:type="dxa"/>
            <w:right w:w="108" w:type="dxa"/>
          </w:tblCellMar>
        </w:tblPrEx>
        <w:trPr>
          <w:trHeight w:val="569" w:hRule="atLeast"/>
        </w:trPr>
        <w:tc>
          <w:tcPr>
            <w:tcW w:w="5224" w:type="dxa"/>
            <w:tcBorders>
              <w:top w:val="nil"/>
              <w:left w:val="single" w:color="auto" w:sz="4" w:space="0"/>
              <w:bottom w:val="single" w:color="auto" w:sz="4" w:space="0"/>
              <w:right w:val="single" w:color="auto" w:sz="4" w:space="0"/>
            </w:tcBorders>
            <w:vAlign w:val="center"/>
          </w:tcPr>
          <w:p w14:paraId="14BC9451">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14:paraId="561E79F8">
            <w:pPr>
              <w:widowControl/>
              <w:jc w:val="center"/>
              <w:rPr>
                <w:rFonts w:ascii="宋体" w:cs="宋体"/>
                <w:kern w:val="0"/>
                <w:sz w:val="22"/>
              </w:rPr>
            </w:pPr>
            <w:r>
              <w:rPr>
                <w:rFonts w:ascii="宋体" w:hAnsi="宋体" w:cs="宋体"/>
                <w:kern w:val="0"/>
                <w:sz w:val="22"/>
              </w:rPr>
              <w:t xml:space="preserve"> </w:t>
            </w:r>
          </w:p>
        </w:tc>
        <w:tc>
          <w:tcPr>
            <w:tcW w:w="5103" w:type="dxa"/>
            <w:tcBorders>
              <w:top w:val="nil"/>
              <w:left w:val="nil"/>
              <w:bottom w:val="single" w:color="auto" w:sz="4" w:space="0"/>
              <w:right w:val="single" w:color="auto" w:sz="4" w:space="0"/>
            </w:tcBorders>
            <w:vAlign w:val="center"/>
          </w:tcPr>
          <w:p w14:paraId="711A1938">
            <w:pPr>
              <w:widowControl/>
              <w:jc w:val="center"/>
              <w:rPr>
                <w:rFonts w:ascii="宋体" w:cs="宋体"/>
                <w:kern w:val="0"/>
                <w:sz w:val="22"/>
              </w:rPr>
            </w:pPr>
            <w:r>
              <w:rPr>
                <w:rFonts w:ascii="宋体" w:hAnsi="宋体" w:cs="宋体"/>
                <w:kern w:val="0"/>
                <w:sz w:val="22"/>
              </w:rPr>
              <w:t xml:space="preserve"> </w:t>
            </w:r>
          </w:p>
        </w:tc>
      </w:tr>
      <w:tr w14:paraId="092D872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8085550">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14:paraId="26EC41AF">
            <w:pPr>
              <w:widowControl/>
              <w:jc w:val="center"/>
              <w:rPr>
                <w:rFonts w:ascii="宋体" w:cs="宋体"/>
                <w:kern w:val="0"/>
                <w:sz w:val="22"/>
              </w:rPr>
            </w:pPr>
            <w:r>
              <w:rPr>
                <w:rFonts w:hint="eastAsia" w:ascii="宋体" w:hAnsi="宋体" w:cs="宋体"/>
                <w:kern w:val="0"/>
                <w:sz w:val="22"/>
              </w:rPr>
              <w:t>1</w:t>
            </w:r>
          </w:p>
        </w:tc>
        <w:tc>
          <w:tcPr>
            <w:tcW w:w="5103" w:type="dxa"/>
            <w:tcBorders>
              <w:top w:val="nil"/>
              <w:left w:val="nil"/>
              <w:bottom w:val="single" w:color="auto" w:sz="4" w:space="0"/>
              <w:right w:val="single" w:color="auto" w:sz="4" w:space="0"/>
            </w:tcBorders>
            <w:vAlign w:val="center"/>
          </w:tcPr>
          <w:p w14:paraId="65BE97B1">
            <w:pPr>
              <w:widowControl/>
              <w:jc w:val="center"/>
              <w:rPr>
                <w:rFonts w:ascii="宋体" w:cs="宋体"/>
                <w:kern w:val="0"/>
                <w:sz w:val="22"/>
              </w:rPr>
            </w:pPr>
            <w:r>
              <w:rPr>
                <w:rFonts w:hint="eastAsia" w:ascii="宋体" w:hAnsi="宋体" w:cs="宋体"/>
                <w:kern w:val="0"/>
                <w:sz w:val="22"/>
              </w:rPr>
              <w:t>19.32</w:t>
            </w:r>
          </w:p>
        </w:tc>
      </w:tr>
      <w:tr w14:paraId="7B9327E9">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283D330">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14:paraId="6701AB1C">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043CEBB1">
            <w:pPr>
              <w:widowControl/>
              <w:jc w:val="center"/>
              <w:rPr>
                <w:rFonts w:ascii="宋体" w:cs="宋体"/>
                <w:kern w:val="0"/>
                <w:sz w:val="22"/>
              </w:rPr>
            </w:pPr>
            <w:r>
              <w:rPr>
                <w:rFonts w:ascii="宋体" w:cs="宋体"/>
                <w:kern w:val="0"/>
                <w:sz w:val="22"/>
              </w:rPr>
              <w:t>0</w:t>
            </w:r>
          </w:p>
        </w:tc>
      </w:tr>
      <w:tr w14:paraId="740D7C18">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B211ADB">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14:paraId="627CF8E9">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14:paraId="0F70BA3D">
            <w:pPr>
              <w:widowControl/>
              <w:jc w:val="center"/>
              <w:rPr>
                <w:rFonts w:ascii="宋体" w:cs="宋体"/>
                <w:kern w:val="0"/>
                <w:sz w:val="22"/>
              </w:rPr>
            </w:pPr>
            <w:r>
              <w:rPr>
                <w:rFonts w:hint="eastAsia" w:ascii="宋体" w:hAnsi="宋体" w:cs="宋体"/>
                <w:kern w:val="0"/>
                <w:sz w:val="22"/>
              </w:rPr>
              <w:t>27.43</w:t>
            </w:r>
          </w:p>
        </w:tc>
      </w:tr>
    </w:tbl>
    <w:p w14:paraId="45EC6237">
      <w:pPr>
        <w:pStyle w:val="16"/>
        <w:numPr>
          <w:ilvl w:val="0"/>
          <w:numId w:val="3"/>
        </w:numPr>
        <w:autoSpaceDE w:val="0"/>
        <w:autoSpaceDN w:val="0"/>
        <w:adjustRightInd w:val="0"/>
        <w:ind w:firstLineChars="0"/>
        <w:jc w:val="left"/>
        <w:rPr>
          <w:rFonts w:ascii="黑体" w:hAnsi="黑体" w:eastAsia="黑体" w:cs="Times New Roman"/>
          <w:b/>
          <w:sz w:val="32"/>
          <w:szCs w:val="32"/>
        </w:rPr>
      </w:pPr>
      <w:r>
        <w:rPr>
          <w:rFonts w:hint="eastAsia" w:ascii="黑体" w:hAnsi="黑体" w:eastAsia="黑体" w:cs="Times New Roman"/>
          <w:b/>
          <w:sz w:val="32"/>
          <w:szCs w:val="32"/>
        </w:rPr>
        <w:t>名词解释</w:t>
      </w:r>
    </w:p>
    <w:p w14:paraId="4BBDC273">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1</w:t>
      </w:r>
      <w:r>
        <w:rPr>
          <w:rFonts w:hint="eastAsia" w:ascii="宋体" w:hAnsi="宋体" w:cs="宋体"/>
          <w:sz w:val="32"/>
          <w:szCs w:val="32"/>
        </w:rPr>
        <w:t>、一般预算收入：区级财政当年拨付的资金。</w:t>
      </w:r>
    </w:p>
    <w:p w14:paraId="3607084E">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2</w:t>
      </w:r>
      <w:r>
        <w:rPr>
          <w:rFonts w:hint="eastAsia" w:ascii="宋体" w:hAnsi="宋体" w:cs="宋体"/>
          <w:sz w:val="32"/>
          <w:szCs w:val="32"/>
        </w:rPr>
        <w:t>、基本支出：为保障机构正常运转，完成日常工作任务，而发生的人员支出和公用支出。</w:t>
      </w:r>
    </w:p>
    <w:p w14:paraId="05AA46EC">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3</w:t>
      </w:r>
      <w:r>
        <w:rPr>
          <w:rFonts w:hint="eastAsia" w:ascii="宋体" w:hAnsi="宋体" w:cs="宋体"/>
          <w:sz w:val="32"/>
          <w:szCs w:val="32"/>
        </w:rPr>
        <w:t>、项目支出：是指在基本支出之外，为完成特定行政任务和事业发展目标，而发生的支出。</w:t>
      </w:r>
    </w:p>
    <w:p w14:paraId="5F226294">
      <w:pPr>
        <w:autoSpaceDE w:val="0"/>
        <w:autoSpaceDN w:val="0"/>
        <w:adjustRightInd w:val="0"/>
        <w:ind w:left="420" w:leftChars="200" w:firstLine="640" w:firstLineChars="200"/>
        <w:jc w:val="left"/>
        <w:rPr>
          <w:rFonts w:ascii="??_GB2312" w:hAnsi="??_GB2312" w:eastAsia="Times New Roman" w:cs="??_GB2312"/>
          <w:sz w:val="32"/>
          <w:szCs w:val="32"/>
        </w:rPr>
      </w:pPr>
      <w:r>
        <w:rPr>
          <w:rFonts w:ascii="??_GB2312" w:hAnsi="??_GB2312" w:eastAsia="Times New Roman" w:cs="??_GB2312"/>
          <w:sz w:val="32"/>
          <w:szCs w:val="32"/>
        </w:rPr>
        <w:t>4</w:t>
      </w:r>
      <w:r>
        <w:rPr>
          <w:rFonts w:hint="eastAsia" w:ascii="宋体" w:hAnsi="宋体" w:cs="宋体"/>
          <w:sz w:val="32"/>
          <w:szCs w:val="32"/>
        </w:rPr>
        <w:t>、机关运行费：是指为保证行政单位（包括参照公务员管理的事业单位）运行，用于购买货物和服务的各项资金。主要包括：办公费、印刷费，水费、电费、邮电费、福利费、日常维修费、办公物业服务费、公务车运行维护费等。</w:t>
      </w:r>
    </w:p>
    <w:p w14:paraId="6653F07A">
      <w:pPr>
        <w:autoSpaceDE w:val="0"/>
        <w:autoSpaceDN w:val="0"/>
        <w:adjustRightInd w:val="0"/>
        <w:ind w:firstLine="964" w:firstLineChars="3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789DE9A4">
      <w:pPr>
        <w:autoSpaceDE w:val="0"/>
        <w:autoSpaceDN w:val="0"/>
        <w:adjustRightInd w:val="0"/>
        <w:ind w:firstLine="1600" w:firstLineChars="500"/>
        <w:jc w:val="left"/>
        <w:rPr>
          <w:rFonts w:ascii="??_GB2312" w:hAnsi="??_GB2312" w:cs="??_GB2312" w:eastAsiaTheme="minorEastAsia"/>
          <w:sz w:val="32"/>
          <w:szCs w:val="32"/>
        </w:rPr>
      </w:pPr>
      <w:r>
        <w:rPr>
          <w:rFonts w:hint="eastAsia" w:ascii="??_GB2312" w:hAnsi="??_GB2312" w:cs="??_GB2312" w:eastAsiaTheme="minorEastAsia"/>
          <w:sz w:val="32"/>
          <w:szCs w:val="32"/>
        </w:rPr>
        <w:t>无</w:t>
      </w:r>
    </w:p>
    <w:sectPr>
      <w:headerReference r:id="rId3" w:type="default"/>
      <w:footerReference r:id="rId4"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A3426">
    <w:pPr>
      <w:pStyle w:val="3"/>
      <w:jc w:val="center"/>
    </w:pPr>
    <w:r>
      <w:rPr>
        <w:rFonts w:hint="eastAsia"/>
      </w:rPr>
      <w:t>第</w:t>
    </w:r>
    <w:r>
      <w:t xml:space="preserve"> </w:t>
    </w:r>
    <w:r>
      <w:fldChar w:fldCharType="begin"/>
    </w:r>
    <w:r>
      <w:instrText xml:space="preserve"> Page \* MERGEFORMAT </w:instrText>
    </w:r>
    <w:r>
      <w:fldChar w:fldCharType="separate"/>
    </w:r>
    <w:r>
      <w:t>11</w:t>
    </w:r>
    <w:r>
      <w:fldChar w:fldCharType="end"/>
    </w:r>
    <w: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EE4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rPr>
        <w:rFonts w:cs="Times New Roman"/>
      </w:rPr>
    </w:lvl>
  </w:abstractNum>
  <w:abstractNum w:abstractNumId="1">
    <w:nsid w:val="45FA4989"/>
    <w:multiLevelType w:val="multilevel"/>
    <w:tmpl w:val="45FA4989"/>
    <w:lvl w:ilvl="0" w:tentative="0">
      <w:start w:val="8"/>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5909A0EE"/>
    <w:multiLevelType w:val="singleLevel"/>
    <w:tmpl w:val="5909A0EE"/>
    <w:lvl w:ilvl="0" w:tentative="0">
      <w:start w:val="1"/>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oNotHyphenateCaps/>
  <w:drawingGridHorizontalSpacing w:val="105"/>
  <w:drawingGridVerticalSpacing w:val="159"/>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MzE5MGEzM2Q2MjQ0ZWUzZDQ0MmMxMDM3M2M1ZDkifQ=="/>
  </w:docVars>
  <w:rsids>
    <w:rsidRoot w:val="00172A27"/>
    <w:rsid w:val="000069C9"/>
    <w:rsid w:val="00007175"/>
    <w:rsid w:val="000230EE"/>
    <w:rsid w:val="0004731A"/>
    <w:rsid w:val="00075A86"/>
    <w:rsid w:val="000F1DB0"/>
    <w:rsid w:val="00112C3E"/>
    <w:rsid w:val="00117CB4"/>
    <w:rsid w:val="001306AA"/>
    <w:rsid w:val="00150FF9"/>
    <w:rsid w:val="00163395"/>
    <w:rsid w:val="00172A27"/>
    <w:rsid w:val="00183B5F"/>
    <w:rsid w:val="0019464D"/>
    <w:rsid w:val="001A7476"/>
    <w:rsid w:val="001A749F"/>
    <w:rsid w:val="001B0F0A"/>
    <w:rsid w:val="001B20D2"/>
    <w:rsid w:val="001B57CF"/>
    <w:rsid w:val="001B73FA"/>
    <w:rsid w:val="001C00E3"/>
    <w:rsid w:val="001C6AA5"/>
    <w:rsid w:val="001D0122"/>
    <w:rsid w:val="001D77BA"/>
    <w:rsid w:val="001F5DC0"/>
    <w:rsid w:val="0020019A"/>
    <w:rsid w:val="0020516D"/>
    <w:rsid w:val="0021541C"/>
    <w:rsid w:val="00225BED"/>
    <w:rsid w:val="002364EA"/>
    <w:rsid w:val="00240E05"/>
    <w:rsid w:val="00253666"/>
    <w:rsid w:val="00297116"/>
    <w:rsid w:val="002A5E05"/>
    <w:rsid w:val="002C439A"/>
    <w:rsid w:val="002C66BC"/>
    <w:rsid w:val="002F20D4"/>
    <w:rsid w:val="002F2D18"/>
    <w:rsid w:val="002F72B1"/>
    <w:rsid w:val="00300C0E"/>
    <w:rsid w:val="00306ADD"/>
    <w:rsid w:val="003123F3"/>
    <w:rsid w:val="00316188"/>
    <w:rsid w:val="0035539F"/>
    <w:rsid w:val="00362838"/>
    <w:rsid w:val="003B6348"/>
    <w:rsid w:val="003C160E"/>
    <w:rsid w:val="003D1B74"/>
    <w:rsid w:val="003E4A75"/>
    <w:rsid w:val="003E664A"/>
    <w:rsid w:val="003E7979"/>
    <w:rsid w:val="004067CB"/>
    <w:rsid w:val="0041506D"/>
    <w:rsid w:val="004171E0"/>
    <w:rsid w:val="004212D3"/>
    <w:rsid w:val="00426C7B"/>
    <w:rsid w:val="00427E41"/>
    <w:rsid w:val="00447C4F"/>
    <w:rsid w:val="0045461A"/>
    <w:rsid w:val="00462FAE"/>
    <w:rsid w:val="004638D2"/>
    <w:rsid w:val="0048138C"/>
    <w:rsid w:val="004823AB"/>
    <w:rsid w:val="004B4A2C"/>
    <w:rsid w:val="004D4981"/>
    <w:rsid w:val="004F6C92"/>
    <w:rsid w:val="00503904"/>
    <w:rsid w:val="00506C6C"/>
    <w:rsid w:val="00517340"/>
    <w:rsid w:val="00525F70"/>
    <w:rsid w:val="00531BE7"/>
    <w:rsid w:val="00550158"/>
    <w:rsid w:val="00552541"/>
    <w:rsid w:val="00560A79"/>
    <w:rsid w:val="00597E0B"/>
    <w:rsid w:val="005B2960"/>
    <w:rsid w:val="005B3605"/>
    <w:rsid w:val="005B3BB9"/>
    <w:rsid w:val="005B4415"/>
    <w:rsid w:val="005B625E"/>
    <w:rsid w:val="005D534C"/>
    <w:rsid w:val="005E6613"/>
    <w:rsid w:val="005F1F84"/>
    <w:rsid w:val="005F3A9B"/>
    <w:rsid w:val="00602191"/>
    <w:rsid w:val="006164D6"/>
    <w:rsid w:val="006227FD"/>
    <w:rsid w:val="00635BB6"/>
    <w:rsid w:val="006637C3"/>
    <w:rsid w:val="00675FE1"/>
    <w:rsid w:val="006800F6"/>
    <w:rsid w:val="006A63EA"/>
    <w:rsid w:val="006C780D"/>
    <w:rsid w:val="006D0EA0"/>
    <w:rsid w:val="006D208A"/>
    <w:rsid w:val="006E59D1"/>
    <w:rsid w:val="006E5CB6"/>
    <w:rsid w:val="006F54D7"/>
    <w:rsid w:val="006F6777"/>
    <w:rsid w:val="007031AF"/>
    <w:rsid w:val="007040A8"/>
    <w:rsid w:val="00706081"/>
    <w:rsid w:val="00711830"/>
    <w:rsid w:val="007231CF"/>
    <w:rsid w:val="0072472F"/>
    <w:rsid w:val="007322B9"/>
    <w:rsid w:val="007368AA"/>
    <w:rsid w:val="0074016B"/>
    <w:rsid w:val="0074297C"/>
    <w:rsid w:val="00756BEC"/>
    <w:rsid w:val="007605CB"/>
    <w:rsid w:val="0076713D"/>
    <w:rsid w:val="00774386"/>
    <w:rsid w:val="0079771D"/>
    <w:rsid w:val="007D0D39"/>
    <w:rsid w:val="007D13B9"/>
    <w:rsid w:val="007E03CB"/>
    <w:rsid w:val="007E2EF2"/>
    <w:rsid w:val="007E46E4"/>
    <w:rsid w:val="007E4C46"/>
    <w:rsid w:val="007F3237"/>
    <w:rsid w:val="007F51A4"/>
    <w:rsid w:val="0080657E"/>
    <w:rsid w:val="00810BA4"/>
    <w:rsid w:val="008154CC"/>
    <w:rsid w:val="00827B67"/>
    <w:rsid w:val="008326EF"/>
    <w:rsid w:val="00835EDC"/>
    <w:rsid w:val="00850ACC"/>
    <w:rsid w:val="0086764E"/>
    <w:rsid w:val="00867E5C"/>
    <w:rsid w:val="008903C5"/>
    <w:rsid w:val="008968ED"/>
    <w:rsid w:val="008A341C"/>
    <w:rsid w:val="008A58FD"/>
    <w:rsid w:val="008D2B31"/>
    <w:rsid w:val="008D34F1"/>
    <w:rsid w:val="008D46AE"/>
    <w:rsid w:val="008E2A9C"/>
    <w:rsid w:val="008F479A"/>
    <w:rsid w:val="0090710A"/>
    <w:rsid w:val="00921562"/>
    <w:rsid w:val="00923231"/>
    <w:rsid w:val="00942D3F"/>
    <w:rsid w:val="0095781B"/>
    <w:rsid w:val="00962128"/>
    <w:rsid w:val="009836A5"/>
    <w:rsid w:val="00990C03"/>
    <w:rsid w:val="00990C8B"/>
    <w:rsid w:val="009961BE"/>
    <w:rsid w:val="009A1755"/>
    <w:rsid w:val="009B587A"/>
    <w:rsid w:val="009C1B3F"/>
    <w:rsid w:val="009D4812"/>
    <w:rsid w:val="009D51AD"/>
    <w:rsid w:val="009D7F8D"/>
    <w:rsid w:val="009E7882"/>
    <w:rsid w:val="009F3D4B"/>
    <w:rsid w:val="00A112D2"/>
    <w:rsid w:val="00A134D4"/>
    <w:rsid w:val="00A27A57"/>
    <w:rsid w:val="00A335C6"/>
    <w:rsid w:val="00A40187"/>
    <w:rsid w:val="00A46775"/>
    <w:rsid w:val="00A5056C"/>
    <w:rsid w:val="00A81366"/>
    <w:rsid w:val="00A94ECD"/>
    <w:rsid w:val="00A95EB7"/>
    <w:rsid w:val="00A9623B"/>
    <w:rsid w:val="00AA2A0B"/>
    <w:rsid w:val="00AA6146"/>
    <w:rsid w:val="00AB4F5D"/>
    <w:rsid w:val="00AD37E8"/>
    <w:rsid w:val="00AD7608"/>
    <w:rsid w:val="00AE35DD"/>
    <w:rsid w:val="00AF6E0D"/>
    <w:rsid w:val="00B00F16"/>
    <w:rsid w:val="00B108EB"/>
    <w:rsid w:val="00B40B09"/>
    <w:rsid w:val="00B57544"/>
    <w:rsid w:val="00B57D0A"/>
    <w:rsid w:val="00B75533"/>
    <w:rsid w:val="00B80E8A"/>
    <w:rsid w:val="00B95CD9"/>
    <w:rsid w:val="00BC0564"/>
    <w:rsid w:val="00BC7EDF"/>
    <w:rsid w:val="00BE12CA"/>
    <w:rsid w:val="00BE2C2C"/>
    <w:rsid w:val="00BE6142"/>
    <w:rsid w:val="00C101F1"/>
    <w:rsid w:val="00C117F9"/>
    <w:rsid w:val="00C22119"/>
    <w:rsid w:val="00C30123"/>
    <w:rsid w:val="00C34151"/>
    <w:rsid w:val="00C35724"/>
    <w:rsid w:val="00C42503"/>
    <w:rsid w:val="00C57260"/>
    <w:rsid w:val="00C66002"/>
    <w:rsid w:val="00C701D6"/>
    <w:rsid w:val="00C760D1"/>
    <w:rsid w:val="00C76BDE"/>
    <w:rsid w:val="00C924E7"/>
    <w:rsid w:val="00C95C9A"/>
    <w:rsid w:val="00C96CD8"/>
    <w:rsid w:val="00CC40B9"/>
    <w:rsid w:val="00CD4D95"/>
    <w:rsid w:val="00CE6B43"/>
    <w:rsid w:val="00D25CDE"/>
    <w:rsid w:val="00D4081E"/>
    <w:rsid w:val="00D54D41"/>
    <w:rsid w:val="00D63140"/>
    <w:rsid w:val="00D63B78"/>
    <w:rsid w:val="00D806B6"/>
    <w:rsid w:val="00DA1F10"/>
    <w:rsid w:val="00DC27EF"/>
    <w:rsid w:val="00DD0A30"/>
    <w:rsid w:val="00E01F6D"/>
    <w:rsid w:val="00E04283"/>
    <w:rsid w:val="00E11652"/>
    <w:rsid w:val="00E222D1"/>
    <w:rsid w:val="00E22CF8"/>
    <w:rsid w:val="00E4225F"/>
    <w:rsid w:val="00E47E5B"/>
    <w:rsid w:val="00E56289"/>
    <w:rsid w:val="00E566F7"/>
    <w:rsid w:val="00E61A4A"/>
    <w:rsid w:val="00E639E1"/>
    <w:rsid w:val="00E74E3F"/>
    <w:rsid w:val="00E81ACB"/>
    <w:rsid w:val="00E9639F"/>
    <w:rsid w:val="00ED5484"/>
    <w:rsid w:val="00ED7BFF"/>
    <w:rsid w:val="00EE07FD"/>
    <w:rsid w:val="00EF5BDE"/>
    <w:rsid w:val="00F02381"/>
    <w:rsid w:val="00F17690"/>
    <w:rsid w:val="00F44514"/>
    <w:rsid w:val="00F65265"/>
    <w:rsid w:val="00F71BEE"/>
    <w:rsid w:val="00F76204"/>
    <w:rsid w:val="00F7620B"/>
    <w:rsid w:val="00F92D35"/>
    <w:rsid w:val="00FB2C80"/>
    <w:rsid w:val="00FB2D29"/>
    <w:rsid w:val="00FC168C"/>
    <w:rsid w:val="00FC47A9"/>
    <w:rsid w:val="00FD216E"/>
    <w:rsid w:val="00FD284B"/>
    <w:rsid w:val="00FD5BB3"/>
    <w:rsid w:val="01237B34"/>
    <w:rsid w:val="02335EF2"/>
    <w:rsid w:val="081465EC"/>
    <w:rsid w:val="08B872E5"/>
    <w:rsid w:val="0D3D7863"/>
    <w:rsid w:val="11B14DCE"/>
    <w:rsid w:val="11BD51BB"/>
    <w:rsid w:val="13FE75A2"/>
    <w:rsid w:val="173E1959"/>
    <w:rsid w:val="17B27C12"/>
    <w:rsid w:val="182B5206"/>
    <w:rsid w:val="18E406CF"/>
    <w:rsid w:val="1A6C0E84"/>
    <w:rsid w:val="1A7C3068"/>
    <w:rsid w:val="1B6C046B"/>
    <w:rsid w:val="1C6D28A3"/>
    <w:rsid w:val="1CC5044C"/>
    <w:rsid w:val="1DC43078"/>
    <w:rsid w:val="1F436A91"/>
    <w:rsid w:val="20490F69"/>
    <w:rsid w:val="20880B42"/>
    <w:rsid w:val="20D06600"/>
    <w:rsid w:val="21F735F5"/>
    <w:rsid w:val="253476E6"/>
    <w:rsid w:val="2573511A"/>
    <w:rsid w:val="26A175C9"/>
    <w:rsid w:val="26B55F79"/>
    <w:rsid w:val="2B2D036C"/>
    <w:rsid w:val="2C343CEB"/>
    <w:rsid w:val="2C973BA3"/>
    <w:rsid w:val="2CD91EE1"/>
    <w:rsid w:val="2D3D47D0"/>
    <w:rsid w:val="2D9F209F"/>
    <w:rsid w:val="2DFA07EA"/>
    <w:rsid w:val="2FAF2DC0"/>
    <w:rsid w:val="37346343"/>
    <w:rsid w:val="376059F1"/>
    <w:rsid w:val="39B624A1"/>
    <w:rsid w:val="3B9D05E2"/>
    <w:rsid w:val="3B9D3F7B"/>
    <w:rsid w:val="3BC06A63"/>
    <w:rsid w:val="3F675A63"/>
    <w:rsid w:val="417B1318"/>
    <w:rsid w:val="42646472"/>
    <w:rsid w:val="460974D0"/>
    <w:rsid w:val="477E5776"/>
    <w:rsid w:val="47E52DBD"/>
    <w:rsid w:val="4D667939"/>
    <w:rsid w:val="4DD6572B"/>
    <w:rsid w:val="4F762266"/>
    <w:rsid w:val="507B57E7"/>
    <w:rsid w:val="516D3442"/>
    <w:rsid w:val="51935039"/>
    <w:rsid w:val="525A132C"/>
    <w:rsid w:val="52F74406"/>
    <w:rsid w:val="53934B54"/>
    <w:rsid w:val="54BA7095"/>
    <w:rsid w:val="56412769"/>
    <w:rsid w:val="56A439CF"/>
    <w:rsid w:val="588958A6"/>
    <w:rsid w:val="5C5C3E00"/>
    <w:rsid w:val="5CF32068"/>
    <w:rsid w:val="67C9021A"/>
    <w:rsid w:val="6BDC690F"/>
    <w:rsid w:val="6BF81301"/>
    <w:rsid w:val="6F123BFA"/>
    <w:rsid w:val="712552E9"/>
    <w:rsid w:val="779F354D"/>
    <w:rsid w:val="7944331F"/>
    <w:rsid w:val="7AEC23D6"/>
    <w:rsid w:val="7BBC722B"/>
    <w:rsid w:val="7C9A7756"/>
    <w:rsid w:val="7EC17BDC"/>
    <w:rsid w:val="7F75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qFormat/>
    <w:uiPriority w:val="0"/>
    <w:rPr>
      <w:rFonts w:ascii="Times New Roman" w:hAnsi="Times New Roman" w:cs="Times New Roman"/>
      <w:szCs w:val="24"/>
    </w:rPr>
  </w:style>
  <w:style w:type="paragraph" w:styleId="6">
    <w:name w:val="toc 2"/>
    <w:basedOn w:val="1"/>
    <w:next w:val="1"/>
    <w:semiHidden/>
    <w:qFormat/>
    <w:uiPriority w:val="0"/>
    <w:pPr>
      <w:ind w:left="420" w:leftChars="200"/>
    </w:pPr>
    <w:rPr>
      <w:rFonts w:ascii="Times New Roman" w:hAnsi="Times New Roman"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character" w:styleId="11">
    <w:name w:val="Hyperlink"/>
    <w:qFormat/>
    <w:uiPriority w:val="0"/>
    <w:rPr>
      <w:color w:val="0000FF"/>
      <w:u w:val="single"/>
    </w:rPr>
  </w:style>
  <w:style w:type="character" w:customStyle="1" w:styleId="12">
    <w:name w:val="页脚 Char"/>
    <w:link w:val="3"/>
    <w:semiHidden/>
    <w:qFormat/>
    <w:locked/>
    <w:uiPriority w:val="0"/>
    <w:rPr>
      <w:rFonts w:ascii="Times New Roman" w:hAnsi="Times New Roman" w:eastAsia="宋体" w:cs="Times New Roman"/>
      <w:sz w:val="18"/>
      <w:szCs w:val="18"/>
    </w:rPr>
  </w:style>
  <w:style w:type="character" w:customStyle="1" w:styleId="13">
    <w:name w:val="页眉 Char"/>
    <w:link w:val="4"/>
    <w:semiHidden/>
    <w:locked/>
    <w:uiPriority w:val="0"/>
    <w:rPr>
      <w:rFonts w:ascii="Times New Roman" w:hAnsi="Times New Roman" w:eastAsia="宋体" w:cs="Times New Roman"/>
      <w:sz w:val="18"/>
      <w:szCs w:val="18"/>
    </w:rPr>
  </w:style>
  <w:style w:type="character" w:customStyle="1" w:styleId="14">
    <w:name w:val="Page Number1"/>
    <w:uiPriority w:val="0"/>
    <w:rPr>
      <w:rFonts w:cs="Times New Roman"/>
    </w:rPr>
  </w:style>
  <w:style w:type="character" w:customStyle="1" w:styleId="15">
    <w:name w:val="font11"/>
    <w:uiPriority w:val="0"/>
    <w:rPr>
      <w:rFonts w:ascii="宋体" w:hAnsi="宋体" w:eastAsia="宋体" w:cs="宋体"/>
      <w:color w:val="000000"/>
      <w:sz w:val="18"/>
      <w:szCs w:val="18"/>
      <w:u w:val="none"/>
    </w:rPr>
  </w:style>
  <w:style w:type="paragraph" w:styleId="16">
    <w:name w:val="List Paragraph"/>
    <w:basedOn w:val="1"/>
    <w:qFormat/>
    <w:uiPriority w:val="99"/>
    <w:pPr>
      <w:ind w:firstLine="420" w:firstLineChars="200"/>
    </w:pPr>
  </w:style>
  <w:style w:type="paragraph" w:customStyle="1" w:styleId="17">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插入文本样式-插入预算公开单位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9">
    <w:name w:val="p0"/>
    <w:basedOn w:val="1"/>
    <w:qFormat/>
    <w:uiPriority w:val="0"/>
    <w:pPr>
      <w:widowControl/>
      <w:suppressAutoHyphens/>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55C5EB-A7ED-4DDE-9856-ADD5FCCAED2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4096</Words>
  <Characters>4317</Characters>
  <Lines>33</Lines>
  <Paragraphs>9</Paragraphs>
  <TotalTime>1192</TotalTime>
  <ScaleCrop>false</ScaleCrop>
  <LinksUpToDate>false</LinksUpToDate>
  <CharactersWithSpaces>4364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2017-11-13T02:12:00Z</dcterms:created>
  <dc:creator>guest</dc:creator>
  <cp:lastModifiedBy>瑞雪</cp:lastModifiedBy>
  <cp:lastPrinted>2017-05-03T09:08:00Z</cp:lastPrinted>
  <dcterms:modified xsi:type="dcterms:W3CDTF">2025-06-18T01:27:58Z</dcterms:modified>
  <dc:title>Administrator</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E6ABC64D2FD04B05853DC1294B781F62_13</vt:lpwstr>
  </property>
  <property fmtid="{D5CDD505-2E9C-101B-9397-08002B2CF9AE}" pid="4" name="KSOTemplateDocerSaveRecord">
    <vt:lpwstr>eyJoZGlkIjoiZmQ5NmQ2MThmYzI5ZmJjMDc4MmQ4ZWRmYzA1NjUzM2IiLCJ1c2VySWQiOiIzMzE5NzU2ODUifQ==</vt:lpwstr>
  </property>
</Properties>
</file>