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0" w:name="_GoBack"/>
      <w:bookmarkEnd w:id="10"/>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曹妃甸区老干部局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曹妃甸区老干部局编制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1.2022年“少年硅谷”智能教室项目绩效目标表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2.2022年关工委专项经费绩效目标表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3.2022年老干部活动中心（老年大学）大楼日常维护绩效目标表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4.2022年老干部活动中心经费绩效目标表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5.2022年老干部经费绩效目标表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6.2022年老年大学经费绩效目标表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7.2022年全区离退休干部交通费（代管）绩效目标表</w:t>
      </w:r>
      <w:r>
        <w:tab/>
      </w:r>
      <w:r>
        <w:fldChar w:fldCharType="begin"/>
      </w:r>
      <w:r>
        <w:instrText xml:space="preserve">PAGEREF _Toc_4_4_0000000010 \h</w:instrText>
      </w:r>
      <w:r>
        <w:fldChar w:fldCharType="separate"/>
      </w:r>
      <w:r>
        <w:t>12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继续落实好离退休干部的政治待遇和生活待遇，做好老干部各项服务工作。适时组织老干部参观区重点建设项目，了解全区经济社会发展成果，充分发挥老干部作用，在促进招商引资，扩大港口贸易方面取得新成绩。认真落实加强离退休干部政治建设，立足老同志特点，通过发放明白纸、组织宣讲会、座谈会、文化作品展等形式，组织引导离退休干部学习习近平新时代中国特色社会主义思想及</w:t>
      </w:r>
      <w:r>
        <w:rPr>
          <w:lang w:val="en"/>
        </w:rPr>
        <w:t>党的十九届六中全会精神</w:t>
      </w:r>
      <w:r>
        <w:t>。视疫情发展，按上级要求老干部活动中心活动室、老年大学教学班全面开展工作。开办电钢琴、古筝、舞蹈、声乐、书法、国画等高标准的教学班。陆续开放台球室、棋牌室等活动室，不断丰富老干部的精神文化生活。完善老干部门诊建设。制定相关优惠政策，结合离退休干部体检，办好老干部门诊。做好革命老区村的帮扶工作。争取上级资金，更好的做好革命老区村的帮扶项目。加强关工委活动阵地建设。争取上级支持，为基层活动阵地配备青少年读物和文体器材，为服务青少年提供平台。加强“五老”工作站建设，充分发挥广大“五老”在传承家庭美德，传播家教理念，促进家庭文明建设。</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一、关工委专项经费</w:t>
      </w:r>
    </w:p>
    <w:p>
      <w:pPr>
        <w:pStyle w:val="9"/>
      </w:pPr>
      <w:r>
        <w:t>绩效目标：按照中央、省、市印发的《关于加强时代关心下一代委员会工作的意见》，准确把握新时代关工委工作新要求，充分发挥广大“五老”的独特优势和重要作用，努力服务青少年成才成长，根据上级同意安排部署，按时完成各项任务，做出我区品牌两点工作。</w:t>
      </w:r>
    </w:p>
    <w:p>
      <w:pPr>
        <w:pStyle w:val="9"/>
      </w:pPr>
      <w:r>
        <w:t>绩效指标：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p>
      <w:pPr>
        <w:pStyle w:val="9"/>
      </w:pPr>
    </w:p>
    <w:p>
      <w:pPr>
        <w:pStyle w:val="9"/>
      </w:pPr>
      <w:r>
        <w:t>二、老干部活动中心经费</w:t>
      </w:r>
    </w:p>
    <w:p>
      <w:pPr>
        <w:pStyle w:val="9"/>
      </w:pPr>
      <w:r>
        <w:t>绩效目标：宣传贯彻中央和省委、市委有关老干部工作的方针政策，落实区委区政府及区委老干部局下达的各项岗位目标任务；不断提高他们的政治理论和适合老年人特点的科学文化知识，不断提高他们的政治理论水平和科学文化素养，丰富充实他们的晚年精神生活；组织老干部开展联谊活动等。</w:t>
      </w:r>
    </w:p>
    <w:p>
      <w:pPr>
        <w:pStyle w:val="9"/>
      </w:pPr>
      <w:r>
        <w:t>绩效指标：组织开展各项符合老同志特点的政治宣传、书画、娱乐、文体、健身等活动，如歌唱比赛、诗歌大会等活动；定期举办各种形势报告会、理论研讨会和保健养生知识讲座，如眼科义诊等活动。定期对活动场地进行维护维修，确保老同志活动的安全。</w:t>
      </w:r>
    </w:p>
    <w:p>
      <w:pPr>
        <w:pStyle w:val="9"/>
      </w:pPr>
    </w:p>
    <w:p>
      <w:pPr>
        <w:pStyle w:val="9"/>
      </w:pPr>
      <w:r>
        <w:t>三、老干部经费</w:t>
      </w:r>
    </w:p>
    <w:p>
      <w:pPr>
        <w:pStyle w:val="9"/>
      </w:pPr>
      <w:r>
        <w:t>绩效目标：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p>
      <w:pPr>
        <w:pStyle w:val="9"/>
      </w:pPr>
      <w:r>
        <w:t>绩效指标：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p>
      <w:pPr>
        <w:pStyle w:val="9"/>
      </w:pPr>
    </w:p>
    <w:p>
      <w:pPr>
        <w:pStyle w:val="9"/>
      </w:pPr>
      <w:r>
        <w:t>四、老干部活动中心（老年大学）大楼日常维护</w:t>
      </w:r>
    </w:p>
    <w:p>
      <w:pPr>
        <w:pStyle w:val="9"/>
      </w:pPr>
      <w:r>
        <w:t>绩效目标：传贯彻中央和省委、市委有关老干部工作的方针政策，落实区委区政府及区委老干部局下达的各项岗位目标任务；不断提高他们的政治理论和适合老年人特点的科学文化知识，不断提高他们的政治理论水平和科学文化素养，丰富充实他们的晚年精神生活；组织老干部开展联谊活动等。</w:t>
      </w:r>
    </w:p>
    <w:p>
      <w:pPr>
        <w:pStyle w:val="9"/>
      </w:pPr>
      <w:r>
        <w:t>绩效目标：为保证老干部日常活动及老年大学正常教学，保证活动中心大楼和老年大学大楼的日常运作，及时对大楼进行维修维护。</w:t>
      </w:r>
    </w:p>
    <w:p>
      <w:pPr>
        <w:pStyle w:val="9"/>
      </w:pPr>
    </w:p>
    <w:p>
      <w:pPr>
        <w:pStyle w:val="9"/>
      </w:pPr>
      <w:r>
        <w:t>五、“少年硅谷”智能教室项目</w:t>
      </w:r>
    </w:p>
    <w:p>
      <w:pPr>
        <w:pStyle w:val="9"/>
      </w:pPr>
      <w:r>
        <w:t>绩效目标：曹妃甸区“少年硅谷”智能项目是河北省唯一由中国关工委指导、中国下一代教育基金会联合省关工委实施的公益项目，“少年硅谷”创科教育活动中心的五年计划，前两年已建成六个智能教室，后三年至少再建15个智能教室，最后一年建成河北省首个创科教育活动中心。今年目标建成4个智能教室，并根据课程需求，完善已建成智能教室设备更新维护，确保按时保量完成任务。</w:t>
      </w:r>
    </w:p>
    <w:p>
      <w:pPr>
        <w:pStyle w:val="9"/>
      </w:pPr>
      <w:r>
        <w:t>绩效指标：按照中国关工委要求，签订2022年“少年硅谷”项目合作协议书，根据协议框架实施中国下一代教育基金会曹妃甸区“少年硅谷”公益项目，按要求配备智能教室所需专业设备及物品。</w:t>
      </w:r>
    </w:p>
    <w:p>
      <w:pPr>
        <w:pStyle w:val="9"/>
      </w:pPr>
    </w:p>
    <w:p>
      <w:pPr>
        <w:pStyle w:val="9"/>
      </w:pPr>
      <w:r>
        <w:t>六、老年大学经费</w:t>
      </w:r>
    </w:p>
    <w:p>
      <w:pPr>
        <w:pStyle w:val="9"/>
      </w:pPr>
      <w:r>
        <w:t>绩效目标：参照市老年大学办学标准，根据我区实际情况，改善老年大学基础设施，提高办学质量，满足广大老年人的上课需求和日益增长的精神文化需求。</w:t>
      </w:r>
    </w:p>
    <w:p>
      <w:pPr>
        <w:pStyle w:val="9"/>
      </w:pPr>
      <w:r>
        <w:t>绩效指标：丰富老年大学课程，在现有课程上，增设声乐、古筝等高标准教学班；开展第三课堂，组织各项专业比赛，文艺演出等活动，丰富学员生活。</w:t>
      </w:r>
    </w:p>
    <w:p>
      <w:pPr>
        <w:pStyle w:val="9"/>
      </w:pPr>
    </w:p>
    <w:p>
      <w:pPr>
        <w:pStyle w:val="9"/>
      </w:pPr>
      <w:r>
        <w:t>七、全区离退休干部交通费（代管）</w:t>
      </w:r>
    </w:p>
    <w:p>
      <w:pPr>
        <w:pStyle w:val="9"/>
      </w:pPr>
      <w:r>
        <w:t>绩效目标：根据相关文件，对全区离退休干部根据职务等级发放交通费。</w:t>
      </w:r>
    </w:p>
    <w:p>
      <w:pPr>
        <w:pStyle w:val="9"/>
      </w:pPr>
      <w:r>
        <w:t>绩效指标：根据相关文件，对全区离退休干部根据职务等级发放交通费。</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一、完善制度建设。善预算绩效管理制度、资金管理办法、工作保障制度等，为全年预算绩效目标的实现奠定制度基础。</w:t>
      </w:r>
    </w:p>
    <w:p>
      <w:pPr>
        <w:pStyle w:val="10"/>
      </w:pPr>
      <w:r>
        <w:t>二、加强支出管理。通过优化支出结构、编细编实预算、加快履行政府采购手续、尽快启动项目、及时支付资金，确保支出进度达标。</w:t>
      </w:r>
    </w:p>
    <w:p>
      <w:pPr>
        <w:pStyle w:val="10"/>
      </w:pPr>
      <w:r>
        <w:t>三、加强绩效运行监控。按要求开展绩效运行监控，发现问题及时采取措施，确保绩效目标如期保质实现。</w:t>
      </w:r>
    </w:p>
    <w:p>
      <w:pPr>
        <w:pStyle w:val="10"/>
      </w:pPr>
      <w:r>
        <w:t>四、做好绩效自评。按要求开展部门预算绩效自评和重点评价工作，对评价中发现的问题及时整改，调整优化支出结构，提高财政资金使用效益。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七、加强宣传最训调研等。加强人员培训，提高本部门职工业务素质，强化预算绩效管理意识，促进预算绩效管理水平进一步提升。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1.2022年“少年硅谷”智能教室项目绩效目标表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13020922P000542100010</w:t>
            </w:r>
          </w:p>
        </w:tc>
        <w:tc>
          <w:tcPr>
            <w:tcW w:w="1587" w:type="dxa"/>
            <w:vAlign w:val="center"/>
          </w:tcPr>
          <w:p>
            <w:pPr>
              <w:pStyle w:val="14"/>
            </w:pPr>
            <w:r>
              <w:t>项目名称</w:t>
            </w:r>
          </w:p>
        </w:tc>
        <w:tc>
          <w:tcPr>
            <w:tcW w:w="4422" w:type="dxa"/>
            <w:gridSpan w:val="3"/>
            <w:vAlign w:val="center"/>
          </w:tcPr>
          <w:p>
            <w:pPr>
              <w:pStyle w:val="13"/>
            </w:pPr>
            <w:r>
              <w:t>2022年“少年硅谷”智能教室项目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42.00</w:t>
            </w:r>
          </w:p>
        </w:tc>
        <w:tc>
          <w:tcPr>
            <w:tcW w:w="1587" w:type="dxa"/>
            <w:vAlign w:val="center"/>
          </w:tcPr>
          <w:p>
            <w:pPr>
              <w:pStyle w:val="14"/>
            </w:pPr>
            <w:r>
              <w:t>其中：财政    资金</w:t>
            </w:r>
          </w:p>
        </w:tc>
        <w:tc>
          <w:tcPr>
            <w:tcW w:w="1304" w:type="dxa"/>
            <w:vAlign w:val="center"/>
          </w:tcPr>
          <w:p>
            <w:pPr>
              <w:pStyle w:val="13"/>
            </w:pPr>
            <w:r>
              <w:t>42.00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2022年“少年硅谷”智能教室项目42万元，均为财政拨款，主要用于“少年硅谷”智能教室建设，如购置电脑教具等。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1.根据相关要求，保证2022年“少年硅谷”智能教室建设成功建立。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建立智能教室个数</w:t>
            </w:r>
          </w:p>
        </w:tc>
        <w:tc>
          <w:tcPr>
            <w:tcW w:w="2891" w:type="dxa"/>
            <w:vAlign w:val="center"/>
          </w:tcPr>
          <w:p>
            <w:pPr>
              <w:pStyle w:val="13"/>
            </w:pPr>
            <w:r>
              <w:t>10个</w:t>
            </w:r>
          </w:p>
        </w:tc>
        <w:tc>
          <w:tcPr>
            <w:tcW w:w="1276" w:type="dxa"/>
            <w:vAlign w:val="center"/>
          </w:tcPr>
          <w:p>
            <w:pPr>
              <w:pStyle w:val="13"/>
            </w:pPr>
            <w:r>
              <w:t>10个</w:t>
            </w:r>
          </w:p>
        </w:tc>
        <w:tc>
          <w:tcPr>
            <w:tcW w:w="1843" w:type="dxa"/>
            <w:vAlign w:val="center"/>
          </w:tcPr>
          <w:p>
            <w:pPr>
              <w:pStyle w:val="13"/>
            </w:pPr>
            <w:r>
              <w:t>根据国家关工委要求，结合近两年曹妃甸智能教室建设情况测算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“少年硅谷”智能教室建成率</w:t>
            </w:r>
          </w:p>
        </w:tc>
        <w:tc>
          <w:tcPr>
            <w:tcW w:w="2891" w:type="dxa"/>
            <w:vAlign w:val="center"/>
          </w:tcPr>
          <w:p>
            <w:pPr>
              <w:pStyle w:val="13"/>
            </w:pPr>
            <w:r>
              <w:t>“少年硅谷”智能教室建成率（%）</w:t>
            </w:r>
          </w:p>
        </w:tc>
        <w:tc>
          <w:tcPr>
            <w:tcW w:w="1276" w:type="dxa"/>
            <w:vAlign w:val="center"/>
          </w:tcPr>
          <w:p>
            <w:pPr>
              <w:pStyle w:val="13"/>
            </w:pPr>
            <w:r>
              <w:t>100%</w:t>
            </w:r>
          </w:p>
        </w:tc>
        <w:tc>
          <w:tcPr>
            <w:tcW w:w="1843" w:type="dxa"/>
            <w:vAlign w:val="center"/>
          </w:tcPr>
          <w:p>
            <w:pPr>
              <w:pStyle w:val="13"/>
            </w:pPr>
            <w:r>
              <w:t>根据近两年智能教室建设情况测算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“少年硅谷”智能教室建成时间</w:t>
            </w:r>
          </w:p>
        </w:tc>
        <w:tc>
          <w:tcPr>
            <w:tcW w:w="2891" w:type="dxa"/>
            <w:vAlign w:val="center"/>
          </w:tcPr>
          <w:p>
            <w:pPr>
              <w:pStyle w:val="13"/>
            </w:pPr>
            <w:r>
              <w:t>“少年硅谷”智能教室建成时间</w:t>
            </w:r>
          </w:p>
        </w:tc>
        <w:tc>
          <w:tcPr>
            <w:tcW w:w="1276" w:type="dxa"/>
            <w:vAlign w:val="center"/>
          </w:tcPr>
          <w:p>
            <w:pPr>
              <w:pStyle w:val="13"/>
            </w:pPr>
            <w:r>
              <w:t>2022年底</w:t>
            </w:r>
          </w:p>
        </w:tc>
        <w:tc>
          <w:tcPr>
            <w:tcW w:w="1843" w:type="dxa"/>
            <w:vAlign w:val="center"/>
          </w:tcPr>
          <w:p>
            <w:pPr>
              <w:pStyle w:val="13"/>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“少年硅谷”智能教室建设资金完成率</w:t>
            </w:r>
          </w:p>
        </w:tc>
        <w:tc>
          <w:tcPr>
            <w:tcW w:w="2891" w:type="dxa"/>
            <w:vAlign w:val="center"/>
          </w:tcPr>
          <w:p>
            <w:pPr>
              <w:pStyle w:val="13"/>
            </w:pPr>
            <w:r>
              <w:t>“少年硅谷”智能教室建设资金完成率</w:t>
            </w:r>
          </w:p>
        </w:tc>
        <w:tc>
          <w:tcPr>
            <w:tcW w:w="1276" w:type="dxa"/>
            <w:vAlign w:val="center"/>
          </w:tcPr>
          <w:p>
            <w:pPr>
              <w:pStyle w:val="13"/>
            </w:pPr>
            <w:r>
              <w:t>100%</w:t>
            </w:r>
          </w:p>
        </w:tc>
        <w:tc>
          <w:tcPr>
            <w:tcW w:w="1843" w:type="dxa"/>
            <w:vAlign w:val="center"/>
          </w:tcPr>
          <w:p>
            <w:pPr>
              <w:pStyle w:val="13"/>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“少年硅谷”智能教室建设情况</w:t>
            </w:r>
          </w:p>
        </w:tc>
        <w:tc>
          <w:tcPr>
            <w:tcW w:w="2891" w:type="dxa"/>
            <w:vAlign w:val="center"/>
          </w:tcPr>
          <w:p>
            <w:pPr>
              <w:pStyle w:val="13"/>
            </w:pPr>
            <w:r>
              <w:t>“少年硅谷”智能教室建设情况</w:t>
            </w:r>
          </w:p>
        </w:tc>
        <w:tc>
          <w:tcPr>
            <w:tcW w:w="1276" w:type="dxa"/>
            <w:vAlign w:val="center"/>
          </w:tcPr>
          <w:p>
            <w:pPr>
              <w:pStyle w:val="13"/>
            </w:pPr>
            <w:r>
              <w:t>100%</w:t>
            </w:r>
          </w:p>
        </w:tc>
        <w:tc>
          <w:tcPr>
            <w:tcW w:w="1843" w:type="dxa"/>
            <w:vAlign w:val="center"/>
          </w:tcPr>
          <w:p>
            <w:pPr>
              <w:pStyle w:val="13"/>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“少年硅谷”智能教室建设情况</w:t>
            </w:r>
          </w:p>
        </w:tc>
        <w:tc>
          <w:tcPr>
            <w:tcW w:w="2891" w:type="dxa"/>
            <w:vAlign w:val="center"/>
          </w:tcPr>
          <w:p>
            <w:pPr>
              <w:pStyle w:val="13"/>
            </w:pPr>
            <w:r>
              <w:t>“少年硅谷”智能教室建设情况</w:t>
            </w:r>
          </w:p>
        </w:tc>
        <w:tc>
          <w:tcPr>
            <w:tcW w:w="1276" w:type="dxa"/>
            <w:vAlign w:val="center"/>
          </w:tcPr>
          <w:p>
            <w:pPr>
              <w:pStyle w:val="13"/>
            </w:pPr>
            <w:r>
              <w:t>100%</w:t>
            </w:r>
          </w:p>
        </w:tc>
        <w:tc>
          <w:tcPr>
            <w:tcW w:w="1843" w:type="dxa"/>
            <w:vAlign w:val="center"/>
          </w:tcPr>
          <w:p>
            <w:pPr>
              <w:pStyle w:val="13"/>
            </w:pPr>
            <w:r>
              <w:t>按照年初工作计划安排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2.2022年关工委专项经费绩效目标表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13020922P00047010001J</w:t>
            </w:r>
          </w:p>
        </w:tc>
        <w:tc>
          <w:tcPr>
            <w:tcW w:w="1587" w:type="dxa"/>
            <w:vAlign w:val="center"/>
          </w:tcPr>
          <w:p>
            <w:pPr>
              <w:pStyle w:val="14"/>
            </w:pPr>
            <w:r>
              <w:t>项目名称</w:t>
            </w:r>
          </w:p>
        </w:tc>
        <w:tc>
          <w:tcPr>
            <w:tcW w:w="4422" w:type="dxa"/>
            <w:gridSpan w:val="3"/>
            <w:vAlign w:val="center"/>
          </w:tcPr>
          <w:p>
            <w:pPr>
              <w:pStyle w:val="13"/>
            </w:pPr>
            <w:r>
              <w:t>2022年关工委专项经费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37.00</w:t>
            </w:r>
          </w:p>
        </w:tc>
        <w:tc>
          <w:tcPr>
            <w:tcW w:w="1587" w:type="dxa"/>
            <w:vAlign w:val="center"/>
          </w:tcPr>
          <w:p>
            <w:pPr>
              <w:pStyle w:val="14"/>
            </w:pPr>
            <w:r>
              <w:t>其中：财政    资金</w:t>
            </w:r>
          </w:p>
        </w:tc>
        <w:tc>
          <w:tcPr>
            <w:tcW w:w="1304" w:type="dxa"/>
            <w:vAlign w:val="center"/>
          </w:tcPr>
          <w:p>
            <w:pPr>
              <w:pStyle w:val="13"/>
            </w:pPr>
            <w:r>
              <w:t>37.00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2022年关工委专项经费37万元，均为财政拨款，主要用于关心下一代工作委员会正常运转费用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1.关心下一代工作委员会正常运转、举办活动等费用。如全区中小学运动会、相关知识竞赛、困难学生补助、十佳母亲奖励等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计划2022年举办相关活动次数</w:t>
            </w:r>
          </w:p>
        </w:tc>
        <w:tc>
          <w:tcPr>
            <w:tcW w:w="2891" w:type="dxa"/>
            <w:vAlign w:val="center"/>
          </w:tcPr>
          <w:p>
            <w:pPr>
              <w:pStyle w:val="13"/>
            </w:pPr>
            <w:r>
              <w:t>计划2022年举办相关活动次数</w:t>
            </w:r>
          </w:p>
        </w:tc>
        <w:tc>
          <w:tcPr>
            <w:tcW w:w="1276" w:type="dxa"/>
            <w:vAlign w:val="center"/>
          </w:tcPr>
          <w:p>
            <w:pPr>
              <w:pStyle w:val="13"/>
            </w:pPr>
            <w:r>
              <w:t>5次</w:t>
            </w:r>
          </w:p>
        </w:tc>
        <w:tc>
          <w:tcPr>
            <w:tcW w:w="1843" w:type="dxa"/>
            <w:vAlign w:val="center"/>
          </w:tcPr>
          <w:p>
            <w:pPr>
              <w:pStyle w:val="13"/>
            </w:pPr>
            <w:r>
              <w:t>根据关工委职能，及近几年实际工作情况测算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计划2022年举办相关活动完成率</w:t>
            </w:r>
          </w:p>
        </w:tc>
        <w:tc>
          <w:tcPr>
            <w:tcW w:w="2891" w:type="dxa"/>
            <w:vAlign w:val="center"/>
          </w:tcPr>
          <w:p>
            <w:pPr>
              <w:pStyle w:val="13"/>
            </w:pPr>
            <w:r>
              <w:t>计划2022年举办相关活动完成率</w:t>
            </w:r>
          </w:p>
        </w:tc>
        <w:tc>
          <w:tcPr>
            <w:tcW w:w="1276" w:type="dxa"/>
            <w:vAlign w:val="center"/>
          </w:tcPr>
          <w:p>
            <w:pPr>
              <w:pStyle w:val="13"/>
            </w:pPr>
            <w:r>
              <w:t>100%</w:t>
            </w:r>
          </w:p>
        </w:tc>
        <w:tc>
          <w:tcPr>
            <w:tcW w:w="1843" w:type="dxa"/>
            <w:vAlign w:val="center"/>
          </w:tcPr>
          <w:p>
            <w:pPr>
              <w:pStyle w:val="13"/>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计划2022年举办相关活动完成时间</w:t>
            </w:r>
          </w:p>
        </w:tc>
        <w:tc>
          <w:tcPr>
            <w:tcW w:w="2891" w:type="dxa"/>
            <w:vAlign w:val="center"/>
          </w:tcPr>
          <w:p>
            <w:pPr>
              <w:pStyle w:val="13"/>
            </w:pPr>
            <w:r>
              <w:t>计划2022年举办相关活动完成时间</w:t>
            </w:r>
          </w:p>
        </w:tc>
        <w:tc>
          <w:tcPr>
            <w:tcW w:w="1276" w:type="dxa"/>
            <w:vAlign w:val="center"/>
          </w:tcPr>
          <w:p>
            <w:pPr>
              <w:pStyle w:val="13"/>
            </w:pPr>
            <w:r>
              <w:t>2022年底</w:t>
            </w:r>
          </w:p>
        </w:tc>
        <w:tc>
          <w:tcPr>
            <w:tcW w:w="1843" w:type="dxa"/>
            <w:vAlign w:val="center"/>
          </w:tcPr>
          <w:p>
            <w:pPr>
              <w:pStyle w:val="13"/>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2022年关工委专项经费支出完成率</w:t>
            </w:r>
          </w:p>
        </w:tc>
        <w:tc>
          <w:tcPr>
            <w:tcW w:w="2891" w:type="dxa"/>
            <w:vAlign w:val="center"/>
          </w:tcPr>
          <w:p>
            <w:pPr>
              <w:pStyle w:val="13"/>
            </w:pPr>
            <w:r>
              <w:t>2022年关工委专项经费支出完成率</w:t>
            </w:r>
          </w:p>
        </w:tc>
        <w:tc>
          <w:tcPr>
            <w:tcW w:w="1276" w:type="dxa"/>
            <w:vAlign w:val="center"/>
          </w:tcPr>
          <w:p>
            <w:pPr>
              <w:pStyle w:val="13"/>
            </w:pPr>
            <w:r>
              <w:t>95%</w:t>
            </w:r>
          </w:p>
        </w:tc>
        <w:tc>
          <w:tcPr>
            <w:tcW w:w="1843" w:type="dxa"/>
            <w:vAlign w:val="center"/>
          </w:tcPr>
          <w:p>
            <w:pPr>
              <w:pStyle w:val="13"/>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计划2022年举办相关活动完成情况</w:t>
            </w:r>
          </w:p>
        </w:tc>
        <w:tc>
          <w:tcPr>
            <w:tcW w:w="2891" w:type="dxa"/>
            <w:vAlign w:val="center"/>
          </w:tcPr>
          <w:p>
            <w:pPr>
              <w:pStyle w:val="13"/>
            </w:pPr>
            <w:r>
              <w:t>计划2022年举办相关活动完成情况</w:t>
            </w:r>
          </w:p>
        </w:tc>
        <w:tc>
          <w:tcPr>
            <w:tcW w:w="1276" w:type="dxa"/>
            <w:vAlign w:val="center"/>
          </w:tcPr>
          <w:p>
            <w:pPr>
              <w:pStyle w:val="13"/>
            </w:pPr>
            <w:r>
              <w:t>100%</w:t>
            </w:r>
          </w:p>
        </w:tc>
        <w:tc>
          <w:tcPr>
            <w:tcW w:w="1843" w:type="dxa"/>
            <w:vAlign w:val="center"/>
          </w:tcPr>
          <w:p>
            <w:pPr>
              <w:pStyle w:val="13"/>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全区中小学生及相关单位满意程度</w:t>
            </w:r>
          </w:p>
        </w:tc>
        <w:tc>
          <w:tcPr>
            <w:tcW w:w="2891" w:type="dxa"/>
            <w:vAlign w:val="center"/>
          </w:tcPr>
          <w:p>
            <w:pPr>
              <w:pStyle w:val="13"/>
            </w:pPr>
            <w:r>
              <w:t>全区中小学生及相关单位满意程度</w:t>
            </w:r>
          </w:p>
        </w:tc>
        <w:tc>
          <w:tcPr>
            <w:tcW w:w="1276" w:type="dxa"/>
            <w:vAlign w:val="center"/>
          </w:tcPr>
          <w:p>
            <w:pPr>
              <w:pStyle w:val="13"/>
            </w:pPr>
            <w:r>
              <w:t>98%</w:t>
            </w:r>
          </w:p>
        </w:tc>
        <w:tc>
          <w:tcPr>
            <w:tcW w:w="1843" w:type="dxa"/>
            <w:vAlign w:val="center"/>
          </w:tcPr>
          <w:p>
            <w:pPr>
              <w:pStyle w:val="13"/>
            </w:pPr>
            <w:r>
              <w:t>根据全区中小学生及相关单位满意反馈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3.2022年老干部活动中心（老年大学）大楼日常维护绩效目标表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13020922P00053810001T</w:t>
            </w:r>
          </w:p>
        </w:tc>
        <w:tc>
          <w:tcPr>
            <w:tcW w:w="1587" w:type="dxa"/>
            <w:vAlign w:val="center"/>
          </w:tcPr>
          <w:p>
            <w:pPr>
              <w:pStyle w:val="14"/>
            </w:pPr>
            <w:r>
              <w:t>项目名称</w:t>
            </w:r>
          </w:p>
        </w:tc>
        <w:tc>
          <w:tcPr>
            <w:tcW w:w="4422" w:type="dxa"/>
            <w:gridSpan w:val="3"/>
            <w:vAlign w:val="center"/>
          </w:tcPr>
          <w:p>
            <w:pPr>
              <w:pStyle w:val="13"/>
            </w:pPr>
            <w:r>
              <w:t>2022年老干部活动中心（老年大学）大楼日常维护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31.16</w:t>
            </w:r>
          </w:p>
        </w:tc>
        <w:tc>
          <w:tcPr>
            <w:tcW w:w="1587" w:type="dxa"/>
            <w:vAlign w:val="center"/>
          </w:tcPr>
          <w:p>
            <w:pPr>
              <w:pStyle w:val="14"/>
            </w:pPr>
            <w:r>
              <w:t>其中：财政    资金</w:t>
            </w:r>
          </w:p>
        </w:tc>
        <w:tc>
          <w:tcPr>
            <w:tcW w:w="1304" w:type="dxa"/>
            <w:vAlign w:val="center"/>
          </w:tcPr>
          <w:p>
            <w:pPr>
              <w:pStyle w:val="13"/>
            </w:pPr>
            <w:r>
              <w:t>31.16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2022年老干部活动中心（老年大学）大楼日常维护31.158万元，均是财政拨款，主要用于活动中心大楼的日常维护，如水费、物业费等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1.保证活动中心大楼正常运转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资金支出完成率（%）</w:t>
            </w:r>
          </w:p>
        </w:tc>
        <w:tc>
          <w:tcPr>
            <w:tcW w:w="2891" w:type="dxa"/>
            <w:vAlign w:val="center"/>
          </w:tcPr>
          <w:p>
            <w:pPr>
              <w:pStyle w:val="13"/>
            </w:pPr>
            <w:r>
              <w:t>资金支出完成率（%）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修缮建筑面积</w:t>
            </w:r>
          </w:p>
        </w:tc>
        <w:tc>
          <w:tcPr>
            <w:tcW w:w="2891" w:type="dxa"/>
            <w:vAlign w:val="center"/>
          </w:tcPr>
          <w:p>
            <w:pPr>
              <w:pStyle w:val="13"/>
            </w:pPr>
            <w:r>
              <w:t>8571平方米</w:t>
            </w:r>
          </w:p>
        </w:tc>
        <w:tc>
          <w:tcPr>
            <w:tcW w:w="1276" w:type="dxa"/>
            <w:vAlign w:val="center"/>
          </w:tcPr>
          <w:p>
            <w:pPr>
              <w:pStyle w:val="13"/>
            </w:pPr>
            <w:r>
              <w:t>8571平方米</w:t>
            </w:r>
          </w:p>
        </w:tc>
        <w:tc>
          <w:tcPr>
            <w:tcW w:w="1843" w:type="dxa"/>
            <w:vAlign w:val="center"/>
          </w:tcPr>
          <w:p>
            <w:pPr>
              <w:pStyle w:val="13"/>
            </w:pPr>
            <w:r>
              <w:t>根据近几年大楼的实际情况安排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老干部活动中心（老年大学）维修维护完成时间</w:t>
            </w:r>
          </w:p>
        </w:tc>
        <w:tc>
          <w:tcPr>
            <w:tcW w:w="2891" w:type="dxa"/>
            <w:vAlign w:val="center"/>
          </w:tcPr>
          <w:p>
            <w:pPr>
              <w:pStyle w:val="13"/>
            </w:pPr>
            <w:r>
              <w:t>老干部活动中心（老年大学）维修维护完成时间</w:t>
            </w:r>
          </w:p>
        </w:tc>
        <w:tc>
          <w:tcPr>
            <w:tcW w:w="1276" w:type="dxa"/>
            <w:vAlign w:val="center"/>
          </w:tcPr>
          <w:p>
            <w:pPr>
              <w:pStyle w:val="13"/>
            </w:pPr>
            <w:r>
              <w:t>2022年底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老干部活动中心（老年大学）维修维护完成率</w:t>
            </w:r>
          </w:p>
        </w:tc>
        <w:tc>
          <w:tcPr>
            <w:tcW w:w="2891" w:type="dxa"/>
            <w:vAlign w:val="center"/>
          </w:tcPr>
          <w:p>
            <w:pPr>
              <w:pStyle w:val="13"/>
            </w:pPr>
            <w:r>
              <w:t>老干部活动中心（老年大学）维修维护完成率</w:t>
            </w:r>
          </w:p>
        </w:tc>
        <w:tc>
          <w:tcPr>
            <w:tcW w:w="1276" w:type="dxa"/>
            <w:vAlign w:val="center"/>
          </w:tcPr>
          <w:p>
            <w:pPr>
              <w:pStyle w:val="13"/>
            </w:pPr>
            <w:r>
              <w:t>95%</w:t>
            </w:r>
          </w:p>
        </w:tc>
        <w:tc>
          <w:tcPr>
            <w:tcW w:w="1843" w:type="dxa"/>
            <w:vAlign w:val="center"/>
          </w:tcPr>
          <w:p>
            <w:pPr>
              <w:pStyle w:val="13"/>
            </w:pPr>
            <w:r>
              <w:t>根据老干部局职能，服务全区离退休老干部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老干部活动中心（老年大学）维修维护情况</w:t>
            </w:r>
          </w:p>
        </w:tc>
        <w:tc>
          <w:tcPr>
            <w:tcW w:w="2891" w:type="dxa"/>
            <w:vAlign w:val="center"/>
          </w:tcPr>
          <w:p>
            <w:pPr>
              <w:pStyle w:val="13"/>
            </w:pPr>
            <w:r>
              <w:t>老干部活动中心（老年大学）维修维护情况</w:t>
            </w:r>
          </w:p>
        </w:tc>
        <w:tc>
          <w:tcPr>
            <w:tcW w:w="1276" w:type="dxa"/>
            <w:vAlign w:val="center"/>
          </w:tcPr>
          <w:p>
            <w:pPr>
              <w:pStyle w:val="13"/>
            </w:pPr>
            <w:r>
              <w:t>95%</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离退休老干部日常活动及老年大学学员满意度</w:t>
            </w:r>
          </w:p>
        </w:tc>
        <w:tc>
          <w:tcPr>
            <w:tcW w:w="2891" w:type="dxa"/>
            <w:vAlign w:val="center"/>
          </w:tcPr>
          <w:p>
            <w:pPr>
              <w:pStyle w:val="13"/>
            </w:pPr>
            <w:r>
              <w:t>离退休老干部日常活动及老年大学学员满意度</w:t>
            </w:r>
          </w:p>
        </w:tc>
        <w:tc>
          <w:tcPr>
            <w:tcW w:w="1276" w:type="dxa"/>
            <w:vAlign w:val="center"/>
          </w:tcPr>
          <w:p>
            <w:pPr>
              <w:pStyle w:val="13"/>
            </w:pPr>
            <w:r>
              <w:t>98%</w:t>
            </w:r>
          </w:p>
        </w:tc>
        <w:tc>
          <w:tcPr>
            <w:tcW w:w="1843" w:type="dxa"/>
            <w:vAlign w:val="center"/>
          </w:tcPr>
          <w:p>
            <w:pPr>
              <w:pStyle w:val="13"/>
            </w:pPr>
            <w:r>
              <w:t>根据离退休老干部日常活动及老年大学学员满意度反馈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4.2022年老干部活动中心经费绩效目标表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13020922P00052510001J</w:t>
            </w:r>
          </w:p>
        </w:tc>
        <w:tc>
          <w:tcPr>
            <w:tcW w:w="1587" w:type="dxa"/>
            <w:vAlign w:val="center"/>
          </w:tcPr>
          <w:p>
            <w:pPr>
              <w:pStyle w:val="14"/>
            </w:pPr>
            <w:r>
              <w:t>项目名称</w:t>
            </w:r>
          </w:p>
        </w:tc>
        <w:tc>
          <w:tcPr>
            <w:tcW w:w="4422" w:type="dxa"/>
            <w:gridSpan w:val="3"/>
            <w:vAlign w:val="center"/>
          </w:tcPr>
          <w:p>
            <w:pPr>
              <w:pStyle w:val="13"/>
            </w:pPr>
            <w:r>
              <w:t>2022年老干部活动中心经费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94.70</w:t>
            </w:r>
          </w:p>
        </w:tc>
        <w:tc>
          <w:tcPr>
            <w:tcW w:w="1587" w:type="dxa"/>
            <w:vAlign w:val="center"/>
          </w:tcPr>
          <w:p>
            <w:pPr>
              <w:pStyle w:val="14"/>
            </w:pPr>
            <w:r>
              <w:t>其中：财政    资金</w:t>
            </w:r>
          </w:p>
        </w:tc>
        <w:tc>
          <w:tcPr>
            <w:tcW w:w="1304" w:type="dxa"/>
            <w:vAlign w:val="center"/>
          </w:tcPr>
          <w:p>
            <w:pPr>
              <w:pStyle w:val="13"/>
            </w:pPr>
            <w:r>
              <w:t>94.70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2022年老干部活动中心经费94.7万元，均是财政拨款，主要用于活动中心日常举办活动，老年大学正常开班教学等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1.保证活动中心举办相关活动，如眼科义诊、歌唱比赛、诗歌比赛等；保证老年大学正常开班教学，如瑜伽班、钢琴版、舞蹈班等；保证老年人图书馆正常开馆等。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全区离退休老干部人数</w:t>
            </w:r>
          </w:p>
        </w:tc>
        <w:tc>
          <w:tcPr>
            <w:tcW w:w="2891" w:type="dxa"/>
            <w:vAlign w:val="center"/>
          </w:tcPr>
          <w:p>
            <w:pPr>
              <w:pStyle w:val="13"/>
            </w:pPr>
            <w:r>
              <w:t>全区离退休老干部人数</w:t>
            </w:r>
          </w:p>
        </w:tc>
        <w:tc>
          <w:tcPr>
            <w:tcW w:w="1276" w:type="dxa"/>
            <w:vAlign w:val="center"/>
          </w:tcPr>
          <w:p>
            <w:pPr>
              <w:pStyle w:val="13"/>
            </w:pPr>
            <w:r>
              <w:t>3000人</w:t>
            </w:r>
          </w:p>
        </w:tc>
        <w:tc>
          <w:tcPr>
            <w:tcW w:w="1843" w:type="dxa"/>
            <w:vAlign w:val="center"/>
          </w:tcPr>
          <w:p>
            <w:pPr>
              <w:pStyle w:val="13"/>
            </w:pPr>
            <w:r>
              <w:t>根据近几年退休老干情况测算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老干部日常活动组织及相关场所维修维护完成率</w:t>
            </w:r>
          </w:p>
        </w:tc>
        <w:tc>
          <w:tcPr>
            <w:tcW w:w="2891" w:type="dxa"/>
            <w:vAlign w:val="center"/>
          </w:tcPr>
          <w:p>
            <w:pPr>
              <w:pStyle w:val="13"/>
            </w:pPr>
            <w:r>
              <w:t>老干部日常活动组织及相关场所维修维护完成率</w:t>
            </w:r>
          </w:p>
        </w:tc>
        <w:tc>
          <w:tcPr>
            <w:tcW w:w="1276" w:type="dxa"/>
            <w:vAlign w:val="center"/>
          </w:tcPr>
          <w:p>
            <w:pPr>
              <w:pStyle w:val="13"/>
            </w:pPr>
            <w:r>
              <w:t>95%</w:t>
            </w:r>
          </w:p>
        </w:tc>
        <w:tc>
          <w:tcPr>
            <w:tcW w:w="1843" w:type="dxa"/>
            <w:vAlign w:val="center"/>
          </w:tcPr>
          <w:p>
            <w:pPr>
              <w:pStyle w:val="13"/>
            </w:pPr>
            <w:r>
              <w:t>根据近几年老干部人数及相关场所实际情况测算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老干部日常活动组织及相关场所维修维护完成时间</w:t>
            </w:r>
          </w:p>
        </w:tc>
        <w:tc>
          <w:tcPr>
            <w:tcW w:w="2891" w:type="dxa"/>
            <w:vAlign w:val="center"/>
          </w:tcPr>
          <w:p>
            <w:pPr>
              <w:pStyle w:val="13"/>
            </w:pPr>
            <w:r>
              <w:t>老干部日常活动组织及相关场所维修维护完成时间</w:t>
            </w:r>
          </w:p>
        </w:tc>
        <w:tc>
          <w:tcPr>
            <w:tcW w:w="1276" w:type="dxa"/>
            <w:vAlign w:val="center"/>
          </w:tcPr>
          <w:p>
            <w:pPr>
              <w:pStyle w:val="13"/>
            </w:pPr>
            <w:r>
              <w:t>2022年底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2022年老干部活动中心经费支出完成率</w:t>
            </w:r>
          </w:p>
        </w:tc>
        <w:tc>
          <w:tcPr>
            <w:tcW w:w="2891" w:type="dxa"/>
            <w:vAlign w:val="center"/>
          </w:tcPr>
          <w:p>
            <w:pPr>
              <w:pStyle w:val="13"/>
            </w:pPr>
            <w:r>
              <w:t>2022年老干部活动中心经费支出完成率</w:t>
            </w:r>
          </w:p>
        </w:tc>
        <w:tc>
          <w:tcPr>
            <w:tcW w:w="1276" w:type="dxa"/>
            <w:vAlign w:val="center"/>
          </w:tcPr>
          <w:p>
            <w:pPr>
              <w:pStyle w:val="13"/>
            </w:pPr>
            <w:r>
              <w:t>95%</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老干部日常活动组织及相关场所维修维护完成情况</w:t>
            </w:r>
          </w:p>
          <w:p>
            <w:pPr>
              <w:pStyle w:val="13"/>
            </w:pPr>
          </w:p>
        </w:tc>
        <w:tc>
          <w:tcPr>
            <w:tcW w:w="2891" w:type="dxa"/>
            <w:vAlign w:val="center"/>
          </w:tcPr>
          <w:p>
            <w:pPr>
              <w:pStyle w:val="13"/>
            </w:pPr>
            <w:r>
              <w:t>老干部日常活动组织及相关场所维修维护完成情况</w:t>
            </w:r>
          </w:p>
          <w:p>
            <w:pPr>
              <w:pStyle w:val="13"/>
            </w:pPr>
          </w:p>
        </w:tc>
        <w:tc>
          <w:tcPr>
            <w:tcW w:w="1276" w:type="dxa"/>
            <w:vAlign w:val="center"/>
          </w:tcPr>
          <w:p>
            <w:pPr>
              <w:pStyle w:val="13"/>
            </w:pPr>
            <w:r>
              <w:t>95%</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广大离退休干部满意</w:t>
            </w:r>
          </w:p>
        </w:tc>
        <w:tc>
          <w:tcPr>
            <w:tcW w:w="2891" w:type="dxa"/>
            <w:vAlign w:val="center"/>
          </w:tcPr>
          <w:p>
            <w:pPr>
              <w:pStyle w:val="13"/>
            </w:pPr>
            <w:r>
              <w:t>广大离退休干部满意</w:t>
            </w:r>
          </w:p>
        </w:tc>
        <w:tc>
          <w:tcPr>
            <w:tcW w:w="1276" w:type="dxa"/>
            <w:vAlign w:val="center"/>
          </w:tcPr>
          <w:p>
            <w:pPr>
              <w:pStyle w:val="13"/>
            </w:pPr>
            <w:r>
              <w:t>98%</w:t>
            </w:r>
          </w:p>
        </w:tc>
        <w:tc>
          <w:tcPr>
            <w:tcW w:w="1843" w:type="dxa"/>
            <w:vAlign w:val="center"/>
          </w:tcPr>
          <w:p>
            <w:pPr>
              <w:pStyle w:val="13"/>
            </w:pPr>
            <w:r>
              <w:t>根据广大离退休干部满意度反馈</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5.2022年老干部经费绩效目标表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13020922P00053510001R</w:t>
            </w:r>
          </w:p>
        </w:tc>
        <w:tc>
          <w:tcPr>
            <w:tcW w:w="1587" w:type="dxa"/>
            <w:vAlign w:val="center"/>
          </w:tcPr>
          <w:p>
            <w:pPr>
              <w:pStyle w:val="14"/>
            </w:pPr>
            <w:r>
              <w:t>项目名称</w:t>
            </w:r>
          </w:p>
        </w:tc>
        <w:tc>
          <w:tcPr>
            <w:tcW w:w="4422" w:type="dxa"/>
            <w:gridSpan w:val="3"/>
            <w:vAlign w:val="center"/>
          </w:tcPr>
          <w:p>
            <w:pPr>
              <w:pStyle w:val="13"/>
            </w:pPr>
            <w:r>
              <w:t>2022年老干部经费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733.64</w:t>
            </w:r>
          </w:p>
        </w:tc>
        <w:tc>
          <w:tcPr>
            <w:tcW w:w="1587" w:type="dxa"/>
            <w:vAlign w:val="center"/>
          </w:tcPr>
          <w:p>
            <w:pPr>
              <w:pStyle w:val="14"/>
            </w:pPr>
            <w:r>
              <w:t>其中：财政    资金</w:t>
            </w:r>
          </w:p>
        </w:tc>
        <w:tc>
          <w:tcPr>
            <w:tcW w:w="1304" w:type="dxa"/>
            <w:vAlign w:val="center"/>
          </w:tcPr>
          <w:p>
            <w:pPr>
              <w:pStyle w:val="13"/>
            </w:pPr>
            <w:r>
              <w:t>733.64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老干部经费733.642万元，均为财政拨款，主要用于全区离退休老干部体检、全区离退休老干部运动会、春节慰问老干部、副县级及以上领导三节慰问、破产企业离休干部公用经费特需费、离休干部遗属生活费、特困补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1.完成全区离退休老干部体检、全区离退休老干部运动会、春节慰问老干部、副县级及以上领导三节慰问等相关工作；按时发放破产企业离休干部公用经费特需费、离休干部遗属生活费、特困补助等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全区离退休老干部人数</w:t>
            </w:r>
          </w:p>
        </w:tc>
        <w:tc>
          <w:tcPr>
            <w:tcW w:w="2891" w:type="dxa"/>
            <w:vAlign w:val="center"/>
          </w:tcPr>
          <w:p>
            <w:pPr>
              <w:pStyle w:val="13"/>
            </w:pPr>
            <w:r>
              <w:t>全区离退休老干部人数</w:t>
            </w:r>
          </w:p>
        </w:tc>
        <w:tc>
          <w:tcPr>
            <w:tcW w:w="1276" w:type="dxa"/>
            <w:vAlign w:val="center"/>
          </w:tcPr>
          <w:p>
            <w:pPr>
              <w:pStyle w:val="13"/>
            </w:pPr>
            <w:r>
              <w:t>3000人次</w:t>
            </w:r>
          </w:p>
        </w:tc>
        <w:tc>
          <w:tcPr>
            <w:tcW w:w="1843" w:type="dxa"/>
            <w:vAlign w:val="center"/>
          </w:tcPr>
          <w:p>
            <w:pPr>
              <w:pStyle w:val="13"/>
            </w:pPr>
            <w:r>
              <w:t>根据近几年全区退休老干部情况测算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完成老干部体检、慰问等工作完成率</w:t>
            </w:r>
          </w:p>
        </w:tc>
        <w:tc>
          <w:tcPr>
            <w:tcW w:w="2891" w:type="dxa"/>
            <w:vAlign w:val="center"/>
          </w:tcPr>
          <w:p>
            <w:pPr>
              <w:pStyle w:val="13"/>
            </w:pPr>
            <w:r>
              <w:t>完成老干部体检、慰问等工作完成率</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全区老干部体检、慰问等工作完成时间</w:t>
            </w:r>
          </w:p>
        </w:tc>
        <w:tc>
          <w:tcPr>
            <w:tcW w:w="2891" w:type="dxa"/>
            <w:vAlign w:val="center"/>
          </w:tcPr>
          <w:p>
            <w:pPr>
              <w:pStyle w:val="13"/>
            </w:pPr>
            <w:r>
              <w:t>全区老干部体检、慰问等工作完成时间</w:t>
            </w:r>
          </w:p>
        </w:tc>
        <w:tc>
          <w:tcPr>
            <w:tcW w:w="1276" w:type="dxa"/>
            <w:vAlign w:val="center"/>
          </w:tcPr>
          <w:p>
            <w:pPr>
              <w:pStyle w:val="13"/>
            </w:pPr>
            <w:r>
              <w:t>2022年</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2022年老干部经费支出完成率</w:t>
            </w:r>
          </w:p>
        </w:tc>
        <w:tc>
          <w:tcPr>
            <w:tcW w:w="2891" w:type="dxa"/>
            <w:vAlign w:val="center"/>
          </w:tcPr>
          <w:p>
            <w:pPr>
              <w:pStyle w:val="13"/>
            </w:pPr>
            <w:r>
              <w:t>2022年老干部经费支出完成率</w:t>
            </w:r>
          </w:p>
        </w:tc>
        <w:tc>
          <w:tcPr>
            <w:tcW w:w="1276" w:type="dxa"/>
            <w:vAlign w:val="center"/>
          </w:tcPr>
          <w:p>
            <w:pPr>
              <w:pStyle w:val="13"/>
            </w:pPr>
            <w:r>
              <w:t>95%</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2022年老干部经费支出完成情况</w:t>
            </w:r>
          </w:p>
        </w:tc>
        <w:tc>
          <w:tcPr>
            <w:tcW w:w="2891" w:type="dxa"/>
            <w:vAlign w:val="center"/>
          </w:tcPr>
          <w:p>
            <w:pPr>
              <w:pStyle w:val="13"/>
            </w:pPr>
            <w:r>
              <w:t>2022年老干部经费支出完成情况</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广大老干部满意</w:t>
            </w:r>
          </w:p>
        </w:tc>
        <w:tc>
          <w:tcPr>
            <w:tcW w:w="2891" w:type="dxa"/>
            <w:vAlign w:val="center"/>
          </w:tcPr>
          <w:p>
            <w:pPr>
              <w:pStyle w:val="13"/>
            </w:pPr>
            <w:r>
              <w:t>广大老干部满意</w:t>
            </w:r>
          </w:p>
        </w:tc>
        <w:tc>
          <w:tcPr>
            <w:tcW w:w="1276" w:type="dxa"/>
            <w:vAlign w:val="center"/>
          </w:tcPr>
          <w:p>
            <w:pPr>
              <w:pStyle w:val="13"/>
            </w:pPr>
            <w:r>
              <w:t>98%</w:t>
            </w:r>
          </w:p>
        </w:tc>
        <w:tc>
          <w:tcPr>
            <w:tcW w:w="1843" w:type="dxa"/>
            <w:vAlign w:val="center"/>
          </w:tcPr>
          <w:p>
            <w:pPr>
              <w:pStyle w:val="13"/>
            </w:pPr>
            <w:r>
              <w:t>根据广大老干部满意度反馈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6.2022年老年大学经费绩效目标表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13020922P00054310001M</w:t>
            </w:r>
          </w:p>
        </w:tc>
        <w:tc>
          <w:tcPr>
            <w:tcW w:w="1587" w:type="dxa"/>
            <w:vAlign w:val="center"/>
          </w:tcPr>
          <w:p>
            <w:pPr>
              <w:pStyle w:val="14"/>
            </w:pPr>
            <w:r>
              <w:t>项目名称</w:t>
            </w:r>
          </w:p>
        </w:tc>
        <w:tc>
          <w:tcPr>
            <w:tcW w:w="4422" w:type="dxa"/>
            <w:gridSpan w:val="3"/>
            <w:vAlign w:val="center"/>
          </w:tcPr>
          <w:p>
            <w:pPr>
              <w:pStyle w:val="13"/>
            </w:pPr>
            <w:r>
              <w:t>2022年老年大学经费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26.39</w:t>
            </w:r>
          </w:p>
        </w:tc>
        <w:tc>
          <w:tcPr>
            <w:tcW w:w="1587" w:type="dxa"/>
            <w:vAlign w:val="center"/>
          </w:tcPr>
          <w:p>
            <w:pPr>
              <w:pStyle w:val="14"/>
            </w:pPr>
            <w:r>
              <w:t>其中：财政    资金</w:t>
            </w:r>
          </w:p>
        </w:tc>
        <w:tc>
          <w:tcPr>
            <w:tcW w:w="1304" w:type="dxa"/>
            <w:vAlign w:val="center"/>
          </w:tcPr>
          <w:p>
            <w:pPr>
              <w:pStyle w:val="13"/>
            </w:pPr>
            <w:r>
              <w:t>26.39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2022年老年大学经费26.39万元，均为财政拨款，主要用于保证老年大学日常正常教学及举办活动，如教材教具购买，老师的课时费、教学成果汇报演出等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1.确保老年大学日常正常教学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老年大学2022年预计学员人数</w:t>
            </w:r>
          </w:p>
        </w:tc>
        <w:tc>
          <w:tcPr>
            <w:tcW w:w="2891" w:type="dxa"/>
            <w:vAlign w:val="center"/>
          </w:tcPr>
          <w:p>
            <w:pPr>
              <w:pStyle w:val="13"/>
            </w:pPr>
            <w:r>
              <w:t>老年大学2022年预计学员人数</w:t>
            </w:r>
          </w:p>
        </w:tc>
        <w:tc>
          <w:tcPr>
            <w:tcW w:w="1276" w:type="dxa"/>
            <w:vAlign w:val="center"/>
          </w:tcPr>
          <w:p>
            <w:pPr>
              <w:pStyle w:val="13"/>
            </w:pPr>
            <w:r>
              <w:t>234人</w:t>
            </w:r>
          </w:p>
        </w:tc>
        <w:tc>
          <w:tcPr>
            <w:tcW w:w="1843" w:type="dxa"/>
            <w:vAlign w:val="center"/>
          </w:tcPr>
          <w:p>
            <w:pPr>
              <w:pStyle w:val="13"/>
            </w:pPr>
            <w:r>
              <w:t>根据老年大学近几年招生情况测算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共开设8个专业，11个班级</w:t>
            </w:r>
          </w:p>
        </w:tc>
        <w:tc>
          <w:tcPr>
            <w:tcW w:w="2891" w:type="dxa"/>
            <w:vAlign w:val="center"/>
          </w:tcPr>
          <w:p>
            <w:pPr>
              <w:pStyle w:val="13"/>
            </w:pPr>
            <w:r>
              <w:t>共开设8个专业，11个班级</w:t>
            </w:r>
          </w:p>
        </w:tc>
        <w:tc>
          <w:tcPr>
            <w:tcW w:w="1276" w:type="dxa"/>
            <w:vAlign w:val="center"/>
          </w:tcPr>
          <w:p>
            <w:pPr>
              <w:pStyle w:val="13"/>
            </w:pPr>
            <w:r>
              <w:t>11个班级</w:t>
            </w:r>
          </w:p>
        </w:tc>
        <w:tc>
          <w:tcPr>
            <w:tcW w:w="1843" w:type="dxa"/>
            <w:vAlign w:val="center"/>
          </w:tcPr>
          <w:p>
            <w:pPr>
              <w:pStyle w:val="13"/>
            </w:pPr>
            <w:r>
              <w:t>根据老年大学近几年招生情况测算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正常情况下，老年大学按时开班</w:t>
            </w:r>
          </w:p>
        </w:tc>
        <w:tc>
          <w:tcPr>
            <w:tcW w:w="2891" w:type="dxa"/>
            <w:vAlign w:val="center"/>
          </w:tcPr>
          <w:p>
            <w:pPr>
              <w:pStyle w:val="13"/>
            </w:pPr>
            <w:r>
              <w:t>正常情况下，老年大学按时开学</w:t>
            </w:r>
          </w:p>
        </w:tc>
        <w:tc>
          <w:tcPr>
            <w:tcW w:w="1276" w:type="dxa"/>
            <w:vAlign w:val="center"/>
          </w:tcPr>
          <w:p>
            <w:pPr>
              <w:pStyle w:val="13"/>
            </w:pPr>
            <w:r>
              <w:t>2022年</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2022年老年大学资金完成率</w:t>
            </w:r>
          </w:p>
        </w:tc>
        <w:tc>
          <w:tcPr>
            <w:tcW w:w="2891" w:type="dxa"/>
            <w:vAlign w:val="center"/>
          </w:tcPr>
          <w:p>
            <w:pPr>
              <w:pStyle w:val="13"/>
            </w:pPr>
            <w:r>
              <w:t>2022年老年大学资金完成率</w:t>
            </w:r>
          </w:p>
        </w:tc>
        <w:tc>
          <w:tcPr>
            <w:tcW w:w="1276" w:type="dxa"/>
            <w:vAlign w:val="center"/>
          </w:tcPr>
          <w:p>
            <w:pPr>
              <w:pStyle w:val="13"/>
            </w:pPr>
            <w:r>
              <w:t>95%</w:t>
            </w:r>
          </w:p>
        </w:tc>
        <w:tc>
          <w:tcPr>
            <w:tcW w:w="1843" w:type="dxa"/>
            <w:vAlign w:val="center"/>
          </w:tcPr>
          <w:p>
            <w:pPr>
              <w:pStyle w:val="13"/>
            </w:pPr>
            <w:r>
              <w:t>根据年初工作安排及招生情况测算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2022年老年大学正常开班教学完成情况</w:t>
            </w:r>
          </w:p>
        </w:tc>
        <w:tc>
          <w:tcPr>
            <w:tcW w:w="2891" w:type="dxa"/>
            <w:vAlign w:val="center"/>
          </w:tcPr>
          <w:p>
            <w:pPr>
              <w:pStyle w:val="13"/>
            </w:pPr>
            <w:r>
              <w:t>2022年老年大学正常开班教学完成情况</w:t>
            </w:r>
          </w:p>
        </w:tc>
        <w:tc>
          <w:tcPr>
            <w:tcW w:w="1276" w:type="dxa"/>
            <w:vAlign w:val="center"/>
          </w:tcPr>
          <w:p>
            <w:pPr>
              <w:pStyle w:val="13"/>
            </w:pPr>
            <w:r>
              <w:t>100%</w:t>
            </w:r>
          </w:p>
        </w:tc>
        <w:tc>
          <w:tcPr>
            <w:tcW w:w="1843" w:type="dxa"/>
            <w:vAlign w:val="center"/>
          </w:tcPr>
          <w:p>
            <w:pPr>
              <w:pStyle w:val="13"/>
            </w:pPr>
            <w:r>
              <w:t>根据年初工作安排及招生情况测算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广大学员及老师满意</w:t>
            </w:r>
          </w:p>
        </w:tc>
        <w:tc>
          <w:tcPr>
            <w:tcW w:w="2891" w:type="dxa"/>
            <w:vAlign w:val="center"/>
          </w:tcPr>
          <w:p>
            <w:pPr>
              <w:pStyle w:val="13"/>
            </w:pPr>
            <w:r>
              <w:t>广大学员及老师满意</w:t>
            </w:r>
          </w:p>
        </w:tc>
        <w:tc>
          <w:tcPr>
            <w:tcW w:w="1276" w:type="dxa"/>
            <w:vAlign w:val="center"/>
          </w:tcPr>
          <w:p>
            <w:pPr>
              <w:pStyle w:val="13"/>
            </w:pPr>
            <w:r>
              <w:t>100%</w:t>
            </w:r>
          </w:p>
        </w:tc>
        <w:tc>
          <w:tcPr>
            <w:tcW w:w="1843" w:type="dxa"/>
            <w:vAlign w:val="center"/>
          </w:tcPr>
          <w:p>
            <w:pPr>
              <w:pStyle w:val="13"/>
            </w:pPr>
            <w:r>
              <w:t>根据广大学员及老师满意反馈情况</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7.2022年全区离退休干部交通费（代管）绩效目标表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13020922P00056110001Q</w:t>
            </w:r>
          </w:p>
        </w:tc>
        <w:tc>
          <w:tcPr>
            <w:tcW w:w="1587" w:type="dxa"/>
            <w:vAlign w:val="center"/>
          </w:tcPr>
          <w:p>
            <w:pPr>
              <w:pStyle w:val="14"/>
            </w:pPr>
            <w:r>
              <w:t>项目名称</w:t>
            </w:r>
          </w:p>
        </w:tc>
        <w:tc>
          <w:tcPr>
            <w:tcW w:w="4422" w:type="dxa"/>
            <w:gridSpan w:val="3"/>
            <w:vAlign w:val="center"/>
          </w:tcPr>
          <w:p>
            <w:pPr>
              <w:pStyle w:val="13"/>
            </w:pPr>
            <w:r>
              <w:t>2022年全区离退休干部交通费（代管）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162.00</w:t>
            </w:r>
          </w:p>
        </w:tc>
        <w:tc>
          <w:tcPr>
            <w:tcW w:w="1587" w:type="dxa"/>
            <w:vAlign w:val="center"/>
          </w:tcPr>
          <w:p>
            <w:pPr>
              <w:pStyle w:val="14"/>
            </w:pPr>
            <w:r>
              <w:t>其中：财政    资金</w:t>
            </w:r>
          </w:p>
        </w:tc>
        <w:tc>
          <w:tcPr>
            <w:tcW w:w="1304" w:type="dxa"/>
            <w:vAlign w:val="center"/>
          </w:tcPr>
          <w:p>
            <w:pPr>
              <w:pStyle w:val="13"/>
            </w:pPr>
            <w:r>
              <w:t>162.00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2022年全区离退休干部交通费（代管）预算数为162万元，全部是财政拨款资金，主要用于全区离退休干部交通费的发放。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1.确保全区离退休干部交通费的发放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全区离退休干部</w:t>
            </w:r>
          </w:p>
        </w:tc>
        <w:tc>
          <w:tcPr>
            <w:tcW w:w="1276" w:type="dxa"/>
            <w:vAlign w:val="center"/>
          </w:tcPr>
          <w:p>
            <w:pPr>
              <w:pStyle w:val="13"/>
            </w:pPr>
            <w:r>
              <w:t>162万元</w:t>
            </w:r>
          </w:p>
        </w:tc>
        <w:tc>
          <w:tcPr>
            <w:tcW w:w="1843" w:type="dxa"/>
            <w:vAlign w:val="center"/>
          </w:tcPr>
          <w:p>
            <w:pPr>
              <w:pStyle w:val="13"/>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保证全区离退休干部交通费发放</w:t>
            </w:r>
          </w:p>
        </w:tc>
        <w:tc>
          <w:tcPr>
            <w:tcW w:w="1276" w:type="dxa"/>
            <w:vAlign w:val="center"/>
          </w:tcPr>
          <w:p>
            <w:pPr>
              <w:pStyle w:val="13"/>
            </w:pPr>
            <w:r>
              <w:t>162万元</w:t>
            </w:r>
          </w:p>
        </w:tc>
        <w:tc>
          <w:tcPr>
            <w:tcW w:w="1843" w:type="dxa"/>
            <w:vAlign w:val="center"/>
          </w:tcPr>
          <w:p>
            <w:pPr>
              <w:pStyle w:val="13"/>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服务的完成度</w:t>
            </w:r>
          </w:p>
        </w:tc>
        <w:tc>
          <w:tcPr>
            <w:tcW w:w="2891" w:type="dxa"/>
            <w:vAlign w:val="center"/>
          </w:tcPr>
          <w:p>
            <w:pPr>
              <w:pStyle w:val="13"/>
            </w:pPr>
            <w:r>
              <w:t>保证全区离退休干部交通费按时发放</w:t>
            </w:r>
          </w:p>
        </w:tc>
        <w:tc>
          <w:tcPr>
            <w:tcW w:w="1276" w:type="dxa"/>
            <w:vAlign w:val="center"/>
          </w:tcPr>
          <w:p>
            <w:pPr>
              <w:pStyle w:val="13"/>
            </w:pPr>
            <w:r>
              <w:t>162万元</w:t>
            </w:r>
          </w:p>
        </w:tc>
        <w:tc>
          <w:tcPr>
            <w:tcW w:w="1843" w:type="dxa"/>
            <w:vAlign w:val="center"/>
          </w:tcPr>
          <w:p>
            <w:pPr>
              <w:pStyle w:val="13"/>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保证全区离退休干部交通费发放</w:t>
            </w:r>
          </w:p>
        </w:tc>
        <w:tc>
          <w:tcPr>
            <w:tcW w:w="1276" w:type="dxa"/>
            <w:vAlign w:val="center"/>
          </w:tcPr>
          <w:p>
            <w:pPr>
              <w:pStyle w:val="13"/>
            </w:pPr>
            <w:r>
              <w:t>162万元</w:t>
            </w:r>
          </w:p>
        </w:tc>
        <w:tc>
          <w:tcPr>
            <w:tcW w:w="1843" w:type="dxa"/>
            <w:vAlign w:val="center"/>
          </w:tcPr>
          <w:p>
            <w:pPr>
              <w:pStyle w:val="13"/>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受益总人数</w:t>
            </w:r>
          </w:p>
        </w:tc>
        <w:tc>
          <w:tcPr>
            <w:tcW w:w="2891" w:type="dxa"/>
            <w:vAlign w:val="center"/>
          </w:tcPr>
          <w:p>
            <w:pPr>
              <w:pStyle w:val="13"/>
            </w:pPr>
            <w:r>
              <w:t>保证全区离退休干部交通费发放</w:t>
            </w:r>
          </w:p>
        </w:tc>
        <w:tc>
          <w:tcPr>
            <w:tcW w:w="1276" w:type="dxa"/>
            <w:vAlign w:val="center"/>
          </w:tcPr>
          <w:p>
            <w:pPr>
              <w:pStyle w:val="13"/>
            </w:pPr>
            <w:r>
              <w:t>162万元</w:t>
            </w:r>
          </w:p>
        </w:tc>
        <w:tc>
          <w:tcPr>
            <w:tcW w:w="1843" w:type="dxa"/>
            <w:vAlign w:val="center"/>
          </w:tcPr>
          <w:p>
            <w:pPr>
              <w:pStyle w:val="13"/>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全区离退休老干部满意</w:t>
            </w:r>
          </w:p>
        </w:tc>
        <w:tc>
          <w:tcPr>
            <w:tcW w:w="1276" w:type="dxa"/>
            <w:vAlign w:val="center"/>
          </w:tcPr>
          <w:p>
            <w:pPr>
              <w:pStyle w:val="13"/>
            </w:pPr>
            <w:r>
              <w:t>162万元</w:t>
            </w:r>
          </w:p>
        </w:tc>
        <w:tc>
          <w:tcPr>
            <w:tcW w:w="1843" w:type="dxa"/>
            <w:vAlign w:val="center"/>
          </w:tcPr>
          <w:p>
            <w:pPr>
              <w:pStyle w:val="13"/>
            </w:pPr>
            <w:r>
              <w:t>冀老字[2017]25号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99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2022-02-25T00:54:00Z</dcterms:created>
  <dc:creator>user</dc:creator>
  <cp:lastModifiedBy>user</cp:lastModifiedBy>
  <dcterms:modified xsi:type="dcterms:W3CDTF">2025-06-18T16:35:01Z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