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52"/>
          <w:szCs w:val="52"/>
        </w:rPr>
      </w:pPr>
      <w:bookmarkStart w:id="0" w:name="_GoBack"/>
      <w:bookmarkEnd w:id="0"/>
      <w:r>
        <w:rPr>
          <w:rFonts w:hint="eastAsia" w:ascii="Times New Roman" w:hAnsi="Times New Roman" w:eastAsia="方正小标宋_GBK" w:cs="Times New Roman"/>
          <w:sz w:val="52"/>
          <w:szCs w:val="52"/>
        </w:rPr>
        <w:t>中共唐山市曹妃甸区委党校</w:t>
      </w:r>
      <w:r>
        <w:rPr>
          <w:rFonts w:ascii="Times New Roman" w:hAnsi="Times New Roman" w:eastAsia="方正小标宋_GBK" w:cs="Times New Roman"/>
          <w:sz w:val="52"/>
          <w:szCs w:val="52"/>
        </w:rPr>
        <w:t>20</w:t>
      </w:r>
      <w:r>
        <w:rPr>
          <w:rFonts w:hint="eastAsia" w:ascii="Times New Roman" w:hAnsi="Times New Roman" w:eastAsia="方正小标宋_GBK" w:cs="Times New Roman"/>
          <w:sz w:val="52"/>
          <w:szCs w:val="52"/>
        </w:rPr>
        <w:t>23年部门预算信息公开</w:t>
      </w:r>
    </w:p>
    <w:p>
      <w:pPr>
        <w:jc w:val="center"/>
        <w:rPr>
          <w:rFonts w:ascii="Times New Roman" w:hAnsi="Times New Roman" w:eastAsia="方正小标宋_GBK" w:cs="Times New Roman"/>
          <w:sz w:val="52"/>
          <w:szCs w:val="52"/>
        </w:rPr>
      </w:pPr>
    </w:p>
    <w:p>
      <w:pPr>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按照《预算法》、《河北省预决算公开操作规程实施细则》规定，现将</w:t>
      </w:r>
      <w:r>
        <w:rPr>
          <w:rFonts w:cs="仿宋" w:asciiTheme="minorEastAsia" w:hAnsiTheme="minorEastAsia" w:eastAsiaTheme="minorEastAsia"/>
          <w:sz w:val="32"/>
          <w:szCs w:val="32"/>
        </w:rPr>
        <w:t>20</w:t>
      </w:r>
      <w:r>
        <w:rPr>
          <w:rFonts w:hint="eastAsia" w:cs="仿宋" w:asciiTheme="minorEastAsia" w:hAnsiTheme="minorEastAsia" w:eastAsiaTheme="minorEastAsia"/>
          <w:sz w:val="32"/>
          <w:szCs w:val="32"/>
        </w:rPr>
        <w:t>23年部门预算公开如下：</w:t>
      </w:r>
    </w:p>
    <w:p>
      <w:pPr>
        <w:numPr>
          <w:ilvl w:val="0"/>
          <w:numId w:val="1"/>
        </w:numPr>
        <w:ind w:firstLine="640"/>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部门职责及机构设置情况</w:t>
      </w:r>
    </w:p>
    <w:p>
      <w:pPr>
        <w:spacing w:line="600" w:lineRule="exact"/>
        <w:ind w:firstLine="643" w:firstLineChars="200"/>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 xml:space="preserve">   </w:t>
      </w:r>
      <w:r>
        <w:rPr>
          <w:rFonts w:hint="eastAsia" w:cs="Times New Roman" w:asciiTheme="minorEastAsia" w:hAnsiTheme="minorEastAsia" w:eastAsiaTheme="minorEastAsia"/>
          <w:b/>
          <w:sz w:val="32"/>
          <w:szCs w:val="32"/>
        </w:rPr>
        <w:t>部门职责：</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（一）发挥干部教育培训主渠道作用，有计划地培训乡科级领导干部、基层</w:t>
      </w:r>
      <w:r>
        <w:rPr>
          <w:rFonts w:hint="eastAsia" w:cs="仿宋" w:asciiTheme="minorEastAsia" w:hAnsiTheme="minorEastAsia" w:eastAsiaTheme="minorEastAsia"/>
          <w:sz w:val="32"/>
          <w:szCs w:val="32"/>
          <w:lang w:eastAsia="zh-CN"/>
        </w:rPr>
        <w:t>党支部书记</w:t>
      </w:r>
      <w:r>
        <w:rPr>
          <w:rFonts w:hint="eastAsia" w:cs="仿宋" w:asciiTheme="minorEastAsia" w:hAnsiTheme="minorEastAsia" w:eastAsiaTheme="minorEastAsia"/>
          <w:sz w:val="32"/>
          <w:szCs w:val="32"/>
        </w:rPr>
        <w:t>、优秀中青年干部、理论宣传骨干，负责对学员在培训期间的表现进行考核，提出考核意见。</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（三）开展重大理论问题和现实问题研究，承担区委决策咨询服务，发挥新型智库作用。</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（四）受区委委托，举办各类专题研讨班，结合曹妃甸区实际，研讨中央提出的重大理论、战略和方针政策问题，省委、市委、区委重要决策部署。</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（五）完成区委、区政府交办的其他任务。</w:t>
      </w:r>
    </w:p>
    <w:p>
      <w:pPr>
        <w:spacing w:line="560" w:lineRule="exact"/>
        <w:ind w:firstLine="640"/>
        <w:rPr>
          <w:rFonts w:ascii="宋体" w:hAnsi="宋体" w:cs="仿宋"/>
          <w:sz w:val="32"/>
          <w:szCs w:val="32"/>
        </w:rPr>
      </w:pPr>
    </w:p>
    <w:p>
      <w:pPr>
        <w:spacing w:line="560" w:lineRule="exact"/>
        <w:ind w:firstLine="640"/>
        <w:rPr>
          <w:rFonts w:ascii="宋体" w:hAnsi="宋体" w:cs="仿宋"/>
          <w:sz w:val="32"/>
          <w:szCs w:val="32"/>
        </w:rPr>
      </w:pPr>
    </w:p>
    <w:p>
      <w:pPr>
        <w:spacing w:line="560" w:lineRule="exact"/>
        <w:ind w:firstLine="640"/>
        <w:rPr>
          <w:rFonts w:ascii="宋体" w:hAnsi="宋体" w:cs="仿宋"/>
          <w:sz w:val="32"/>
          <w:szCs w:val="32"/>
        </w:rPr>
      </w:pPr>
      <w:r>
        <w:rPr>
          <w:rFonts w:hint="eastAsia" w:cs="Times New Roman" w:asciiTheme="minorEastAsia" w:hAnsiTheme="minorEastAsia" w:eastAsiaTheme="minorEastAsia"/>
          <w:b/>
          <w:sz w:val="32"/>
          <w:szCs w:val="32"/>
        </w:rPr>
        <w:t>机构设置：</w:t>
      </w:r>
    </w:p>
    <w:tbl>
      <w:tblPr>
        <w:tblStyle w:val="9"/>
        <w:tblpPr w:leftFromText="180" w:rightFromText="180" w:vertAnchor="text" w:horzAnchor="page" w:tblpX="1446"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Borders>
              <w:top w:val="single" w:color="auto" w:sz="4" w:space="0"/>
              <w:left w:val="single" w:color="auto" w:sz="4" w:space="0"/>
              <w:bottom w:val="single" w:color="auto" w:sz="4" w:space="0"/>
              <w:right w:val="single" w:color="auto" w:sz="4" w:space="0"/>
            </w:tcBorders>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单位名称</w:t>
            </w:r>
          </w:p>
        </w:tc>
        <w:tc>
          <w:tcPr>
            <w:tcW w:w="3543" w:type="dxa"/>
            <w:tcBorders>
              <w:top w:val="single" w:color="auto" w:sz="4" w:space="0"/>
              <w:left w:val="single" w:color="auto" w:sz="4" w:space="0"/>
              <w:bottom w:val="single" w:color="auto" w:sz="4" w:space="0"/>
              <w:right w:val="single" w:color="auto" w:sz="4" w:space="0"/>
            </w:tcBorders>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单位性质</w:t>
            </w:r>
          </w:p>
        </w:tc>
        <w:tc>
          <w:tcPr>
            <w:tcW w:w="3544" w:type="dxa"/>
            <w:tcBorders>
              <w:top w:val="single" w:color="auto" w:sz="4" w:space="0"/>
              <w:left w:val="single" w:color="auto" w:sz="4" w:space="0"/>
              <w:bottom w:val="single" w:color="auto" w:sz="4" w:space="0"/>
              <w:right w:val="single" w:color="auto" w:sz="4" w:space="0"/>
            </w:tcBorders>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单位规格</w:t>
            </w:r>
          </w:p>
        </w:tc>
        <w:tc>
          <w:tcPr>
            <w:tcW w:w="3544" w:type="dxa"/>
            <w:tcBorders>
              <w:top w:val="single" w:color="auto" w:sz="4" w:space="0"/>
              <w:left w:val="single" w:color="auto" w:sz="4" w:space="0"/>
              <w:bottom w:val="single" w:color="auto" w:sz="4" w:space="0"/>
              <w:right w:val="single" w:color="auto" w:sz="4" w:space="0"/>
            </w:tcBorders>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3543" w:type="dxa"/>
            <w:tcBorders>
              <w:top w:val="single" w:color="auto" w:sz="4" w:space="0"/>
              <w:left w:val="single" w:color="auto" w:sz="4" w:space="0"/>
              <w:bottom w:val="single" w:color="auto" w:sz="4" w:space="0"/>
              <w:right w:val="single" w:color="auto" w:sz="4" w:space="0"/>
            </w:tcBorders>
            <w:vAlign w:val="center"/>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中共唐山市曹妃甸区委党校</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事业（部分人员参公）</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正科级</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财政拨款</w:t>
            </w:r>
          </w:p>
        </w:tc>
      </w:tr>
    </w:tbl>
    <w:p>
      <w:pPr>
        <w:rPr>
          <w:rFonts w:cs="Times New Roman" w:asciiTheme="minorEastAsia" w:hAnsiTheme="minorEastAsia" w:eastAsiaTheme="minorEastAsia"/>
          <w:b/>
          <w:sz w:val="32"/>
          <w:szCs w:val="32"/>
        </w:rPr>
      </w:pPr>
      <w:r>
        <w:rPr>
          <w:rFonts w:cs="Times New Roman" w:asciiTheme="minorEastAsia" w:hAnsiTheme="minorEastAsia" w:eastAsiaTheme="minorEastAsia"/>
          <w:sz w:val="32"/>
          <w:szCs w:val="32"/>
        </w:rPr>
        <w:t xml:space="preserve">  </w:t>
      </w:r>
      <w:r>
        <w:rPr>
          <w:rFonts w:cs="Times New Roman" w:asciiTheme="minorEastAsia" w:hAnsiTheme="minorEastAsia" w:eastAsiaTheme="minorEastAsia"/>
          <w:b/>
          <w:sz w:val="32"/>
          <w:szCs w:val="32"/>
        </w:rPr>
        <w:t xml:space="preserve">  </w:t>
      </w:r>
      <w:r>
        <w:rPr>
          <w:rFonts w:hint="eastAsia" w:cs="Times New Roman" w:asciiTheme="minorEastAsia" w:hAnsiTheme="minorEastAsia" w:eastAsiaTheme="minorEastAsia"/>
          <w:b/>
          <w:sz w:val="32"/>
          <w:szCs w:val="32"/>
        </w:rPr>
        <w:t>二、部门预算安排的总体情况</w:t>
      </w:r>
    </w:p>
    <w:p>
      <w:pPr>
        <w:ind w:firstLine="480" w:firstLineChars="15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1</w:t>
      </w:r>
      <w:r>
        <w:rPr>
          <w:rFonts w:hint="eastAsia" w:cs="Times New Roman" w:asciiTheme="minorEastAsia" w:hAnsiTheme="minorEastAsia" w:eastAsiaTheme="minorEastAsia"/>
          <w:sz w:val="32"/>
          <w:szCs w:val="32"/>
        </w:rPr>
        <w:t>、收入说明</w:t>
      </w:r>
      <w:r>
        <w:rPr>
          <w:rFonts w:cs="Times New Roman" w:asciiTheme="minorEastAsia" w:hAnsiTheme="minorEastAsia" w:eastAsiaTheme="minorEastAsia"/>
          <w:sz w:val="32"/>
          <w:szCs w:val="32"/>
        </w:rPr>
        <w:t xml:space="preserve"> </w:t>
      </w:r>
    </w:p>
    <w:p>
      <w:pPr>
        <w:ind w:firstLine="640" w:firstLineChars="200"/>
        <w:rPr>
          <w:rFonts w:cs="Times New Roman" w:asciiTheme="minorEastAsia" w:hAnsiTheme="minorEastAsia" w:eastAsiaTheme="minorEastAsia"/>
          <w:sz w:val="32"/>
          <w:szCs w:val="32"/>
        </w:rPr>
      </w:pPr>
      <w:r>
        <w:rPr>
          <w:rFonts w:hint="eastAsia" w:cs="宋体" w:asciiTheme="minorEastAsia" w:hAnsiTheme="minorEastAsia" w:eastAsiaTheme="minorEastAsia"/>
          <w:sz w:val="32"/>
          <w:szCs w:val="32"/>
        </w:rPr>
        <w:t>本部门当年全部收入，</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23</w:t>
      </w:r>
      <w:r>
        <w:rPr>
          <w:rFonts w:hint="eastAsia" w:cs="宋体" w:asciiTheme="minorEastAsia" w:hAnsiTheme="minorEastAsia" w:eastAsiaTheme="minorEastAsia"/>
          <w:sz w:val="32"/>
          <w:szCs w:val="32"/>
        </w:rPr>
        <w:t>年预算收入</w:t>
      </w:r>
      <w:r>
        <w:rPr>
          <w:rFonts w:hint="eastAsia" w:cs="Arial" w:asciiTheme="minorEastAsia" w:hAnsiTheme="minorEastAsia" w:eastAsiaTheme="minorEastAsia"/>
          <w:kern w:val="0"/>
          <w:sz w:val="32"/>
          <w:szCs w:val="32"/>
        </w:rPr>
        <w:t>509.59万</w:t>
      </w:r>
      <w:r>
        <w:rPr>
          <w:rFonts w:hint="eastAsia" w:cs="宋体" w:asciiTheme="minorEastAsia" w:hAnsiTheme="minorEastAsia" w:eastAsiaTheme="minorEastAsia"/>
          <w:sz w:val="32"/>
          <w:szCs w:val="32"/>
        </w:rPr>
        <w:t>元，全部为一般公共预算收入。</w:t>
      </w:r>
    </w:p>
    <w:p>
      <w:pPr>
        <w:numPr>
          <w:ilvl w:val="0"/>
          <w:numId w:val="2"/>
        </w:numPr>
        <w:ind w:firstLine="64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支出说明</w:t>
      </w:r>
    </w:p>
    <w:p>
      <w:pPr>
        <w:rPr>
          <w:rFonts w:cs="Arial" w:asciiTheme="minorEastAsia" w:hAnsiTheme="minorEastAsia" w:eastAsiaTheme="minorEastAsia"/>
          <w:kern w:val="0"/>
          <w:sz w:val="32"/>
          <w:szCs w:val="32"/>
        </w:rPr>
      </w:pPr>
      <w:r>
        <w:rPr>
          <w:rFonts w:cs="Times New Roman" w:asciiTheme="minorEastAsia" w:hAnsiTheme="minorEastAsia" w:eastAsiaTheme="minorEastAsia"/>
          <w:sz w:val="32"/>
          <w:szCs w:val="32"/>
        </w:rPr>
        <w:t xml:space="preserve">    </w:t>
      </w:r>
      <w:r>
        <w:rPr>
          <w:rFonts w:cs="??_GB2312"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收支预算总表支出栏、基本支出表、项目支出表按经济分类和支出功能分类科目编制，反映中共唐山市曹妃甸区委党校2023年度部门预算中支出预算的总体情况。</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23</w:t>
      </w:r>
      <w:r>
        <w:rPr>
          <w:rFonts w:hint="eastAsia" w:cs="宋体" w:asciiTheme="minorEastAsia" w:hAnsiTheme="minorEastAsia" w:eastAsiaTheme="minorEastAsia"/>
          <w:sz w:val="32"/>
          <w:szCs w:val="32"/>
        </w:rPr>
        <w:t>年部门支出预算为</w:t>
      </w:r>
      <w:r>
        <w:rPr>
          <w:rFonts w:hint="eastAsia" w:cs="Arial" w:asciiTheme="minorEastAsia" w:hAnsiTheme="minorEastAsia" w:eastAsiaTheme="minorEastAsia"/>
          <w:kern w:val="0"/>
          <w:sz w:val="32"/>
          <w:szCs w:val="32"/>
        </w:rPr>
        <w:t>509.59</w:t>
      </w:r>
      <w:r>
        <w:rPr>
          <w:rFonts w:hint="eastAsia" w:cs="宋体" w:asciiTheme="minorEastAsia" w:hAnsiTheme="minorEastAsia" w:eastAsiaTheme="minorEastAsia"/>
          <w:sz w:val="32"/>
          <w:szCs w:val="32"/>
        </w:rPr>
        <w:t>万元，其中基本支出</w:t>
      </w:r>
      <w:r>
        <w:rPr>
          <w:rFonts w:hint="eastAsia" w:cs="宋体" w:asciiTheme="minorEastAsia" w:hAnsiTheme="minorEastAsia" w:eastAsiaTheme="minorEastAsia"/>
          <w:color w:val="000000"/>
          <w:kern w:val="0"/>
          <w:sz w:val="32"/>
          <w:szCs w:val="32"/>
        </w:rPr>
        <w:t>434.59</w:t>
      </w:r>
      <w:r>
        <w:rPr>
          <w:rFonts w:hint="eastAsia" w:cs="宋体" w:asciiTheme="minorEastAsia" w:hAnsiTheme="minorEastAsia" w:eastAsiaTheme="minorEastAsia"/>
          <w:sz w:val="32"/>
          <w:szCs w:val="32"/>
        </w:rPr>
        <w:t>万元，包括人员经408.33万元和日常公用经费</w:t>
      </w:r>
      <w:r>
        <w:rPr>
          <w:rFonts w:hint="eastAsia" w:cs="宋体" w:asciiTheme="minorEastAsia" w:hAnsiTheme="minorEastAsia" w:eastAsiaTheme="minorEastAsia"/>
          <w:color w:val="000000"/>
          <w:kern w:val="0"/>
          <w:sz w:val="32"/>
          <w:szCs w:val="32"/>
        </w:rPr>
        <w:t>26.26</w:t>
      </w:r>
      <w:r>
        <w:rPr>
          <w:rFonts w:hint="eastAsia" w:cs="宋体" w:asciiTheme="minorEastAsia" w:hAnsiTheme="minorEastAsia" w:eastAsiaTheme="minorEastAsia"/>
          <w:sz w:val="32"/>
          <w:szCs w:val="32"/>
        </w:rPr>
        <w:t>万元；项目支出</w:t>
      </w:r>
      <w:r>
        <w:rPr>
          <w:rFonts w:hint="eastAsia" w:cs="??_GB2312" w:asciiTheme="minorEastAsia" w:hAnsiTheme="minorEastAsia" w:eastAsiaTheme="minorEastAsia"/>
          <w:sz w:val="32"/>
          <w:szCs w:val="32"/>
        </w:rPr>
        <w:t>75.00</w:t>
      </w:r>
      <w:r>
        <w:rPr>
          <w:rFonts w:hint="eastAsia" w:cs="宋体" w:asciiTheme="minorEastAsia" w:hAnsiTheme="minorEastAsia" w:eastAsiaTheme="minorEastAsia"/>
          <w:sz w:val="32"/>
          <w:szCs w:val="32"/>
        </w:rPr>
        <w:t>万元，全部为本级支出。</w:t>
      </w:r>
    </w:p>
    <w:p>
      <w:pPr>
        <w:numPr>
          <w:ilvl w:val="0"/>
          <w:numId w:val="2"/>
        </w:numPr>
        <w:ind w:firstLine="64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比上年增减情况</w:t>
      </w:r>
    </w:p>
    <w:p>
      <w:pPr>
        <w:ind w:firstLine="640" w:firstLineChars="200"/>
        <w:rPr>
          <w:rFonts w:cs="宋体" w:asciiTheme="minorEastAsia" w:hAnsiTheme="minorEastAsia" w:eastAsiaTheme="minorEastAsia"/>
          <w:sz w:val="32"/>
          <w:szCs w:val="32"/>
        </w:rPr>
      </w:pP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23</w:t>
      </w:r>
      <w:r>
        <w:rPr>
          <w:rFonts w:hint="eastAsia" w:cs="宋体" w:asciiTheme="minorEastAsia" w:hAnsiTheme="minorEastAsia" w:eastAsiaTheme="minorEastAsia"/>
          <w:sz w:val="32"/>
          <w:szCs w:val="32"/>
        </w:rPr>
        <w:t>年部门预算较</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22</w:t>
      </w:r>
      <w:r>
        <w:rPr>
          <w:rFonts w:hint="eastAsia" w:cs="宋体" w:asciiTheme="minorEastAsia" w:hAnsiTheme="minorEastAsia" w:eastAsiaTheme="minorEastAsia"/>
          <w:sz w:val="32"/>
          <w:szCs w:val="32"/>
        </w:rPr>
        <w:t>年增加70.19万元，其中基本支出较2022年增加94.69万元，其原因为2023年人员变动，增加基本支出经费。专项支出较2022年减少24.5万元，其原因为2023年减少补充日常公用经费10万元、房屋维修经费9.5万元、区委安排的培训经费5万元。</w:t>
      </w:r>
    </w:p>
    <w:p>
      <w:pPr>
        <w:ind w:firstLine="630"/>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三、机关运行经费安排情况</w:t>
      </w:r>
    </w:p>
    <w:p>
      <w:pPr>
        <w:autoSpaceDE w:val="0"/>
        <w:autoSpaceDN w:val="0"/>
        <w:adjustRightInd w:val="0"/>
        <w:ind w:left="198" w:firstLine="640" w:firstLineChars="200"/>
        <w:jc w:val="left"/>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机关运行经费共计安排</w:t>
      </w:r>
      <w:r>
        <w:rPr>
          <w:rFonts w:hint="eastAsia" w:cs="??_GB2312" w:asciiTheme="minorEastAsia" w:hAnsiTheme="minorEastAsia" w:eastAsiaTheme="minorEastAsia"/>
          <w:sz w:val="32"/>
          <w:szCs w:val="32"/>
        </w:rPr>
        <w:t>26.26</w:t>
      </w:r>
      <w:r>
        <w:rPr>
          <w:rFonts w:hint="eastAsia" w:cs="宋体" w:asciiTheme="minorEastAsia" w:hAnsiTheme="minorEastAsia" w:eastAsiaTheme="minorEastAsia"/>
          <w:sz w:val="32"/>
          <w:szCs w:val="32"/>
        </w:rPr>
        <w:t>万元，主要用于保证机关正常运转的办公及印刷费、邮电费、差旅费、培训费、会议费、福利费、一般设备购置费、日常维修费、办公楼物业管理费、公务车运行维护费等支出。</w:t>
      </w:r>
    </w:p>
    <w:p>
      <w:pPr>
        <w:autoSpaceDE w:val="0"/>
        <w:autoSpaceDN w:val="0"/>
        <w:adjustRightInd w:val="0"/>
        <w:ind w:left="198" w:firstLine="643" w:firstLineChars="200"/>
        <w:jc w:val="left"/>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四、财政拨款“三公”经费预算情况及增减变化原因</w:t>
      </w:r>
    </w:p>
    <w:p>
      <w:pPr>
        <w:ind w:left="198" w:firstLine="640"/>
        <w:rPr>
          <w:rFonts w:ascii="宋体" w:hAnsi="宋体" w:cs="宋体" w:eastAsiaTheme="minorEastAsia"/>
          <w:sz w:val="32"/>
        </w:rPr>
      </w:pPr>
      <w:r>
        <w:rPr>
          <w:rFonts w:ascii="仿宋_GB2312" w:hAnsi="仿宋_GB2312" w:eastAsia="仿宋_GB2312" w:cs="仿宋_GB2312"/>
          <w:sz w:val="32"/>
        </w:rPr>
        <w:t>20</w:t>
      </w:r>
      <w:r>
        <w:rPr>
          <w:rFonts w:hint="eastAsia" w:ascii="仿宋_GB2312" w:hAnsi="仿宋_GB2312" w:eastAsia="仿宋_GB2312" w:cs="仿宋_GB2312"/>
          <w:sz w:val="32"/>
        </w:rPr>
        <w:t>23</w:t>
      </w:r>
      <w:r>
        <w:rPr>
          <w:rFonts w:ascii="宋体" w:hAnsi="宋体" w:cs="宋体"/>
          <w:sz w:val="32"/>
        </w:rPr>
        <w:t>年</w:t>
      </w:r>
      <w:r>
        <w:rPr>
          <w:rFonts w:hint="eastAsia" w:ascii="宋体" w:hAnsi="宋体" w:cs="宋体"/>
          <w:sz w:val="32"/>
        </w:rPr>
        <w:t>我部门</w:t>
      </w:r>
      <w:r>
        <w:rPr>
          <w:rFonts w:ascii="宋体" w:hAnsi="宋体" w:cs="宋体"/>
          <w:sz w:val="32"/>
        </w:rPr>
        <w:t>“三公”经费</w:t>
      </w:r>
      <w:r>
        <w:rPr>
          <w:rFonts w:hint="eastAsia" w:ascii="宋体" w:hAnsi="宋体" w:cs="宋体"/>
          <w:sz w:val="32"/>
        </w:rPr>
        <w:t>预算</w:t>
      </w:r>
      <w:r>
        <w:rPr>
          <w:rFonts w:ascii="宋体" w:hAnsi="宋体" w:cs="宋体"/>
          <w:sz w:val="32"/>
        </w:rPr>
        <w:t>安排</w:t>
      </w:r>
      <w:r>
        <w:rPr>
          <w:rFonts w:hint="eastAsia" w:ascii="仿宋_GB2312" w:hAnsi="仿宋_GB2312" w:eastAsia="仿宋_GB2312" w:cs="仿宋_GB2312"/>
          <w:sz w:val="32"/>
        </w:rPr>
        <w:t>2.10</w:t>
      </w:r>
      <w:r>
        <w:rPr>
          <w:rFonts w:ascii="宋体" w:hAnsi="宋体" w:cs="宋体"/>
          <w:sz w:val="32"/>
        </w:rPr>
        <w:t>万元</w:t>
      </w:r>
      <w:r>
        <w:rPr>
          <w:rFonts w:hint="eastAsia" w:ascii="宋体" w:hAnsi="宋体" w:cs="宋体"/>
          <w:sz w:val="32"/>
        </w:rPr>
        <w:t>，较上年预算</w:t>
      </w:r>
      <w:r>
        <w:rPr>
          <w:rFonts w:hint="eastAsia" w:ascii="宋体" w:hAnsi="宋体" w:cs="宋体" w:eastAsiaTheme="minorEastAsia"/>
          <w:sz w:val="32"/>
        </w:rPr>
        <w:t>减少0.9</w:t>
      </w:r>
      <w:r>
        <w:rPr>
          <w:rFonts w:hint="eastAsia" w:ascii="宋体" w:hAnsi="宋体" w:cs="宋体"/>
          <w:sz w:val="32"/>
        </w:rPr>
        <w:t>万元，主要是</w:t>
      </w:r>
      <w:r>
        <w:rPr>
          <w:rFonts w:hint="eastAsia" w:cs="宋体" w:asciiTheme="minorEastAsia" w:hAnsiTheme="minorEastAsia" w:eastAsiaTheme="minorEastAsia"/>
          <w:sz w:val="32"/>
          <w:szCs w:val="32"/>
        </w:rPr>
        <w:t>按照财政局预算要求减少预算</w:t>
      </w:r>
      <w:r>
        <w:rPr>
          <w:rFonts w:hint="eastAsia" w:ascii="宋体" w:hAnsi="宋体" w:cs="宋体"/>
          <w:sz w:val="32"/>
        </w:rPr>
        <w:t>。具体安排情况为</w:t>
      </w:r>
      <w:r>
        <w:rPr>
          <w:rFonts w:ascii="宋体" w:hAnsi="宋体" w:cs="宋体"/>
          <w:sz w:val="32"/>
        </w:rPr>
        <w:t>：</w:t>
      </w:r>
    </w:p>
    <w:p>
      <w:pPr>
        <w:ind w:left="198" w:firstLine="640"/>
        <w:rPr>
          <w:rFonts w:ascii="宋体" w:hAnsi="宋体" w:cs="宋体" w:eastAsiaTheme="minorEastAsia"/>
          <w:sz w:val="32"/>
        </w:rPr>
      </w:pPr>
      <w:r>
        <w:rPr>
          <w:rFonts w:hint="eastAsia" w:ascii="宋体" w:hAnsi="宋体" w:cs="宋体"/>
          <w:sz w:val="32"/>
        </w:rPr>
        <w:t>（一）</w:t>
      </w:r>
      <w:r>
        <w:rPr>
          <w:rFonts w:ascii="宋体" w:hAnsi="宋体" w:cs="宋体"/>
          <w:sz w:val="32"/>
        </w:rPr>
        <w:t>公务用车购置及运</w:t>
      </w:r>
      <w:r>
        <w:rPr>
          <w:rFonts w:hint="eastAsia" w:ascii="宋体" w:hAnsi="宋体" w:cs="宋体"/>
          <w:sz w:val="32"/>
        </w:rPr>
        <w:t>维</w:t>
      </w:r>
      <w:r>
        <w:rPr>
          <w:rFonts w:ascii="宋体" w:hAnsi="宋体" w:cs="宋体"/>
          <w:sz w:val="32"/>
        </w:rPr>
        <w:t>费</w:t>
      </w:r>
      <w:r>
        <w:rPr>
          <w:rFonts w:hint="eastAsia" w:ascii="宋体" w:hAnsi="宋体" w:cs="宋体"/>
          <w:sz w:val="32"/>
        </w:rPr>
        <w:t>。共计安排</w:t>
      </w:r>
      <w:r>
        <w:rPr>
          <w:rFonts w:hint="eastAsia" w:ascii="仿宋_GB2312" w:hAnsi="仿宋_GB2312" w:eastAsia="仿宋_GB2312" w:cs="仿宋_GB2312"/>
          <w:sz w:val="32"/>
        </w:rPr>
        <w:t>2.10</w:t>
      </w:r>
      <w:r>
        <w:rPr>
          <w:rFonts w:ascii="宋体" w:hAnsi="宋体" w:cs="宋体"/>
          <w:sz w:val="32"/>
        </w:rPr>
        <w:t>万元</w:t>
      </w:r>
      <w:r>
        <w:rPr>
          <w:rFonts w:hint="eastAsia" w:ascii="宋体" w:hAnsi="宋体" w:cs="宋体"/>
          <w:sz w:val="32"/>
        </w:rPr>
        <w:t>，较上年</w:t>
      </w:r>
      <w:r>
        <w:rPr>
          <w:rFonts w:hint="eastAsia" w:ascii="宋体" w:hAnsi="宋体" w:cs="宋体" w:eastAsiaTheme="minorEastAsia"/>
          <w:sz w:val="32"/>
        </w:rPr>
        <w:t>减少0.9</w:t>
      </w:r>
      <w:r>
        <w:rPr>
          <w:rFonts w:hint="eastAsia" w:ascii="宋体" w:hAnsi="宋体" w:cs="宋体"/>
          <w:sz w:val="32"/>
        </w:rPr>
        <w:t>万元，主要是</w:t>
      </w:r>
      <w:r>
        <w:rPr>
          <w:rFonts w:hint="eastAsia" w:cs="宋体" w:asciiTheme="minorEastAsia" w:hAnsiTheme="minorEastAsia" w:eastAsiaTheme="minorEastAsia"/>
          <w:sz w:val="32"/>
          <w:szCs w:val="32"/>
        </w:rPr>
        <w:t>按照财政局预算要求减少预算</w:t>
      </w:r>
      <w:r>
        <w:rPr>
          <w:rFonts w:hint="eastAsia" w:ascii="宋体" w:hAnsi="宋体" w:cs="宋体"/>
          <w:sz w:val="32"/>
        </w:rPr>
        <w:t>。</w:t>
      </w:r>
      <w:r>
        <w:rPr>
          <w:rFonts w:hint="eastAsia" w:ascii="宋体" w:hAnsi="宋体" w:cs="宋体"/>
          <w:sz w:val="32"/>
        </w:rPr>
        <w:sym w:font="Wingdings" w:char="F081"/>
      </w:r>
      <w:r>
        <w:rPr>
          <w:rFonts w:hint="eastAsia" w:ascii="宋体" w:hAnsi="宋体" w:cs="宋体"/>
          <w:sz w:val="32"/>
        </w:rPr>
        <w:t>公务用车购置安排</w:t>
      </w:r>
      <w:r>
        <w:rPr>
          <w:rFonts w:hint="eastAsia" w:ascii="宋体" w:hAnsi="宋体" w:cs="宋体" w:eastAsiaTheme="minorEastAsia"/>
          <w:sz w:val="32"/>
        </w:rPr>
        <w:t>0</w:t>
      </w:r>
      <w:r>
        <w:rPr>
          <w:rFonts w:hint="eastAsia" w:ascii="宋体" w:hAnsi="宋体" w:cs="宋体"/>
          <w:sz w:val="32"/>
        </w:rPr>
        <w:t>万元，较上年</w:t>
      </w:r>
      <w:r>
        <w:rPr>
          <w:rFonts w:hint="eastAsia" w:ascii="宋体" w:hAnsi="宋体" w:cs="宋体" w:eastAsiaTheme="minorEastAsia"/>
          <w:sz w:val="32"/>
        </w:rPr>
        <w:t>无增减变化。</w:t>
      </w:r>
    </w:p>
    <w:p>
      <w:pPr>
        <w:ind w:left="198" w:firstLine="1280" w:firstLineChars="400"/>
        <w:rPr>
          <w:rFonts w:ascii="宋体" w:hAnsi="宋体" w:cs="宋体" w:eastAsiaTheme="minorEastAsia"/>
          <w:sz w:val="32"/>
        </w:rPr>
      </w:pPr>
      <w:r>
        <w:rPr>
          <w:rFonts w:hint="eastAsia" w:ascii="宋体" w:hAnsi="宋体" w:cs="宋体"/>
          <w:sz w:val="32"/>
        </w:rPr>
        <w:sym w:font="Wingdings" w:char="F082"/>
      </w:r>
      <w:r>
        <w:rPr>
          <w:rFonts w:hint="eastAsia" w:ascii="宋体" w:hAnsi="宋体" w:cs="宋体" w:eastAsiaTheme="minorEastAsia"/>
          <w:sz w:val="32"/>
        </w:rPr>
        <w:t>公务用车</w:t>
      </w:r>
      <w:r>
        <w:rPr>
          <w:rFonts w:hint="eastAsia" w:ascii="宋体" w:hAnsi="宋体" w:cs="宋体"/>
          <w:sz w:val="32"/>
        </w:rPr>
        <w:t>运行维护经费安排2.10万元，较上年减少0.9万元，主要原因为</w:t>
      </w:r>
      <w:r>
        <w:rPr>
          <w:rFonts w:hint="eastAsia" w:cs="宋体" w:asciiTheme="minorEastAsia" w:hAnsiTheme="minorEastAsia" w:eastAsiaTheme="minorEastAsia"/>
          <w:sz w:val="32"/>
          <w:szCs w:val="32"/>
        </w:rPr>
        <w:t>按照财政局预算要求减少预算，</w:t>
      </w:r>
      <w:r>
        <w:rPr>
          <w:rFonts w:hint="eastAsia" w:ascii="宋体" w:hAnsi="宋体" w:cs="宋体"/>
          <w:sz w:val="32"/>
        </w:rPr>
        <w:t>节约开支，压缩公车运行维护费。</w:t>
      </w:r>
    </w:p>
    <w:p>
      <w:pPr>
        <w:ind w:left="198" w:firstLine="640"/>
        <w:rPr>
          <w:rFonts w:ascii="宋体" w:hAnsi="宋体" w:cs="宋体" w:eastAsiaTheme="minorEastAsia"/>
          <w:sz w:val="32"/>
        </w:rPr>
      </w:pPr>
      <w:r>
        <w:rPr>
          <w:rFonts w:hint="eastAsia" w:ascii="宋体" w:hAnsi="宋体" w:cs="宋体"/>
          <w:sz w:val="32"/>
        </w:rPr>
        <w:t>（二）</w:t>
      </w:r>
      <w:r>
        <w:rPr>
          <w:rFonts w:ascii="宋体" w:hAnsi="宋体" w:cs="宋体"/>
          <w:sz w:val="32"/>
        </w:rPr>
        <w:t>公务接待费</w:t>
      </w:r>
      <w:r>
        <w:rPr>
          <w:rFonts w:hint="eastAsia" w:ascii="宋体" w:hAnsi="宋体" w:cs="宋体"/>
          <w:sz w:val="32"/>
        </w:rPr>
        <w:t>。安排</w:t>
      </w:r>
      <w:r>
        <w:rPr>
          <w:rFonts w:hint="eastAsia" w:ascii="仿宋_GB2312" w:hAnsi="仿宋_GB2312" w:eastAsia="仿宋_GB2312" w:cs="仿宋_GB2312"/>
          <w:sz w:val="32"/>
        </w:rPr>
        <w:t>0</w:t>
      </w:r>
      <w:r>
        <w:rPr>
          <w:rFonts w:ascii="宋体" w:hAnsi="宋体" w:cs="宋体"/>
          <w:sz w:val="32"/>
        </w:rPr>
        <w:t>万元</w:t>
      </w:r>
      <w:r>
        <w:rPr>
          <w:rFonts w:hint="eastAsia" w:ascii="宋体" w:hAnsi="宋体" w:cs="宋体"/>
          <w:sz w:val="32"/>
        </w:rPr>
        <w:t>，较</w:t>
      </w:r>
      <w:r>
        <w:rPr>
          <w:rFonts w:ascii="宋体" w:hAnsi="宋体" w:cs="宋体"/>
          <w:sz w:val="32"/>
        </w:rPr>
        <w:t>上年</w:t>
      </w:r>
      <w:r>
        <w:rPr>
          <w:rFonts w:hint="eastAsia" w:ascii="宋体" w:hAnsi="宋体" w:cs="宋体"/>
          <w:sz w:val="32"/>
        </w:rPr>
        <w:t>预算无增减变化。</w:t>
      </w:r>
    </w:p>
    <w:p>
      <w:pPr>
        <w:ind w:left="198" w:firstLine="640"/>
        <w:rPr>
          <w:rFonts w:ascii="仿宋_GB2312" w:hAnsi="仿宋_GB2312" w:cs="仿宋_GB2312" w:eastAsiaTheme="minorEastAsia"/>
          <w:sz w:val="32"/>
        </w:rPr>
      </w:pPr>
      <w:r>
        <w:rPr>
          <w:rFonts w:hint="eastAsia" w:ascii="宋体" w:hAnsi="宋体" w:cs="宋体"/>
          <w:sz w:val="32"/>
        </w:rPr>
        <w:t>（三）</w:t>
      </w:r>
      <w:r>
        <w:rPr>
          <w:rFonts w:ascii="宋体" w:hAnsi="宋体" w:cs="宋体"/>
          <w:sz w:val="32"/>
        </w:rPr>
        <w:t>因公出国（境）费</w:t>
      </w:r>
      <w:r>
        <w:rPr>
          <w:rFonts w:hint="eastAsia" w:ascii="宋体" w:hAnsi="宋体" w:cs="宋体"/>
          <w:sz w:val="32"/>
        </w:rPr>
        <w:t>。安排</w:t>
      </w:r>
      <w:r>
        <w:rPr>
          <w:rFonts w:ascii="仿宋_GB2312" w:hAnsi="仿宋_GB2312" w:eastAsia="仿宋_GB2312" w:cs="仿宋_GB2312"/>
          <w:sz w:val="32"/>
        </w:rPr>
        <w:t>0</w:t>
      </w:r>
      <w:r>
        <w:rPr>
          <w:rFonts w:ascii="宋体" w:hAnsi="宋体" w:cs="宋体"/>
          <w:sz w:val="32"/>
        </w:rPr>
        <w:t>万元</w:t>
      </w:r>
      <w:r>
        <w:rPr>
          <w:rFonts w:hint="eastAsia" w:ascii="宋体" w:hAnsi="宋体" w:cs="宋体"/>
          <w:sz w:val="32"/>
        </w:rPr>
        <w:t>，较上年无增减变化。</w:t>
      </w:r>
    </w:p>
    <w:p>
      <w:pPr>
        <w:rPr>
          <w:rFonts w:ascii="仿宋_GB2312" w:hAnsi="仿宋_GB2312" w:eastAsia="仿宋_GB2312" w:cs="仿宋_GB2312"/>
          <w:sz w:val="32"/>
          <w:szCs w:val="32"/>
        </w:rPr>
      </w:pPr>
    </w:p>
    <w:p>
      <w:pPr>
        <w:autoSpaceDE w:val="0"/>
        <w:autoSpaceDN w:val="0"/>
        <w:adjustRightInd w:val="0"/>
        <w:ind w:left="198" w:firstLine="643" w:firstLineChars="200"/>
        <w:jc w:val="left"/>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五、绩效预算信息</w:t>
      </w:r>
    </w:p>
    <w:p>
      <w:pPr>
        <w:spacing w:line="500" w:lineRule="exact"/>
        <w:ind w:firstLine="643" w:firstLineChars="200"/>
        <w:jc w:val="left"/>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 xml:space="preserve"> </w:t>
      </w:r>
      <w:r>
        <w:rPr>
          <w:rFonts w:hint="eastAsia" w:cs="Times New Roman" w:asciiTheme="minorEastAsia" w:hAnsiTheme="minorEastAsia" w:eastAsiaTheme="minorEastAsia"/>
          <w:b/>
          <w:sz w:val="32"/>
          <w:szCs w:val="32"/>
        </w:rPr>
        <w:t>总体绩效目标：</w:t>
      </w:r>
    </w:p>
    <w:p>
      <w:pPr>
        <w:ind w:left="198" w:firstLine="1280" w:firstLineChars="400"/>
        <w:rPr>
          <w:rFonts w:ascii="宋体" w:hAnsi="宋体" w:cs="宋体"/>
          <w:sz w:val="32"/>
        </w:rPr>
      </w:pPr>
      <w:r>
        <w:rPr>
          <w:rFonts w:hint="eastAsia" w:ascii="宋体" w:hAnsi="宋体" w:cs="宋体"/>
          <w:sz w:val="32"/>
        </w:rPr>
        <w:t>1.坚持党要管党、全面从严治党，坚持严的主基调不动摇。坚持以党的政治建设为统领，增强全面从严治党永远在路上的政治自觉。坚持从严治校，确保党校姓党；从严治教、守好政治阵地；从严治学，严肃培训纪律。持续深入学习贯彻习近平总书记在中央党校建校90周年庆祝大会暨2023年春季学期开学典礼上的重要讲话精神，把“党校姓党”根本原则贯彻落实到办学治校各环节和全过程，坚持不懈把全面从严治党向纵深推进，为打造中国式现代化曹妃甸场景的党校情景提供坚强有力的纪律保证。</w:t>
      </w:r>
    </w:p>
    <w:p>
      <w:pPr>
        <w:ind w:left="198" w:firstLine="640" w:firstLineChars="200"/>
        <w:rPr>
          <w:rFonts w:ascii="宋体" w:hAnsi="宋体" w:cs="宋体"/>
          <w:sz w:val="32"/>
        </w:rPr>
      </w:pPr>
      <w:r>
        <w:rPr>
          <w:rFonts w:hint="eastAsia" w:ascii="宋体" w:hAnsi="宋体" w:cs="宋体"/>
          <w:sz w:val="32"/>
        </w:rPr>
        <w:t>2.围绕中心，</w:t>
      </w:r>
      <w:r>
        <w:rPr>
          <w:rFonts w:ascii="宋体" w:hAnsi="宋体" w:cs="宋体"/>
          <w:sz w:val="32"/>
        </w:rPr>
        <w:t>聚焦主业，</w:t>
      </w:r>
      <w:r>
        <w:rPr>
          <w:rFonts w:hint="eastAsia" w:ascii="宋体" w:hAnsi="宋体" w:cs="宋体"/>
          <w:sz w:val="32"/>
        </w:rPr>
        <w:t>切实</w:t>
      </w:r>
      <w:r>
        <w:rPr>
          <w:rFonts w:ascii="宋体" w:hAnsi="宋体" w:cs="宋体"/>
          <w:sz w:val="32"/>
        </w:rPr>
        <w:t>发挥教育培训主阵地作用</w:t>
      </w:r>
      <w:r>
        <w:rPr>
          <w:rFonts w:hint="eastAsia" w:ascii="宋体" w:hAnsi="宋体" w:cs="宋体"/>
          <w:sz w:val="32"/>
        </w:rPr>
        <w:t>。坚持为党育才，</w:t>
      </w:r>
      <w:r>
        <w:rPr>
          <w:rFonts w:ascii="宋体" w:hAnsi="宋体" w:cs="宋体"/>
          <w:sz w:val="32"/>
        </w:rPr>
        <w:t>以理论教育和党性教育为主业主课，坚持</w:t>
      </w:r>
      <w:r>
        <w:rPr>
          <w:rFonts w:hint="eastAsia" w:ascii="宋体" w:hAnsi="宋体" w:cs="宋体"/>
          <w:sz w:val="32"/>
        </w:rPr>
        <w:t>“</w:t>
      </w:r>
      <w:r>
        <w:rPr>
          <w:rFonts w:ascii="宋体" w:hAnsi="宋体" w:cs="宋体"/>
          <w:sz w:val="32"/>
        </w:rPr>
        <w:t>一个中心、四个方面</w:t>
      </w:r>
      <w:r>
        <w:rPr>
          <w:rFonts w:hint="eastAsia" w:ascii="宋体" w:hAnsi="宋体" w:cs="宋体"/>
          <w:sz w:val="32"/>
        </w:rPr>
        <w:t>”</w:t>
      </w:r>
      <w:r>
        <w:rPr>
          <w:rFonts w:ascii="宋体" w:hAnsi="宋体" w:cs="宋体"/>
          <w:sz w:val="32"/>
        </w:rPr>
        <w:t>的教学布局，整合培训资源，提升培训质量，探索构建起多层次、多渠道、大规模的干部教育培训新格局。</w:t>
      </w:r>
      <w:r>
        <w:rPr>
          <w:rFonts w:hint="eastAsia" w:ascii="宋体" w:hAnsi="宋体" w:cs="宋体"/>
          <w:sz w:val="32"/>
        </w:rPr>
        <w:t>根据区委干训计划和区委组织部具体要求，充分发挥干部教育培训主阵地主渠道作用，开展好乡科级领导干部、新录用公务员等专题培训，认真做好党的二十大精神的宣讲和相关培训工作。</w:t>
      </w:r>
    </w:p>
    <w:p>
      <w:pPr>
        <w:ind w:left="198" w:firstLine="640" w:firstLineChars="200"/>
        <w:rPr>
          <w:rFonts w:ascii="宋体" w:hAnsi="宋体" w:cs="宋体"/>
          <w:sz w:val="32"/>
        </w:rPr>
      </w:pPr>
      <w:r>
        <w:rPr>
          <w:rFonts w:hint="eastAsia" w:ascii="宋体" w:hAnsi="宋体" w:cs="宋体"/>
          <w:sz w:val="32"/>
        </w:rPr>
        <w:t>3.立足本职，发挥优势，努力开创科研和决策咨询工作新局面。坚持为党献策，聚焦区委、区政府中心工作、党委和政府的重大决策部署、社会热点难点问题进行深入研究，为区委、区政府提供决策服务，切实发挥新型智库作用。加强与区委、区政府相关部门以及上级党校的合作交流，积极承担相关委托课题，突出针对性、实效性、可行性，着力形成有针对性、有分量的研究成果，为区委、区政府中心工作提供有参考价值的咨询成果。</w:t>
      </w:r>
    </w:p>
    <w:p>
      <w:pPr>
        <w:ind w:left="198" w:firstLine="640" w:firstLineChars="200"/>
        <w:rPr>
          <w:rFonts w:ascii="宋体" w:hAnsi="宋体" w:cs="宋体"/>
          <w:sz w:val="32"/>
        </w:rPr>
      </w:pPr>
      <w:r>
        <w:rPr>
          <w:rFonts w:hint="eastAsia" w:ascii="宋体" w:hAnsi="宋体" w:cs="宋体"/>
          <w:sz w:val="32"/>
        </w:rPr>
        <w:t>4.充实力量，加强培养，打造政治强、业务精、理论扎实、作风正的师资队伍。以提高教师队伍素质为重点，加强业务培训、提升工作能力。加强干部队伍建设，努力提升教职工队伍的整体工作水平；增加师资总量，夯实人才基础，通过公开招录等方式补充新鲜血液，充实教师队伍；做好师资培训，制定教师培养工作计划和年度培训计划，有针对性地安排教师到省委党校、市委党校等院校参加学习进修、业务培训等，提升理论业务水平。</w:t>
      </w:r>
    </w:p>
    <w:p>
      <w:pPr>
        <w:ind w:left="198" w:firstLine="640" w:firstLineChars="200"/>
        <w:rPr>
          <w:rFonts w:ascii="宋体" w:hAnsi="宋体" w:cs="宋体"/>
          <w:sz w:val="32"/>
        </w:rPr>
      </w:pPr>
      <w:r>
        <w:rPr>
          <w:rFonts w:hint="eastAsia" w:ascii="宋体" w:hAnsi="宋体" w:cs="宋体"/>
          <w:sz w:val="32"/>
        </w:rPr>
        <w:t>5.强化抓党建就是抓发展，抓发展必须抓党建的理念，在推动党建工作和业务工作深度融合中不断提升组织力，发挥党支部的战斗堡垒作用。坚持把党的政治建设作为机关党建工作的“总统领”，严格执行《关于新形势下党内政治生活的若干准则》，认真落实民主集中制、“三会一课”、重大事项请示报告、党员领导干部双重组织生活等制度，不断提升组织生活的质量和效果。</w:t>
      </w:r>
    </w:p>
    <w:p>
      <w:pPr>
        <w:ind w:left="198" w:firstLine="640" w:firstLineChars="200"/>
        <w:rPr>
          <w:rFonts w:ascii="宋体" w:hAnsi="宋体" w:cs="宋体"/>
          <w:sz w:val="32"/>
        </w:rPr>
      </w:pPr>
      <w:r>
        <w:rPr>
          <w:rFonts w:hint="eastAsia" w:ascii="宋体" w:hAnsi="宋体" w:cs="宋体"/>
          <w:sz w:val="32"/>
        </w:rPr>
        <w:t>6.以区委党校迁建为契机，全面提升党校基础设施建设水平。充分展现迁建项目主体的责任担当，严格按程序依规依法推进区委党校迁建各项工作。</w:t>
      </w:r>
    </w:p>
    <w:p>
      <w:pPr>
        <w:ind w:firstLine="420" w:firstLineChars="200"/>
      </w:pPr>
    </w:p>
    <w:p>
      <w:pPr>
        <w:ind w:firstLine="560" w:firstLineChars="200"/>
        <w:jc w:val="left"/>
        <w:rPr>
          <w:rFonts w:ascii="方正书宋_GBK" w:eastAsia="方正书宋_GBK"/>
          <w:sz w:val="28"/>
          <w:szCs w:val="28"/>
        </w:rPr>
      </w:pPr>
      <w:r>
        <w:rPr>
          <w:rFonts w:ascii="方正书宋_GBK" w:eastAsia="方正书宋_GBK"/>
          <w:sz w:val="28"/>
          <w:szCs w:val="28"/>
        </w:rPr>
        <w:t xml:space="preserve">    </w:t>
      </w:r>
      <w:r>
        <w:rPr>
          <w:rFonts w:hint="eastAsia" w:ascii="方正楷体_GBK" w:eastAsia="方正楷体_GBK"/>
          <w:b/>
          <w:color w:val="000000"/>
          <w:sz w:val="28"/>
          <w:szCs w:val="28"/>
        </w:rPr>
        <w:t>职责分类绩效目标</w:t>
      </w:r>
      <w:r>
        <w:rPr>
          <w:rFonts w:hint="eastAsia" w:ascii="方正楷体_GBK" w:eastAsiaTheme="minorEastAsia"/>
          <w:b/>
          <w:color w:val="000000"/>
          <w:sz w:val="28"/>
          <w:szCs w:val="28"/>
        </w:rPr>
        <w:t>（见下表）</w:t>
      </w:r>
      <w:r>
        <w:rPr>
          <w:rFonts w:hint="eastAsia" w:ascii="方正楷体_GBK" w:eastAsia="方正楷体_GBK"/>
          <w:b/>
          <w:color w:val="000000"/>
          <w:sz w:val="28"/>
          <w:szCs w:val="28"/>
        </w:rPr>
        <w:t>：</w:t>
      </w:r>
      <w:r>
        <w:rPr>
          <w:sz w:val="28"/>
          <w:szCs w:val="28"/>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281</w:t>
            </w:r>
            <w:r>
              <w:rPr>
                <w:rFonts w:hint="eastAsia" w:ascii="方正小标宋_GBK" w:eastAsia="方正小标宋_GBK"/>
                <w:sz w:val="24"/>
              </w:rPr>
              <w:t>党校中共曹妃甸区委党校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一、培训教育</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根据党中央、省市和县委关于建设高素质干部队伍的要求，有计划地培训、轮训党员领导干部和宣传骨干；结合全县经济社会发展实际，以研讨中央重大理论和方针、政策问题为目的，举办各种专题研讨班</w:t>
            </w:r>
            <w:r>
              <w:rPr>
                <w:rFonts w:ascii="方正书宋_GBK" w:eastAsia="方正书宋_GBK"/>
              </w:rPr>
              <w:t>;</w:t>
            </w:r>
            <w:r>
              <w:rPr>
                <w:rFonts w:hint="eastAsia" w:ascii="方正书宋_GBK" w:eastAsia="方正书宋_GBK"/>
              </w:rPr>
              <w:t>利用教学资源进行干部短期培训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不断提高教学水平、完善教学设施、优化教学布局、丰富教学手段，围绕全县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pPr>
              <w:spacing w:line="300" w:lineRule="exact"/>
              <w:jc w:val="left"/>
              <w:rPr>
                <w:rFonts w:ascii="方正书宋_GBK" w:eastAsiaTheme="minorEastAsia"/>
              </w:rPr>
            </w:pPr>
          </w:p>
          <w:p>
            <w:pPr>
              <w:spacing w:line="300" w:lineRule="exact"/>
              <w:jc w:val="left"/>
              <w:rPr>
                <w:rFonts w:ascii="方正书宋_GBK" w:eastAsiaTheme="minorEastAsia"/>
              </w:rPr>
            </w:pPr>
          </w:p>
          <w:p>
            <w:pPr>
              <w:spacing w:line="300" w:lineRule="exact"/>
              <w:jc w:val="left"/>
              <w:rPr>
                <w:rFonts w:ascii="方正书宋_GBK" w:eastAsiaTheme="minorEastAsia"/>
              </w:rPr>
            </w:pPr>
          </w:p>
          <w:p>
            <w:pPr>
              <w:spacing w:line="300" w:lineRule="exact"/>
              <w:jc w:val="left"/>
              <w:rPr>
                <w:rFonts w:ascii="方正书宋_GBK" w:eastAsiaTheme="minorEastAsia"/>
              </w:rPr>
            </w:pPr>
          </w:p>
          <w:p>
            <w:pPr>
              <w:spacing w:line="300" w:lineRule="exact"/>
              <w:jc w:val="left"/>
              <w:rPr>
                <w:rFonts w:ascii="方正书宋_GBK" w:eastAsiaTheme="minorEastAsia"/>
              </w:rPr>
            </w:pPr>
          </w:p>
          <w:p>
            <w:pPr>
              <w:spacing w:line="300" w:lineRule="exact"/>
              <w:jc w:val="left"/>
              <w:rPr>
                <w:rFonts w:ascii="方正书宋_GBK" w:eastAsiaTheme="minorEastAsia"/>
              </w:rPr>
            </w:pPr>
          </w:p>
          <w:p>
            <w:pPr>
              <w:spacing w:line="300" w:lineRule="exact"/>
              <w:jc w:val="left"/>
              <w:rPr>
                <w:rFonts w:ascii="方正书宋_GBK" w:eastAsiaTheme="minorEastAsia"/>
              </w:rPr>
            </w:pPr>
          </w:p>
          <w:p>
            <w:pPr>
              <w:spacing w:line="300" w:lineRule="exact"/>
              <w:jc w:val="left"/>
              <w:rPr>
                <w:rFonts w:ascii="方正书宋_GBK" w:eastAsiaTheme="minorEastAsia"/>
              </w:rPr>
            </w:pPr>
          </w:p>
          <w:p>
            <w:pPr>
              <w:spacing w:line="300" w:lineRule="exact"/>
              <w:jc w:val="left"/>
              <w:rPr>
                <w:rFonts w:ascii="方正书宋_GBK" w:eastAsiaTheme="minorEastAsia"/>
              </w:rPr>
            </w:pPr>
          </w:p>
          <w:p>
            <w:pPr>
              <w:spacing w:line="300" w:lineRule="exact"/>
              <w:jc w:val="left"/>
              <w:rPr>
                <w:rFonts w:ascii="方正书宋_GBK" w:eastAsiaTheme="minorEastAsia"/>
              </w:rPr>
            </w:pPr>
          </w:p>
          <w:p>
            <w:pPr>
              <w:spacing w:line="300" w:lineRule="exact"/>
              <w:jc w:val="left"/>
              <w:rPr>
                <w:rFonts w:ascii="方正书宋_GBK" w:eastAsiaTheme="minorEastAsia"/>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、组织培训班</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根据县委组织部的干训计划，培训、轮训领导干部和理论骨干；受县委、县政府及有关职能部门委托，结合全县经济社会发展实际，举办各种专题培训、研讨班。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通过外请专家学者授课，开拓学员思路；通过现场教学、情景教学、案例教学，有效提高培训质量，提高学员解决实际问题的能力。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培训、轮训工作完成率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特色教学百分比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委托单位满意率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学员教学满意率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、师资与学科建设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75.00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加强师资培训、交流、培养，引进高水平人才，加强学科建设和学科培育，形成有党校特色的优势学科和教学基地。全面提高党校基础建设实施水平，切实提高日常管理水平和后勤服务保障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通过重点培育和建设，形成几门有党校特色的优势学科。党校评估纳入各县区的指标体系，用于发挥教育培训主渠道作用，举办专题研讨班。</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特色优势学科门数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党校特色教材教案比率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、教学事物管理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组织实施与教学活动和学员培训相关的综合管理和后勤保障事物</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通过严格的行政后勤管理，为学员培训和教学科研活动创造良好的硬件环境和后勤保障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后勤保障事务完成率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受训学员后勤管理综合满意率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二、理论研究和决策咨询</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开展对马克思主义中国化最新成果、全县重大现实问题及战略问题的研究，为推进党的理论创新服务，为县委、县政府及有关部门决策咨询服务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党的中心任务、重大战略部署及相关重大现实理论问题开展调查研究，有效推进理论创新，立项一批有质量的课题；通过开展调查研究，拿出一批有质量的成果为领导决策服务；通过对党的路线方针政策的宣传和重大理论问题的分析解读，使党员领导干部和群众掌握马克思主义的立场、观点、方法，坚定理想信念，始终和党中央保持一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highlight w:val="yellow"/>
              </w:rPr>
            </w:pPr>
          </w:p>
        </w:tc>
        <w:tc>
          <w:tcPr>
            <w:tcW w:w="737" w:type="dxa"/>
            <w:shd w:val="clear" w:color="auto" w:fill="auto"/>
            <w:vAlign w:val="center"/>
          </w:tcPr>
          <w:p>
            <w:pPr>
              <w:spacing w:line="300" w:lineRule="exact"/>
              <w:jc w:val="center"/>
              <w:rPr>
                <w:rFonts w:ascii="方正书宋_GBK" w:eastAsia="方正书宋_GBK"/>
                <w:highlight w:val="yellow"/>
              </w:rPr>
            </w:pPr>
          </w:p>
        </w:tc>
        <w:tc>
          <w:tcPr>
            <w:tcW w:w="737" w:type="dxa"/>
            <w:shd w:val="clear" w:color="auto" w:fill="auto"/>
            <w:vAlign w:val="center"/>
          </w:tcPr>
          <w:p>
            <w:pPr>
              <w:spacing w:line="300" w:lineRule="exact"/>
              <w:jc w:val="center"/>
              <w:rPr>
                <w:rFonts w:ascii="方正书宋_GBK" w:eastAsia="方正书宋_GBK"/>
                <w:highlight w:val="yellow"/>
              </w:rPr>
            </w:pPr>
          </w:p>
        </w:tc>
        <w:tc>
          <w:tcPr>
            <w:tcW w:w="737" w:type="dxa"/>
            <w:shd w:val="clear" w:color="auto" w:fill="auto"/>
            <w:vAlign w:val="center"/>
          </w:tcPr>
          <w:p>
            <w:pPr>
              <w:spacing w:line="300" w:lineRule="exact"/>
              <w:jc w:val="center"/>
              <w:rPr>
                <w:rFonts w:ascii="方正书宋_GBK" w:eastAsia="方正书宋_GBK"/>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、理论研究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对优秀科研成果和成绩突出的优秀科研人才进行定项资助。宣传党和国家的路线方针政策，推进理论和实践创新。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推动教研人员的科研交流和理论探索，产出高质量的理论成果。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科研课题立项数</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、决策咨询和政策宣讲</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承担县领导交办的调研任务，围绕县委县政府中心工作，开展决策咨询研究；组织有关领导、教师到各乡镇及相关部门进行政策宣讲。</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通过决策咨询研究，设立一批有质量的决策咨询服务项目，拿出一批优秀的决策咨询成果，为领导决策咨询服务，发挥思想库和智囊团的作用。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送教下乡次数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对外宣讲次数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决策咨询研究工作完成率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宣讲满意度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bl>
    <w:p>
      <w:pPr>
        <w:autoSpaceDE w:val="0"/>
        <w:autoSpaceDN w:val="0"/>
        <w:adjustRightInd w:val="0"/>
        <w:jc w:val="left"/>
        <w:rPr>
          <w:rFonts w:ascii="黑体" w:hAnsi="黑体" w:eastAsia="黑体" w:cs="Times New Roman"/>
          <w:b/>
          <w:sz w:val="32"/>
          <w:szCs w:val="32"/>
        </w:rPr>
      </w:pPr>
    </w:p>
    <w:p>
      <w:pPr>
        <w:autoSpaceDE w:val="0"/>
        <w:autoSpaceDN w:val="0"/>
        <w:adjustRightInd w:val="0"/>
        <w:ind w:firstLine="964" w:firstLineChars="300"/>
        <w:jc w:val="left"/>
        <w:rPr>
          <w:rFonts w:ascii="黑体" w:hAnsi="黑体" w:eastAsia="黑体" w:cs="Times New Roman"/>
          <w:b/>
          <w:sz w:val="32"/>
          <w:szCs w:val="32"/>
        </w:rPr>
      </w:pPr>
    </w:p>
    <w:p>
      <w:pPr>
        <w:autoSpaceDE w:val="0"/>
        <w:autoSpaceDN w:val="0"/>
        <w:adjustRightInd w:val="0"/>
        <w:ind w:firstLine="964" w:firstLineChars="300"/>
        <w:jc w:val="left"/>
        <w:rPr>
          <w:rFonts w:ascii="黑体" w:hAnsi="黑体" w:eastAsia="黑体" w:cs="Times New Roman"/>
          <w:b/>
          <w:sz w:val="32"/>
          <w:szCs w:val="32"/>
        </w:rPr>
      </w:pPr>
    </w:p>
    <w:p>
      <w:pPr>
        <w:autoSpaceDE w:val="0"/>
        <w:autoSpaceDN w:val="0"/>
        <w:adjustRightInd w:val="0"/>
        <w:ind w:firstLine="964" w:firstLineChars="300"/>
        <w:jc w:val="left"/>
        <w:rPr>
          <w:rFonts w:ascii="黑体" w:hAnsi="黑体" w:eastAsia="黑体" w:cs="Times New Roman"/>
          <w:b/>
          <w:sz w:val="32"/>
          <w:szCs w:val="32"/>
        </w:rPr>
      </w:pPr>
    </w:p>
    <w:p>
      <w:pPr>
        <w:autoSpaceDE w:val="0"/>
        <w:autoSpaceDN w:val="0"/>
        <w:adjustRightInd w:val="0"/>
        <w:ind w:firstLine="964" w:firstLineChars="300"/>
        <w:jc w:val="left"/>
        <w:rPr>
          <w:rFonts w:ascii="黑体" w:hAnsi="黑体" w:eastAsia="黑体" w:cs="Times New Roman"/>
          <w:b/>
          <w:sz w:val="32"/>
          <w:szCs w:val="32"/>
        </w:rPr>
      </w:pPr>
    </w:p>
    <w:p>
      <w:r>
        <w:rPr>
          <w:rFonts w:ascii="方正仿宋_GBK" w:hAnsi="方正仿宋_GBK" w:eastAsia="方正仿宋_GBK" w:cs="方正仿宋_GBK"/>
          <w:b/>
          <w:color w:val="000000"/>
          <w:sz w:val="28"/>
        </w:rPr>
        <w:t>办学质量评估经费绩效目标表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1.提高办学水平</w:t>
            </w:r>
          </w:p>
          <w:p>
            <w:pPr>
              <w:pStyle w:val="21"/>
            </w:pPr>
            <w:r>
              <w:t>2.提升学员政治站位</w:t>
            </w:r>
          </w:p>
          <w:p>
            <w:pPr>
              <w:pStyle w:val="21"/>
            </w:pPr>
            <w:r>
              <w:t>3.发挥培训主渠道作用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rPr>
                <w:lang w:eastAsia="zh-CN"/>
              </w:rPr>
            </w:pPr>
            <w:r>
              <w:t>培训人员数</w:t>
            </w:r>
            <w:r>
              <w:rPr>
                <w:rFonts w:hint="eastAsia"/>
                <w:lang w:eastAsia="zh-CN"/>
              </w:rPr>
              <w:t>人次</w:t>
            </w:r>
          </w:p>
        </w:tc>
        <w:tc>
          <w:tcPr>
            <w:tcW w:w="2835" w:type="dxa"/>
            <w:vAlign w:val="center"/>
          </w:tcPr>
          <w:p>
            <w:pPr>
              <w:pStyle w:val="21"/>
            </w:pPr>
            <w:r>
              <w:t>参加培训人员数5000人</w:t>
            </w:r>
          </w:p>
        </w:tc>
        <w:tc>
          <w:tcPr>
            <w:tcW w:w="2551" w:type="dxa"/>
            <w:vAlign w:val="center"/>
          </w:tcPr>
          <w:p>
            <w:pPr>
              <w:pStyle w:val="21"/>
            </w:pPr>
            <w:r>
              <w:t>≥5000人</w:t>
            </w:r>
          </w:p>
        </w:tc>
        <w:tc>
          <w:tcPr>
            <w:tcW w:w="2268" w:type="dxa"/>
            <w:vAlign w:val="center"/>
          </w:tcPr>
          <w:p>
            <w:pPr>
              <w:pStyle w:val="2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rPr>
                <w:lang w:eastAsia="zh-CN"/>
              </w:rPr>
            </w:pPr>
            <w:r>
              <w:rPr>
                <w:rFonts w:hint="eastAsia"/>
                <w:lang w:eastAsia="zh-CN"/>
              </w:rPr>
              <w:t>参加培训人员</w:t>
            </w:r>
          </w:p>
        </w:tc>
        <w:tc>
          <w:tcPr>
            <w:tcW w:w="2835" w:type="dxa"/>
            <w:vAlign w:val="center"/>
          </w:tcPr>
          <w:p>
            <w:pPr>
              <w:pStyle w:val="21"/>
            </w:pPr>
            <w:r>
              <w:rPr>
                <w:rFonts w:hint="eastAsia"/>
                <w:lang w:eastAsia="zh-CN"/>
              </w:rPr>
              <w:t>机关事业企业及场镇5000人</w:t>
            </w:r>
          </w:p>
        </w:tc>
        <w:tc>
          <w:tcPr>
            <w:tcW w:w="2551" w:type="dxa"/>
            <w:vAlign w:val="center"/>
          </w:tcPr>
          <w:p>
            <w:pPr>
              <w:pStyle w:val="21"/>
            </w:pPr>
            <w:r>
              <w:t>≥</w:t>
            </w:r>
            <w:r>
              <w:rPr>
                <w:rFonts w:hint="eastAsia"/>
                <w:lang w:eastAsia="zh-CN"/>
              </w:rPr>
              <w:t>5</w:t>
            </w:r>
            <w:r>
              <w:t>000人</w:t>
            </w:r>
          </w:p>
        </w:tc>
        <w:tc>
          <w:tcPr>
            <w:tcW w:w="2268" w:type="dxa"/>
            <w:vAlign w:val="center"/>
          </w:tcPr>
          <w:p>
            <w:pPr>
              <w:pStyle w:val="2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培训场次</w:t>
            </w:r>
          </w:p>
        </w:tc>
        <w:tc>
          <w:tcPr>
            <w:tcW w:w="2835" w:type="dxa"/>
            <w:vAlign w:val="center"/>
          </w:tcPr>
          <w:p>
            <w:pPr>
              <w:pStyle w:val="21"/>
            </w:pPr>
            <w:r>
              <w:rPr>
                <w:rFonts w:hint="eastAsia"/>
                <w:lang w:eastAsia="zh-CN"/>
              </w:rPr>
              <w:t>按计划</w:t>
            </w:r>
            <w:r>
              <w:t>培训的28场次</w:t>
            </w:r>
          </w:p>
        </w:tc>
        <w:tc>
          <w:tcPr>
            <w:tcW w:w="2551" w:type="dxa"/>
            <w:vAlign w:val="center"/>
          </w:tcPr>
          <w:p>
            <w:pPr>
              <w:pStyle w:val="21"/>
            </w:pPr>
            <w:r>
              <w:t>≥28次</w:t>
            </w:r>
          </w:p>
        </w:tc>
        <w:tc>
          <w:tcPr>
            <w:tcW w:w="2268" w:type="dxa"/>
            <w:vAlign w:val="center"/>
          </w:tcPr>
          <w:p>
            <w:pPr>
              <w:pStyle w:val="2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rPr>
                <w:rFonts w:hint="eastAsia"/>
                <w:lang w:eastAsia="zh-CN"/>
              </w:rPr>
              <w:t>参加</w:t>
            </w:r>
            <w:r>
              <w:t>培训</w:t>
            </w:r>
            <w:r>
              <w:rPr>
                <w:rFonts w:hint="eastAsia"/>
                <w:lang w:eastAsia="zh-CN"/>
              </w:rPr>
              <w:t>人均</w:t>
            </w:r>
            <w:r>
              <w:t>成本</w:t>
            </w:r>
          </w:p>
        </w:tc>
        <w:tc>
          <w:tcPr>
            <w:tcW w:w="2835" w:type="dxa"/>
            <w:vAlign w:val="center"/>
          </w:tcPr>
          <w:p>
            <w:pPr>
              <w:pStyle w:val="21"/>
              <w:rPr>
                <w:lang w:eastAsia="zh-CN"/>
              </w:rPr>
            </w:pPr>
            <w:r>
              <w:rPr>
                <w:rFonts w:hint="eastAsia"/>
                <w:lang w:eastAsia="zh-CN"/>
              </w:rPr>
              <w:t>参加培训</w:t>
            </w:r>
            <w:r>
              <w:t>人均</w:t>
            </w:r>
            <w:r>
              <w:rPr>
                <w:rFonts w:hint="eastAsia"/>
                <w:lang w:eastAsia="zh-CN"/>
              </w:rPr>
              <w:t>成本150元</w:t>
            </w:r>
          </w:p>
        </w:tc>
        <w:tc>
          <w:tcPr>
            <w:tcW w:w="2551" w:type="dxa"/>
            <w:vAlign w:val="center"/>
          </w:tcPr>
          <w:p>
            <w:pPr>
              <w:pStyle w:val="21"/>
            </w:pPr>
            <w:r>
              <w:t>≥150元</w:t>
            </w:r>
          </w:p>
        </w:tc>
        <w:tc>
          <w:tcPr>
            <w:tcW w:w="2268" w:type="dxa"/>
            <w:vAlign w:val="center"/>
          </w:tcPr>
          <w:p>
            <w:pPr>
              <w:pStyle w:val="2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rPr>
                <w:lang w:eastAsia="zh-CN"/>
              </w:rPr>
            </w:pPr>
            <w:r>
              <w:rPr>
                <w:rFonts w:hint="eastAsia"/>
                <w:lang w:eastAsia="zh-CN"/>
              </w:rPr>
              <w:t>节约外出成本</w:t>
            </w:r>
          </w:p>
        </w:tc>
        <w:tc>
          <w:tcPr>
            <w:tcW w:w="2835" w:type="dxa"/>
            <w:vAlign w:val="center"/>
          </w:tcPr>
          <w:p>
            <w:pPr>
              <w:pStyle w:val="21"/>
              <w:rPr>
                <w:lang w:eastAsia="zh-CN"/>
              </w:rPr>
            </w:pPr>
            <w:r>
              <w:rPr>
                <w:rFonts w:hint="eastAsia"/>
                <w:lang w:eastAsia="zh-CN"/>
              </w:rPr>
              <w:t>完成培训5000人次</w:t>
            </w:r>
          </w:p>
        </w:tc>
        <w:tc>
          <w:tcPr>
            <w:tcW w:w="2551" w:type="dxa"/>
            <w:vAlign w:val="center"/>
          </w:tcPr>
          <w:p>
            <w:pPr>
              <w:pStyle w:val="21"/>
            </w:pPr>
            <w:r>
              <w:t>≥5000人</w:t>
            </w:r>
          </w:p>
        </w:tc>
        <w:tc>
          <w:tcPr>
            <w:tcW w:w="2268" w:type="dxa"/>
            <w:vAlign w:val="center"/>
          </w:tcPr>
          <w:p>
            <w:pPr>
              <w:pStyle w:val="2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按计划组织培训</w:t>
            </w:r>
          </w:p>
        </w:tc>
        <w:tc>
          <w:tcPr>
            <w:tcW w:w="2835" w:type="dxa"/>
            <w:vAlign w:val="center"/>
          </w:tcPr>
          <w:p>
            <w:pPr>
              <w:pStyle w:val="21"/>
            </w:pPr>
            <w:r>
              <w:t>完成培训任务28场次</w:t>
            </w:r>
          </w:p>
        </w:tc>
        <w:tc>
          <w:tcPr>
            <w:tcW w:w="2551" w:type="dxa"/>
            <w:vAlign w:val="center"/>
          </w:tcPr>
          <w:p>
            <w:pPr>
              <w:pStyle w:val="21"/>
            </w:pPr>
            <w:r>
              <w:t>≥28次</w:t>
            </w:r>
          </w:p>
        </w:tc>
        <w:tc>
          <w:tcPr>
            <w:tcW w:w="2268" w:type="dxa"/>
            <w:vAlign w:val="center"/>
          </w:tcPr>
          <w:p>
            <w:pPr>
              <w:pStyle w:val="2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生态效益指标</w:t>
            </w:r>
          </w:p>
        </w:tc>
        <w:tc>
          <w:tcPr>
            <w:tcW w:w="2835" w:type="dxa"/>
            <w:vAlign w:val="center"/>
          </w:tcPr>
          <w:p>
            <w:pPr>
              <w:pStyle w:val="21"/>
            </w:pPr>
            <w:r>
              <w:t>线上</w:t>
            </w:r>
            <w:r>
              <w:rPr>
                <w:rFonts w:hint="eastAsia"/>
                <w:lang w:eastAsia="zh-CN"/>
              </w:rPr>
              <w:t>和</w:t>
            </w:r>
            <w:r>
              <w:t>集中</w:t>
            </w:r>
            <w:r>
              <w:rPr>
                <w:rFonts w:hint="eastAsia"/>
                <w:lang w:eastAsia="zh-CN"/>
              </w:rPr>
              <w:t>宣</w:t>
            </w:r>
            <w:r>
              <w:t>讲轮训</w:t>
            </w:r>
          </w:p>
        </w:tc>
        <w:tc>
          <w:tcPr>
            <w:tcW w:w="2835" w:type="dxa"/>
            <w:vAlign w:val="center"/>
          </w:tcPr>
          <w:p>
            <w:pPr>
              <w:pStyle w:val="21"/>
            </w:pPr>
            <w:r>
              <w:t>线上</w:t>
            </w:r>
            <w:r>
              <w:rPr>
                <w:rFonts w:hint="eastAsia"/>
                <w:lang w:eastAsia="zh-CN"/>
              </w:rPr>
              <w:t>和</w:t>
            </w:r>
            <w:r>
              <w:t>轮训</w:t>
            </w:r>
            <w:r>
              <w:rPr>
                <w:rFonts w:hint="eastAsia"/>
                <w:lang w:eastAsia="zh-CN"/>
              </w:rPr>
              <w:t>共计28</w:t>
            </w:r>
            <w:r>
              <w:t xml:space="preserve"> 场次</w:t>
            </w:r>
          </w:p>
        </w:tc>
        <w:tc>
          <w:tcPr>
            <w:tcW w:w="2551" w:type="dxa"/>
            <w:vAlign w:val="center"/>
          </w:tcPr>
          <w:p>
            <w:pPr>
              <w:pStyle w:val="21"/>
            </w:pPr>
            <w:r>
              <w:t>≥2</w:t>
            </w:r>
            <w:r>
              <w:rPr>
                <w:rFonts w:hint="eastAsia"/>
                <w:lang w:eastAsia="zh-CN"/>
              </w:rPr>
              <w:t>8</w:t>
            </w:r>
            <w:r>
              <w:t>次</w:t>
            </w:r>
          </w:p>
        </w:tc>
        <w:tc>
          <w:tcPr>
            <w:tcW w:w="2268" w:type="dxa"/>
            <w:vAlign w:val="center"/>
          </w:tcPr>
          <w:p>
            <w:pPr>
              <w:pStyle w:val="2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可持续影响指标</w:t>
            </w:r>
          </w:p>
        </w:tc>
        <w:tc>
          <w:tcPr>
            <w:tcW w:w="2835" w:type="dxa"/>
            <w:vAlign w:val="center"/>
          </w:tcPr>
          <w:p>
            <w:pPr>
              <w:pStyle w:val="21"/>
              <w:rPr>
                <w:lang w:eastAsia="zh-CN"/>
              </w:rPr>
            </w:pPr>
            <w:r>
              <w:rPr>
                <w:rFonts w:hint="eastAsia"/>
                <w:lang w:eastAsia="zh-CN"/>
              </w:rPr>
              <w:t>提高工作水平</w:t>
            </w:r>
          </w:p>
        </w:tc>
        <w:tc>
          <w:tcPr>
            <w:tcW w:w="2835" w:type="dxa"/>
            <w:vAlign w:val="center"/>
          </w:tcPr>
          <w:p>
            <w:pPr>
              <w:pStyle w:val="21"/>
              <w:rPr>
                <w:lang w:eastAsia="zh-CN"/>
              </w:rPr>
            </w:pPr>
            <w:r>
              <w:t>广泛开展丰富多彩</w:t>
            </w:r>
            <w:r>
              <w:rPr>
                <w:rFonts w:hint="eastAsia"/>
                <w:lang w:eastAsia="zh-CN"/>
              </w:rPr>
              <w:t>宣讲活动，提高凝聚力10次</w:t>
            </w:r>
          </w:p>
        </w:tc>
        <w:tc>
          <w:tcPr>
            <w:tcW w:w="2551" w:type="dxa"/>
            <w:vAlign w:val="center"/>
          </w:tcPr>
          <w:p>
            <w:pPr>
              <w:pStyle w:val="21"/>
            </w:pPr>
            <w:r>
              <w:t>≥10次</w:t>
            </w:r>
          </w:p>
        </w:tc>
        <w:tc>
          <w:tcPr>
            <w:tcW w:w="2268" w:type="dxa"/>
            <w:vAlign w:val="center"/>
          </w:tcPr>
          <w:p>
            <w:pPr>
              <w:pStyle w:val="2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满意率</w:t>
            </w:r>
          </w:p>
        </w:tc>
        <w:tc>
          <w:tcPr>
            <w:tcW w:w="2835" w:type="dxa"/>
            <w:vAlign w:val="center"/>
          </w:tcPr>
          <w:p>
            <w:pPr>
              <w:pStyle w:val="21"/>
            </w:pPr>
            <w:r>
              <w:t>参加培训学员的满意程度</w:t>
            </w:r>
          </w:p>
        </w:tc>
        <w:tc>
          <w:tcPr>
            <w:tcW w:w="2551" w:type="dxa"/>
            <w:vAlign w:val="center"/>
          </w:tcPr>
          <w:p>
            <w:pPr>
              <w:pStyle w:val="21"/>
            </w:pPr>
            <w:r>
              <w:t>≥9</w:t>
            </w:r>
            <w:r>
              <w:rPr>
                <w:rFonts w:hint="eastAsia"/>
                <w:lang w:eastAsia="zh-CN"/>
              </w:rPr>
              <w:t>8</w:t>
            </w:r>
            <w:r>
              <w:t>%</w:t>
            </w:r>
          </w:p>
        </w:tc>
        <w:tc>
          <w:tcPr>
            <w:tcW w:w="2268" w:type="dxa"/>
            <w:vAlign w:val="center"/>
          </w:tcPr>
          <w:p>
            <w:pPr>
              <w:pStyle w:val="21"/>
            </w:pPr>
            <w:r>
              <w:t>根据年初预算安排</w:t>
            </w:r>
          </w:p>
        </w:tc>
      </w:tr>
    </w:tbl>
    <w:p>
      <w:pPr>
        <w:autoSpaceDE w:val="0"/>
        <w:autoSpaceDN w:val="0"/>
        <w:adjustRightInd w:val="0"/>
        <w:ind w:firstLine="964" w:firstLineChars="300"/>
        <w:jc w:val="left"/>
        <w:rPr>
          <w:rFonts w:ascii="黑体" w:hAnsi="黑体" w:eastAsia="黑体" w:cs="Times New Roman"/>
          <w:b/>
          <w:sz w:val="32"/>
          <w:szCs w:val="32"/>
        </w:rPr>
      </w:pPr>
    </w:p>
    <w:p>
      <w:pPr>
        <w:autoSpaceDE w:val="0"/>
        <w:autoSpaceDN w:val="0"/>
        <w:adjustRightInd w:val="0"/>
        <w:ind w:firstLine="964" w:firstLineChars="300"/>
        <w:jc w:val="left"/>
        <w:rPr>
          <w:rFonts w:ascii="黑体" w:hAnsi="黑体" w:eastAsia="黑体" w:cs="Times New Roman"/>
          <w:b/>
          <w:sz w:val="32"/>
          <w:szCs w:val="32"/>
        </w:rPr>
      </w:pPr>
    </w:p>
    <w:p>
      <w:pPr>
        <w:autoSpaceDE w:val="0"/>
        <w:autoSpaceDN w:val="0"/>
        <w:adjustRightInd w:val="0"/>
        <w:ind w:firstLine="964" w:firstLineChars="300"/>
        <w:jc w:val="left"/>
        <w:rPr>
          <w:rFonts w:ascii="黑体" w:hAnsi="黑体" w:eastAsia="黑体" w:cs="Times New Roman"/>
          <w:b/>
          <w:sz w:val="32"/>
          <w:szCs w:val="32"/>
        </w:rPr>
      </w:pPr>
    </w:p>
    <w:p>
      <w:pPr>
        <w:autoSpaceDE w:val="0"/>
        <w:autoSpaceDN w:val="0"/>
        <w:adjustRightInd w:val="0"/>
        <w:ind w:firstLine="964" w:firstLineChars="300"/>
        <w:jc w:val="left"/>
        <w:rPr>
          <w:rFonts w:ascii="黑体" w:hAnsi="黑体" w:eastAsia="黑体" w:cs="Times New Roman"/>
          <w:b/>
          <w:sz w:val="32"/>
          <w:szCs w:val="32"/>
        </w:rPr>
      </w:pPr>
      <w:r>
        <w:rPr>
          <w:rFonts w:hint="eastAsia" w:ascii="黑体" w:hAnsi="黑体" w:eastAsia="黑体" w:cs="Times New Roman"/>
          <w:b/>
          <w:sz w:val="32"/>
          <w:szCs w:val="32"/>
        </w:rPr>
        <w:t>六、政府采购预算情况</w:t>
      </w:r>
    </w:p>
    <w:p>
      <w:pPr>
        <w:widowControl/>
        <w:spacing w:line="580" w:lineRule="exact"/>
        <w:ind w:firstLine="640" w:firstLineChars="200"/>
        <w:jc w:val="left"/>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rPr>
        <w:t>本部门</w:t>
      </w:r>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rPr>
        <w:t>23</w:t>
      </w:r>
      <w:r>
        <w:rPr>
          <w:rFonts w:hint="eastAsia" w:ascii="Times New Roman" w:hAnsi="Times New Roman" w:cs="Times New Roman" w:eastAsiaTheme="minorEastAsia"/>
          <w:sz w:val="32"/>
          <w:szCs w:val="24"/>
        </w:rPr>
        <w:t>年</w:t>
      </w:r>
      <w:r>
        <w:rPr>
          <w:rFonts w:ascii="Times New Roman" w:hAnsi="Times New Roman" w:eastAsia="方正仿宋_GBK" w:cs="Times New Roman"/>
          <w:sz w:val="32"/>
          <w:szCs w:val="24"/>
        </w:rPr>
        <w:t>安排政府采购预算</w:t>
      </w:r>
      <w:r>
        <w:rPr>
          <w:rFonts w:hint="eastAsia" w:ascii="Times New Roman" w:hAnsi="Times New Roman" w:cs="Times New Roman"/>
          <w:sz w:val="32"/>
          <w:szCs w:val="24"/>
        </w:rPr>
        <w:t>0</w:t>
      </w:r>
      <w:r>
        <w:rPr>
          <w:rFonts w:ascii="Times New Roman" w:hAnsi="Times New Roman" w:eastAsia="方正仿宋_GBK" w:cs="Times New Roman"/>
          <w:sz w:val="32"/>
          <w:szCs w:val="24"/>
        </w:rPr>
        <w:t>万元</w:t>
      </w:r>
      <w:r>
        <w:rPr>
          <w:rFonts w:hint="eastAsia" w:ascii="Times New Roman" w:hAnsi="Times New Roman" w:eastAsia="方正仿宋_GBK" w:cs="Times New Roman"/>
          <w:sz w:val="32"/>
          <w:szCs w:val="24"/>
        </w:rPr>
        <w:t>（见下表）</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因采购项目、采购物品、采购数量、采购金额未超政府采购限额，2023年度未安排政府采购预算。政府采购预算情况为，采购项目为0、采购物品为0、采购数量0、采购金额0。</w:t>
      </w:r>
    </w:p>
    <w:tbl>
      <w:tblPr>
        <w:tblStyle w:val="9"/>
        <w:tblpPr w:leftFromText="180" w:rightFromText="180" w:vertAnchor="text" w:horzAnchor="page" w:tblpX="1422" w:tblpY="265"/>
        <w:tblOverlap w:val="never"/>
        <w:tblW w:w="1489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4"/>
        <w:gridCol w:w="1088"/>
        <w:gridCol w:w="1470"/>
        <w:gridCol w:w="1471"/>
        <w:gridCol w:w="681"/>
        <w:gridCol w:w="871"/>
        <w:gridCol w:w="970"/>
        <w:gridCol w:w="992"/>
        <w:gridCol w:w="1089"/>
        <w:gridCol w:w="1089"/>
        <w:gridCol w:w="1089"/>
        <w:gridCol w:w="1089"/>
        <w:gridCol w:w="1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blHeader/>
        </w:trPr>
        <w:tc>
          <w:tcPr>
            <w:tcW w:w="8455"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eastAsia="方正小标宋_GBK" w:hAnsiTheme="minorHAnsi" w:cstheme="minorBidi"/>
                <w:sz w:val="24"/>
              </w:rPr>
            </w:pPr>
            <w:r>
              <w:rPr>
                <w:rFonts w:hint="eastAsia" w:ascii="方正小标宋_GBK" w:eastAsia="方正小标宋_GBK"/>
                <w:sz w:val="24"/>
              </w:rPr>
              <w:t>281曹妃甸区党校</w:t>
            </w:r>
          </w:p>
        </w:tc>
        <w:tc>
          <w:tcPr>
            <w:tcW w:w="6440"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hAnsiTheme="minorHAnsi" w:cstheme="minorBidi"/>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blHeader/>
        </w:trPr>
        <w:tc>
          <w:tcPr>
            <w:tcW w:w="2992"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政府采购项目来源</w:t>
            </w:r>
          </w:p>
        </w:tc>
        <w:tc>
          <w:tcPr>
            <w:tcW w:w="147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采购物品名称</w:t>
            </w:r>
          </w:p>
        </w:tc>
        <w:tc>
          <w:tcPr>
            <w:tcW w:w="147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政府采购目录序号</w:t>
            </w:r>
          </w:p>
        </w:tc>
        <w:tc>
          <w:tcPr>
            <w:tcW w:w="68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计量  单位</w:t>
            </w:r>
          </w:p>
        </w:tc>
        <w:tc>
          <w:tcPr>
            <w:tcW w:w="87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数量</w:t>
            </w:r>
          </w:p>
        </w:tc>
        <w:tc>
          <w:tcPr>
            <w:tcW w:w="97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单价</w:t>
            </w:r>
          </w:p>
        </w:tc>
        <w:tc>
          <w:tcPr>
            <w:tcW w:w="6440"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6" w:hRule="atLeast"/>
          <w:tblHeader/>
        </w:trPr>
        <w:tc>
          <w:tcPr>
            <w:tcW w:w="19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项目名称</w:t>
            </w:r>
          </w:p>
        </w:tc>
        <w:tc>
          <w:tcPr>
            <w:tcW w:w="10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预算资金</w:t>
            </w:r>
          </w:p>
        </w:tc>
        <w:tc>
          <w:tcPr>
            <w:tcW w:w="14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hAnsiTheme="minorHAnsi" w:cstheme="minorBidi"/>
                <w:b/>
              </w:rPr>
            </w:pPr>
          </w:p>
        </w:tc>
        <w:tc>
          <w:tcPr>
            <w:tcW w:w="1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hAnsiTheme="minorHAnsi" w:cstheme="minorBidi"/>
                <w:b/>
              </w:rPr>
            </w:pPr>
          </w:p>
        </w:tc>
        <w:tc>
          <w:tcPr>
            <w:tcW w:w="68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hAnsiTheme="minorHAnsi" w:cstheme="minorBidi"/>
                <w:b/>
              </w:rPr>
            </w:pPr>
          </w:p>
        </w:tc>
        <w:tc>
          <w:tcPr>
            <w:tcW w:w="8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hAnsiTheme="minorHAnsi" w:cstheme="minorBidi"/>
                <w:b/>
              </w:rPr>
            </w:pPr>
          </w:p>
        </w:tc>
        <w:tc>
          <w:tcPr>
            <w:tcW w:w="9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hAnsiTheme="minorHAnsi" w:cstheme="minorBidi"/>
                <w:b/>
              </w:rPr>
            </w:pP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合计</w:t>
            </w: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一般公共预算拨款</w:t>
            </w: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基金预算拨款</w:t>
            </w: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国有资本经营预算拨款</w:t>
            </w: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财政专户核拨</w:t>
            </w:r>
          </w:p>
        </w:tc>
        <w:tc>
          <w:tcPr>
            <w:tcW w:w="10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19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r>
              <w:rPr>
                <w:rFonts w:hint="eastAsia" w:ascii="方正书宋_GBK" w:eastAsia="方正书宋_GBK"/>
                <w:b/>
              </w:rPr>
              <w:t>合　计</w:t>
            </w:r>
          </w:p>
        </w:tc>
        <w:tc>
          <w:tcPr>
            <w:tcW w:w="10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b/>
              </w:rPr>
            </w:pPr>
          </w:p>
        </w:tc>
        <w:tc>
          <w:tcPr>
            <w:tcW w:w="14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b/>
              </w:rPr>
            </w:pPr>
          </w:p>
        </w:tc>
        <w:tc>
          <w:tcPr>
            <w:tcW w:w="6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p>
        </w:tc>
        <w:tc>
          <w:tcPr>
            <w:tcW w:w="8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9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r>
              <w:rPr>
                <w:rFonts w:hint="eastAsia" w:ascii="方正书宋_GBK" w:eastAsia="方正书宋_GBK"/>
                <w:b/>
              </w:rPr>
              <w:t>0</w:t>
            </w: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0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19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b/>
              </w:rPr>
            </w:pPr>
          </w:p>
        </w:tc>
        <w:tc>
          <w:tcPr>
            <w:tcW w:w="14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b/>
              </w:rPr>
            </w:pPr>
          </w:p>
        </w:tc>
        <w:tc>
          <w:tcPr>
            <w:tcW w:w="6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b/>
              </w:rPr>
            </w:pPr>
          </w:p>
        </w:tc>
        <w:tc>
          <w:tcPr>
            <w:tcW w:w="8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9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c>
          <w:tcPr>
            <w:tcW w:w="10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19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rPr>
            </w:pPr>
          </w:p>
        </w:tc>
        <w:tc>
          <w:tcPr>
            <w:tcW w:w="14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rPr>
            </w:pPr>
          </w:p>
        </w:tc>
        <w:tc>
          <w:tcPr>
            <w:tcW w:w="6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rPr>
            </w:pPr>
          </w:p>
        </w:tc>
        <w:tc>
          <w:tcPr>
            <w:tcW w:w="8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9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trPr>
        <w:tc>
          <w:tcPr>
            <w:tcW w:w="19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rPr>
            </w:pPr>
          </w:p>
        </w:tc>
        <w:tc>
          <w:tcPr>
            <w:tcW w:w="14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rPr>
            </w:pPr>
          </w:p>
        </w:tc>
        <w:tc>
          <w:tcPr>
            <w:tcW w:w="6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hAnsiTheme="minorHAnsi" w:cstheme="minorBidi"/>
              </w:rPr>
            </w:pPr>
          </w:p>
        </w:tc>
        <w:tc>
          <w:tcPr>
            <w:tcW w:w="8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9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c>
          <w:tcPr>
            <w:tcW w:w="109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hAnsiTheme="minorHAnsi" w:cstheme="minorBidi"/>
              </w:rPr>
            </w:pPr>
          </w:p>
        </w:tc>
      </w:tr>
    </w:tbl>
    <w:p>
      <w:pPr>
        <w:widowControl/>
        <w:spacing w:line="580" w:lineRule="exact"/>
        <w:ind w:firstLine="640" w:firstLineChars="200"/>
        <w:jc w:val="left"/>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注：无政府采购预算，空表列示。</w:t>
      </w:r>
    </w:p>
    <w:p>
      <w:pPr>
        <w:ind w:firstLine="803" w:firstLineChars="250"/>
        <w:outlineLvl w:val="0"/>
        <w:rPr>
          <w:b/>
        </w:rPr>
      </w:pPr>
      <w:r>
        <w:rPr>
          <w:rFonts w:hint="eastAsia" w:ascii="黑体" w:hAnsi="黑体" w:eastAsia="黑体" w:cs="Times New Roman"/>
          <w:b/>
          <w:sz w:val="32"/>
          <w:szCs w:val="32"/>
        </w:rPr>
        <w:t>七、国有资产信息</w:t>
      </w:r>
    </w:p>
    <w:p>
      <w:pPr>
        <w:ind w:firstLine="640"/>
        <w:rPr>
          <w:rFonts w:ascii="仿宋_GB2312" w:hAnsi="黑体" w:eastAsia="仿宋_GB2312" w:cs="Times New Roman"/>
          <w:sz w:val="32"/>
          <w:szCs w:val="32"/>
        </w:rPr>
      </w:pPr>
      <w:r>
        <w:rPr>
          <w:rFonts w:hint="eastAsia" w:ascii="Times New Roman" w:hAnsi="Times New Roman" w:eastAsia="方正仿宋_GBK" w:cs="Times New Roman"/>
          <w:sz w:val="32"/>
          <w:szCs w:val="24"/>
        </w:rPr>
        <w:t>上年末固定资产原值金额为136.32万元（详见下表）。本年度拟购置固定资产主要为碎纸机、保密电脑、速印机、打印机、五节柜等办公设备共计5.5万元，均为20万元以下的设备。</w:t>
      </w:r>
    </w:p>
    <w:p>
      <w:pPr>
        <w:rPr>
          <w:rFonts w:ascii="??_GB2312" w:hAnsi="黑体" w:cs="Times New Roman" w:eastAsiaTheme="minorEastAsia"/>
          <w:color w:val="FF0000"/>
          <w:sz w:val="32"/>
          <w:szCs w:val="32"/>
        </w:rPr>
      </w:pPr>
    </w:p>
    <w:tbl>
      <w:tblPr>
        <w:tblStyle w:val="9"/>
        <w:tblW w:w="0" w:type="auto"/>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曹妃甸区委党校部门固定资产占用情况表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编制部门：曹妃甸区委党校</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22年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136.32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85.85</w:t>
            </w:r>
          </w:p>
        </w:tc>
      </w:tr>
      <w:tr>
        <w:tblPrEx>
          <w:tblCellMar>
            <w:top w:w="0" w:type="dxa"/>
            <w:left w:w="108" w:type="dxa"/>
            <w:bottom w:w="0" w:type="dxa"/>
            <w:right w:w="108" w:type="dxa"/>
          </w:tblCellMar>
        </w:tblPrEx>
        <w:trPr>
          <w:trHeight w:val="56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19.32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31.15</w:t>
            </w:r>
          </w:p>
        </w:tc>
      </w:tr>
    </w:tbl>
    <w:p>
      <w:pPr>
        <w:pStyle w:val="16"/>
        <w:numPr>
          <w:ilvl w:val="0"/>
          <w:numId w:val="3"/>
        </w:numPr>
        <w:autoSpaceDE w:val="0"/>
        <w:autoSpaceDN w:val="0"/>
        <w:adjustRightInd w:val="0"/>
        <w:ind w:firstLineChars="0"/>
        <w:jc w:val="left"/>
        <w:rPr>
          <w:rFonts w:ascii="黑体" w:hAnsi="黑体" w:eastAsia="黑体" w:cs="Times New Roman"/>
          <w:b/>
          <w:sz w:val="32"/>
          <w:szCs w:val="32"/>
        </w:rPr>
      </w:pPr>
      <w:r>
        <w:rPr>
          <w:rFonts w:hint="eastAsia" w:ascii="黑体" w:hAnsi="黑体" w:eastAsia="黑体" w:cs="Times New Roman"/>
          <w:b/>
          <w:sz w:val="32"/>
          <w:szCs w:val="32"/>
        </w:rPr>
        <w:t>名词解释</w:t>
      </w:r>
    </w:p>
    <w:p>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1</w:t>
      </w:r>
      <w:r>
        <w:rPr>
          <w:rFonts w:hint="eastAsia" w:ascii="宋体" w:hAnsi="宋体" w:cs="宋体"/>
          <w:sz w:val="32"/>
          <w:szCs w:val="32"/>
        </w:rPr>
        <w:t>、一般预算收入：区级财政当年拨付的资金。</w:t>
      </w:r>
    </w:p>
    <w:p>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2</w:t>
      </w:r>
      <w:r>
        <w:rPr>
          <w:rFonts w:hint="eastAsia" w:ascii="宋体" w:hAnsi="宋体" w:cs="宋体"/>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3</w:t>
      </w:r>
      <w:r>
        <w:rPr>
          <w:rFonts w:hint="eastAsia" w:ascii="宋体" w:hAnsi="宋体" w:cs="宋体"/>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4</w:t>
      </w:r>
      <w:r>
        <w:rPr>
          <w:rFonts w:hint="eastAsia" w:ascii="宋体" w:hAnsi="宋体" w:cs="宋体"/>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pPr>
        <w:autoSpaceDE w:val="0"/>
        <w:autoSpaceDN w:val="0"/>
        <w:adjustRightInd w:val="0"/>
        <w:ind w:firstLine="964" w:firstLineChars="3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firstLine="1600" w:firstLineChars="500"/>
        <w:jc w:val="left"/>
        <w:rPr>
          <w:rFonts w:ascii="??_GB2312" w:hAnsi="??_GB2312" w:cs="??_GB2312" w:eastAsiaTheme="minorEastAsia"/>
          <w:sz w:val="32"/>
          <w:szCs w:val="32"/>
        </w:rPr>
      </w:pPr>
      <w:r>
        <w:rPr>
          <w:rFonts w:hint="eastAsia" w:ascii="??_GB2312" w:hAnsi="??_GB2312" w:cs="??_GB2312" w:eastAsiaTheme="minorEastAsia"/>
          <w:sz w:val="32"/>
          <w:szCs w:val="32"/>
        </w:rPr>
        <w:t>无</w:t>
      </w:r>
    </w:p>
    <w:sectPr>
      <w:headerReference r:id="rId3" w:type="default"/>
      <w:footerReference r:id="rId4"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10" w:usb3="00000000" w:csb0="00040000" w:csb1="00000000"/>
  </w:font>
  <w:font w:name="方正楷体_GBK">
    <w:panose1 w:val="02000000000000000000"/>
    <w:charset w:val="86"/>
    <w:family w:val="roman"/>
    <w:pitch w:val="default"/>
    <w:sig w:usb0="00000001" w:usb1="08000000" w:usb2="00000000" w:usb3="00000000" w:csb0="00040000" w:csb1="00000000"/>
  </w:font>
  <w:font w:name="宋体-方正超大字符集">
    <w:altName w:val="方正书宋_GBK"/>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t xml:space="preserve"> </w:t>
    </w:r>
    <w:r>
      <w:fldChar w:fldCharType="begin"/>
    </w:r>
    <w:r>
      <w:instrText xml:space="preserve"> Page \* MERGEFORMAT </w:instrText>
    </w:r>
    <w:r>
      <w:fldChar w:fldCharType="separate"/>
    </w:r>
    <w:r>
      <w:t>13</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45FA4989"/>
    <w:multiLevelType w:val="multilevel"/>
    <w:tmpl w:val="45FA4989"/>
    <w:lvl w:ilvl="0" w:tentative="0">
      <w:start w:val="8"/>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909A0EE"/>
    <w:multiLevelType w:val="singleLevel"/>
    <w:tmpl w:val="5909A0EE"/>
    <w:lvl w:ilvl="0" w:tentative="0">
      <w:start w:val="1"/>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9"/>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4E13"/>
    <w:rsid w:val="000069C9"/>
    <w:rsid w:val="00007175"/>
    <w:rsid w:val="000230EE"/>
    <w:rsid w:val="0004731A"/>
    <w:rsid w:val="00070BC4"/>
    <w:rsid w:val="00075A86"/>
    <w:rsid w:val="0008211F"/>
    <w:rsid w:val="000F1DB0"/>
    <w:rsid w:val="00112C3E"/>
    <w:rsid w:val="00117CB4"/>
    <w:rsid w:val="001306AA"/>
    <w:rsid w:val="00163395"/>
    <w:rsid w:val="00172A27"/>
    <w:rsid w:val="00183B5F"/>
    <w:rsid w:val="0019464D"/>
    <w:rsid w:val="001A7476"/>
    <w:rsid w:val="001A749F"/>
    <w:rsid w:val="001B0F0A"/>
    <w:rsid w:val="001B20D2"/>
    <w:rsid w:val="001B57CF"/>
    <w:rsid w:val="001B73FA"/>
    <w:rsid w:val="001C00E3"/>
    <w:rsid w:val="001C6AA5"/>
    <w:rsid w:val="001D0122"/>
    <w:rsid w:val="001D77BA"/>
    <w:rsid w:val="001F5DC0"/>
    <w:rsid w:val="0020019A"/>
    <w:rsid w:val="0020516D"/>
    <w:rsid w:val="002134C2"/>
    <w:rsid w:val="0021541C"/>
    <w:rsid w:val="00225BED"/>
    <w:rsid w:val="002364EA"/>
    <w:rsid w:val="00240E05"/>
    <w:rsid w:val="00261D6A"/>
    <w:rsid w:val="00297116"/>
    <w:rsid w:val="002A5E05"/>
    <w:rsid w:val="002C439A"/>
    <w:rsid w:val="002C66BC"/>
    <w:rsid w:val="002F20D4"/>
    <w:rsid w:val="002F72B1"/>
    <w:rsid w:val="00300C0E"/>
    <w:rsid w:val="00301D4C"/>
    <w:rsid w:val="00305B1C"/>
    <w:rsid w:val="00306ADD"/>
    <w:rsid w:val="003123F3"/>
    <w:rsid w:val="00316188"/>
    <w:rsid w:val="003216AE"/>
    <w:rsid w:val="003408F5"/>
    <w:rsid w:val="0035539F"/>
    <w:rsid w:val="00362838"/>
    <w:rsid w:val="00387E5C"/>
    <w:rsid w:val="003B6348"/>
    <w:rsid w:val="003C160E"/>
    <w:rsid w:val="003D1B74"/>
    <w:rsid w:val="003E4A75"/>
    <w:rsid w:val="003E664A"/>
    <w:rsid w:val="003E7979"/>
    <w:rsid w:val="004067CB"/>
    <w:rsid w:val="0041506D"/>
    <w:rsid w:val="004171E0"/>
    <w:rsid w:val="00426C7B"/>
    <w:rsid w:val="00427E41"/>
    <w:rsid w:val="00447C4F"/>
    <w:rsid w:val="0045461A"/>
    <w:rsid w:val="00462FAE"/>
    <w:rsid w:val="004638D2"/>
    <w:rsid w:val="0048138C"/>
    <w:rsid w:val="004823AB"/>
    <w:rsid w:val="004B4A2C"/>
    <w:rsid w:val="004B72CD"/>
    <w:rsid w:val="004C2F51"/>
    <w:rsid w:val="004C4ECA"/>
    <w:rsid w:val="004F6C92"/>
    <w:rsid w:val="00503904"/>
    <w:rsid w:val="00503EC8"/>
    <w:rsid w:val="00506088"/>
    <w:rsid w:val="00506C6C"/>
    <w:rsid w:val="00511D76"/>
    <w:rsid w:val="00517340"/>
    <w:rsid w:val="00525F70"/>
    <w:rsid w:val="00531BE7"/>
    <w:rsid w:val="00550158"/>
    <w:rsid w:val="00552541"/>
    <w:rsid w:val="00560A79"/>
    <w:rsid w:val="00597E0B"/>
    <w:rsid w:val="005B2960"/>
    <w:rsid w:val="005B3605"/>
    <w:rsid w:val="005B3BB9"/>
    <w:rsid w:val="005B4415"/>
    <w:rsid w:val="005B625E"/>
    <w:rsid w:val="005D534C"/>
    <w:rsid w:val="005E25C5"/>
    <w:rsid w:val="005E6613"/>
    <w:rsid w:val="005F1F84"/>
    <w:rsid w:val="005F3A9B"/>
    <w:rsid w:val="005F53A3"/>
    <w:rsid w:val="00602191"/>
    <w:rsid w:val="006057BC"/>
    <w:rsid w:val="006164D6"/>
    <w:rsid w:val="006227FD"/>
    <w:rsid w:val="0063246E"/>
    <w:rsid w:val="00635BB6"/>
    <w:rsid w:val="006637C3"/>
    <w:rsid w:val="006800F6"/>
    <w:rsid w:val="006A63EA"/>
    <w:rsid w:val="006D208A"/>
    <w:rsid w:val="006E59D1"/>
    <w:rsid w:val="006E5CB6"/>
    <w:rsid w:val="006F54D7"/>
    <w:rsid w:val="007031AF"/>
    <w:rsid w:val="007040A8"/>
    <w:rsid w:val="00706081"/>
    <w:rsid w:val="00711830"/>
    <w:rsid w:val="007231CF"/>
    <w:rsid w:val="0072472F"/>
    <w:rsid w:val="007322B9"/>
    <w:rsid w:val="007368AA"/>
    <w:rsid w:val="0074016B"/>
    <w:rsid w:val="0074297C"/>
    <w:rsid w:val="00747BDC"/>
    <w:rsid w:val="00756BEC"/>
    <w:rsid w:val="00774386"/>
    <w:rsid w:val="0079771D"/>
    <w:rsid w:val="007A3B31"/>
    <w:rsid w:val="007A6A1E"/>
    <w:rsid w:val="007D0D39"/>
    <w:rsid w:val="007D13B9"/>
    <w:rsid w:val="007D6E9D"/>
    <w:rsid w:val="007E03CB"/>
    <w:rsid w:val="007E2EF2"/>
    <w:rsid w:val="007E46E4"/>
    <w:rsid w:val="007E4C46"/>
    <w:rsid w:val="007F3237"/>
    <w:rsid w:val="007F51A4"/>
    <w:rsid w:val="0080657E"/>
    <w:rsid w:val="00810BA4"/>
    <w:rsid w:val="008147A0"/>
    <w:rsid w:val="008326EF"/>
    <w:rsid w:val="00835EDC"/>
    <w:rsid w:val="00850ACC"/>
    <w:rsid w:val="0086764E"/>
    <w:rsid w:val="00867E5C"/>
    <w:rsid w:val="008903C5"/>
    <w:rsid w:val="008968ED"/>
    <w:rsid w:val="008A341C"/>
    <w:rsid w:val="008A58FD"/>
    <w:rsid w:val="008D34F1"/>
    <w:rsid w:val="008D46AE"/>
    <w:rsid w:val="008E2A9C"/>
    <w:rsid w:val="008F479A"/>
    <w:rsid w:val="0090710A"/>
    <w:rsid w:val="00921562"/>
    <w:rsid w:val="00923231"/>
    <w:rsid w:val="00942D3F"/>
    <w:rsid w:val="0095781B"/>
    <w:rsid w:val="0097473B"/>
    <w:rsid w:val="009836A5"/>
    <w:rsid w:val="00990C8B"/>
    <w:rsid w:val="009961BE"/>
    <w:rsid w:val="009A31AE"/>
    <w:rsid w:val="009B587A"/>
    <w:rsid w:val="009C1B3F"/>
    <w:rsid w:val="009D4812"/>
    <w:rsid w:val="009D51AD"/>
    <w:rsid w:val="009D7F8D"/>
    <w:rsid w:val="009F3D4B"/>
    <w:rsid w:val="00A112D2"/>
    <w:rsid w:val="00A134D4"/>
    <w:rsid w:val="00A27A57"/>
    <w:rsid w:val="00A335C6"/>
    <w:rsid w:val="00A40187"/>
    <w:rsid w:val="00A46078"/>
    <w:rsid w:val="00A46775"/>
    <w:rsid w:val="00A5056C"/>
    <w:rsid w:val="00A53B58"/>
    <w:rsid w:val="00A81366"/>
    <w:rsid w:val="00A908CD"/>
    <w:rsid w:val="00A95EB7"/>
    <w:rsid w:val="00A9623B"/>
    <w:rsid w:val="00AA2A0B"/>
    <w:rsid w:val="00AA6146"/>
    <w:rsid w:val="00AB4F5D"/>
    <w:rsid w:val="00AB6389"/>
    <w:rsid w:val="00AC78FF"/>
    <w:rsid w:val="00AD37E8"/>
    <w:rsid w:val="00AD7608"/>
    <w:rsid w:val="00AE35DD"/>
    <w:rsid w:val="00AE4E4D"/>
    <w:rsid w:val="00AF6E0D"/>
    <w:rsid w:val="00B00F16"/>
    <w:rsid w:val="00B108EB"/>
    <w:rsid w:val="00B33143"/>
    <w:rsid w:val="00B40B09"/>
    <w:rsid w:val="00B57544"/>
    <w:rsid w:val="00B57D0A"/>
    <w:rsid w:val="00B75533"/>
    <w:rsid w:val="00B80E8A"/>
    <w:rsid w:val="00B95CD9"/>
    <w:rsid w:val="00B95D98"/>
    <w:rsid w:val="00BC0564"/>
    <w:rsid w:val="00BC7EDF"/>
    <w:rsid w:val="00BE12CA"/>
    <w:rsid w:val="00BE2C2C"/>
    <w:rsid w:val="00BE6142"/>
    <w:rsid w:val="00C101F1"/>
    <w:rsid w:val="00C22119"/>
    <w:rsid w:val="00C30123"/>
    <w:rsid w:val="00C34151"/>
    <w:rsid w:val="00C35724"/>
    <w:rsid w:val="00C42503"/>
    <w:rsid w:val="00C57260"/>
    <w:rsid w:val="00C66002"/>
    <w:rsid w:val="00C701D6"/>
    <w:rsid w:val="00C76BDE"/>
    <w:rsid w:val="00C9161E"/>
    <w:rsid w:val="00C924E7"/>
    <w:rsid w:val="00C95C9A"/>
    <w:rsid w:val="00C96CD8"/>
    <w:rsid w:val="00CC40B9"/>
    <w:rsid w:val="00CD4D95"/>
    <w:rsid w:val="00CE6B43"/>
    <w:rsid w:val="00D15D0C"/>
    <w:rsid w:val="00D4081E"/>
    <w:rsid w:val="00D44FFF"/>
    <w:rsid w:val="00D63140"/>
    <w:rsid w:val="00D63B78"/>
    <w:rsid w:val="00D806B6"/>
    <w:rsid w:val="00D83596"/>
    <w:rsid w:val="00DA1F10"/>
    <w:rsid w:val="00DC27EF"/>
    <w:rsid w:val="00E01F6D"/>
    <w:rsid w:val="00E04283"/>
    <w:rsid w:val="00E11652"/>
    <w:rsid w:val="00E22CF8"/>
    <w:rsid w:val="00E4225F"/>
    <w:rsid w:val="00E47E5B"/>
    <w:rsid w:val="00E56289"/>
    <w:rsid w:val="00E566F7"/>
    <w:rsid w:val="00E61A4A"/>
    <w:rsid w:val="00E639E1"/>
    <w:rsid w:val="00E74E3F"/>
    <w:rsid w:val="00E81ACB"/>
    <w:rsid w:val="00ED3195"/>
    <w:rsid w:val="00ED7BFF"/>
    <w:rsid w:val="00EE07FD"/>
    <w:rsid w:val="00EE0DB6"/>
    <w:rsid w:val="00EF5BDE"/>
    <w:rsid w:val="00F02381"/>
    <w:rsid w:val="00F134B9"/>
    <w:rsid w:val="00F17690"/>
    <w:rsid w:val="00F54B6D"/>
    <w:rsid w:val="00F65265"/>
    <w:rsid w:val="00F71BEE"/>
    <w:rsid w:val="00F76204"/>
    <w:rsid w:val="00F7620B"/>
    <w:rsid w:val="00F92D35"/>
    <w:rsid w:val="00FA0DF7"/>
    <w:rsid w:val="00FB0742"/>
    <w:rsid w:val="00FB2C80"/>
    <w:rsid w:val="00FB2D29"/>
    <w:rsid w:val="00FC168C"/>
    <w:rsid w:val="00FC47A9"/>
    <w:rsid w:val="00FD216E"/>
    <w:rsid w:val="00FD284B"/>
    <w:rsid w:val="00FE28FD"/>
    <w:rsid w:val="00FE5B45"/>
    <w:rsid w:val="01237B34"/>
    <w:rsid w:val="02335EF2"/>
    <w:rsid w:val="081465EC"/>
    <w:rsid w:val="08B872E5"/>
    <w:rsid w:val="0D3D7863"/>
    <w:rsid w:val="11B14DCE"/>
    <w:rsid w:val="11BD51BB"/>
    <w:rsid w:val="13FE75A2"/>
    <w:rsid w:val="173E1959"/>
    <w:rsid w:val="17B27C12"/>
    <w:rsid w:val="182B5206"/>
    <w:rsid w:val="18E406CF"/>
    <w:rsid w:val="1A6C0E84"/>
    <w:rsid w:val="1A7C3068"/>
    <w:rsid w:val="1B6C046B"/>
    <w:rsid w:val="1C6D28A3"/>
    <w:rsid w:val="1CC5044C"/>
    <w:rsid w:val="1DC43078"/>
    <w:rsid w:val="1F436A91"/>
    <w:rsid w:val="20490F69"/>
    <w:rsid w:val="20880B42"/>
    <w:rsid w:val="20D06600"/>
    <w:rsid w:val="253476E6"/>
    <w:rsid w:val="2573511A"/>
    <w:rsid w:val="26A175C9"/>
    <w:rsid w:val="26B55F79"/>
    <w:rsid w:val="2B2D036C"/>
    <w:rsid w:val="2C343CEB"/>
    <w:rsid w:val="2C973BA3"/>
    <w:rsid w:val="2CD91EE1"/>
    <w:rsid w:val="2D3D47D0"/>
    <w:rsid w:val="2D9F209F"/>
    <w:rsid w:val="2DFA07EA"/>
    <w:rsid w:val="2FAF2DC0"/>
    <w:rsid w:val="37346343"/>
    <w:rsid w:val="376059F1"/>
    <w:rsid w:val="39B624A1"/>
    <w:rsid w:val="3B9D05E2"/>
    <w:rsid w:val="3B9D3F7B"/>
    <w:rsid w:val="3BC06A63"/>
    <w:rsid w:val="3F675A63"/>
    <w:rsid w:val="417B1318"/>
    <w:rsid w:val="42646472"/>
    <w:rsid w:val="460974D0"/>
    <w:rsid w:val="477E5776"/>
    <w:rsid w:val="47E52DBD"/>
    <w:rsid w:val="4D667939"/>
    <w:rsid w:val="4F762266"/>
    <w:rsid w:val="507B57E7"/>
    <w:rsid w:val="516D3442"/>
    <w:rsid w:val="525A132C"/>
    <w:rsid w:val="52F74406"/>
    <w:rsid w:val="53934B54"/>
    <w:rsid w:val="54BA7095"/>
    <w:rsid w:val="56412769"/>
    <w:rsid w:val="56A439CF"/>
    <w:rsid w:val="588958A6"/>
    <w:rsid w:val="5C5C3E00"/>
    <w:rsid w:val="5CF32068"/>
    <w:rsid w:val="67C9021A"/>
    <w:rsid w:val="6BDC690F"/>
    <w:rsid w:val="6BF81301"/>
    <w:rsid w:val="6F123BFA"/>
    <w:rsid w:val="712552E9"/>
    <w:rsid w:val="779F354D"/>
    <w:rsid w:val="7944331F"/>
    <w:rsid w:val="7AEC23D6"/>
    <w:rsid w:val="7BBC722B"/>
    <w:rsid w:val="7C9A7756"/>
    <w:rsid w:val="7EC17BDC"/>
    <w:rsid w:val="7F752A34"/>
    <w:rsid w:val="FA978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0"/>
    <w:rPr>
      <w:rFonts w:ascii="Times New Roman" w:hAnsi="Times New Roman" w:cs="Times New Roman"/>
      <w:szCs w:val="24"/>
    </w:rPr>
  </w:style>
  <w:style w:type="paragraph" w:styleId="6">
    <w:name w:val="toc 2"/>
    <w:basedOn w:val="1"/>
    <w:next w:val="1"/>
    <w:semiHidden/>
    <w:qFormat/>
    <w:uiPriority w:val="0"/>
    <w:pPr>
      <w:ind w:left="420" w:leftChars="200"/>
    </w:pPr>
    <w:rPr>
      <w:rFonts w:ascii="Times New Roman" w:hAnsi="Times New Roman"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styleId="11">
    <w:name w:val="Hyperlink"/>
    <w:uiPriority w:val="0"/>
    <w:rPr>
      <w:color w:val="0000FF"/>
      <w:u w:val="single"/>
    </w:rPr>
  </w:style>
  <w:style w:type="character" w:customStyle="1" w:styleId="12">
    <w:name w:val="页脚 Char"/>
    <w:link w:val="3"/>
    <w:semiHidden/>
    <w:qFormat/>
    <w:locked/>
    <w:uiPriority w:val="0"/>
    <w:rPr>
      <w:rFonts w:ascii="Times New Roman" w:hAnsi="Times New Roman" w:eastAsia="宋体" w:cs="Times New Roman"/>
      <w:sz w:val="18"/>
      <w:szCs w:val="18"/>
    </w:rPr>
  </w:style>
  <w:style w:type="character" w:customStyle="1" w:styleId="13">
    <w:name w:val="页眉 Char"/>
    <w:link w:val="4"/>
    <w:semiHidden/>
    <w:qFormat/>
    <w:locked/>
    <w:uiPriority w:val="0"/>
    <w:rPr>
      <w:rFonts w:ascii="Times New Roman" w:hAnsi="Times New Roman" w:eastAsia="宋体" w:cs="Times New Roman"/>
      <w:sz w:val="18"/>
      <w:szCs w:val="18"/>
    </w:rPr>
  </w:style>
  <w:style w:type="character" w:customStyle="1" w:styleId="14">
    <w:name w:val="Page Number1"/>
    <w:qFormat/>
    <w:uiPriority w:val="0"/>
    <w:rPr>
      <w:rFonts w:cs="Times New Roman"/>
    </w:rPr>
  </w:style>
  <w:style w:type="character" w:customStyle="1" w:styleId="15">
    <w:name w:val="font11"/>
    <w:qFormat/>
    <w:uiPriority w:val="0"/>
    <w:rPr>
      <w:rFonts w:ascii="宋体" w:hAnsi="宋体" w:eastAsia="宋体" w:cs="宋体"/>
      <w:color w:val="000000"/>
      <w:sz w:val="18"/>
      <w:szCs w:val="18"/>
      <w:u w:val="none"/>
    </w:rPr>
  </w:style>
  <w:style w:type="paragraph" w:styleId="16">
    <w:name w:val="List Paragraph"/>
    <w:basedOn w:val="1"/>
    <w:qFormat/>
    <w:uiPriority w:val="99"/>
    <w:pPr>
      <w:ind w:firstLine="420" w:firstLineChars="200"/>
    </w:pPr>
  </w:style>
  <w:style w:type="paragraph" w:customStyle="1" w:styleId="17">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插入文本样式-插入预算公开单位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9">
    <w:name w:val="p0"/>
    <w:basedOn w:val="1"/>
    <w:qFormat/>
    <w:uiPriority w:val="0"/>
    <w:pPr>
      <w:widowControl/>
      <w:suppressAutoHyphens/>
    </w:pPr>
    <w:rPr>
      <w:rFonts w:ascii="Times New Roman" w:hAnsi="Times New Roman" w:cs="Times New Roman"/>
      <w:kern w:val="0"/>
      <w:szCs w:val="21"/>
    </w:rPr>
  </w:style>
  <w:style w:type="paragraph" w:customStyle="1" w:styleId="20">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tyleName="" SelectedStyle="" xmlns:b="http://schemas.openxmlformats.org/officeDocument/2006/bibliography"/>

</file>

<file path=customXml/itemProps1.xml><?xml version="1.0" encoding="utf-8"?>
<ds:datastoreItem xmlns:ds="http://schemas.openxmlformats.org/officeDocument/2006/customXml" ds:itemID="{7527424B-BBC6-440A-A1DA-1AF2FACA8E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792</Words>
  <Characters>4516</Characters>
  <Lines>37</Lines>
  <Paragraphs>10</Paragraphs>
  <TotalTime>1212</TotalTime>
  <ScaleCrop>false</ScaleCrop>
  <LinksUpToDate>false</LinksUpToDate>
  <CharactersWithSpaces>5298</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2017-11-13T10:12:00Z</dcterms:created>
  <dc:creator>guest</dc:creator>
  <cp:lastModifiedBy>qhtf</cp:lastModifiedBy>
  <cp:lastPrinted>2017-05-03T17:08:00Z</cp:lastPrinted>
  <dcterms:modified xsi:type="dcterms:W3CDTF">2025-08-11T16:50:20Z</dcterms:modified>
  <dc:title>Administrator</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304E2A25B4A2D68DCCAE99689B735A24</vt:lpwstr>
  </property>
</Properties>
</file>