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2024年部门预算信息公开目录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r>
        <w:fldChar w:fldCharType="end"/>
      </w: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lang w:eastAsia="zh-CN"/>
        </w:rPr>
      </w:pPr>
    </w:p>
    <w:p>
      <w:pPr>
        <w:jc w:val="center"/>
      </w:pPr>
    </w:p>
    <w:p>
      <w:pPr>
        <w:jc w:val="center"/>
      </w:pPr>
    </w:p>
    <w:p>
      <w:pPr>
        <w:jc w:val="center"/>
      </w:pPr>
    </w:p>
    <w:p>
      <w:pPr>
        <w:jc w:val="center"/>
      </w:pPr>
    </w:p>
    <w:p>
      <w:pPr>
        <w:jc w:val="center"/>
        <w:outlineLvl w:val="0"/>
        <w:rPr>
          <w:rFonts w:hint="eastAsia" w:ascii="方正小标宋_GBK" w:hAnsi="方正小标宋_GBK" w:eastAsia="方正小标宋_GBK" w:cs="方正小标宋_GBK"/>
          <w:color w:val="000000"/>
          <w:sz w:val="72"/>
          <w:lang w:eastAsia="zh-CN"/>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281中共唐山市曹妃甸区委党校</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3461.77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3336.94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3461.77</w:t>
            </w:r>
          </w:p>
        </w:tc>
        <w:tc>
          <w:tcPr>
            <w:tcW w:w="4535" w:type="dxa"/>
            <w:vAlign w:val="center"/>
          </w:tcPr>
          <w:p>
            <w:pPr>
              <w:pStyle w:val="14"/>
            </w:pPr>
            <w:r>
              <w:t>本年支出合计</w:t>
            </w:r>
          </w:p>
        </w:tc>
        <w:tc>
          <w:tcPr>
            <w:tcW w:w="2126" w:type="dxa"/>
            <w:vAlign w:val="center"/>
          </w:tcPr>
          <w:p>
            <w:pPr>
              <w:pStyle w:val="15"/>
            </w:pPr>
            <w:r>
              <w:t>3461.77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3461.77</w:t>
            </w:r>
          </w:p>
        </w:tc>
        <w:tc>
          <w:tcPr>
            <w:tcW w:w="4535" w:type="dxa"/>
            <w:vAlign w:val="center"/>
          </w:tcPr>
          <w:p>
            <w:pPr>
              <w:pStyle w:val="14"/>
            </w:pPr>
            <w:r>
              <w:t>支出总计</w:t>
            </w:r>
          </w:p>
        </w:tc>
        <w:tc>
          <w:tcPr>
            <w:tcW w:w="2126" w:type="dxa"/>
            <w:vAlign w:val="center"/>
          </w:tcPr>
          <w:p>
            <w:pPr>
              <w:pStyle w:val="15"/>
            </w:pPr>
            <w:r>
              <w:t>3461.77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281中共唐山市曹妃甸区委党校</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3461.77</w:t>
            </w:r>
          </w:p>
        </w:tc>
        <w:tc>
          <w:tcPr>
            <w:tcW w:w="1134" w:type="dxa"/>
            <w:vAlign w:val="center"/>
          </w:tcPr>
          <w:p>
            <w:pPr>
              <w:pStyle w:val="15"/>
            </w:pPr>
            <w:r>
              <w:t>3461.77</w:t>
            </w:r>
          </w:p>
        </w:tc>
        <w:tc>
          <w:tcPr>
            <w:tcW w:w="1134" w:type="dxa"/>
            <w:vAlign w:val="center"/>
          </w:tcPr>
          <w:p>
            <w:pPr>
              <w:pStyle w:val="15"/>
            </w:pPr>
            <w:r>
              <w:t>3461.77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3336.94</w:t>
            </w:r>
          </w:p>
        </w:tc>
        <w:tc>
          <w:tcPr>
            <w:tcW w:w="1134" w:type="dxa"/>
            <w:vAlign w:val="center"/>
          </w:tcPr>
          <w:p>
            <w:pPr>
              <w:pStyle w:val="11"/>
            </w:pPr>
            <w:r>
              <w:t>3336.94</w:t>
            </w:r>
          </w:p>
        </w:tc>
        <w:tc>
          <w:tcPr>
            <w:tcW w:w="1134" w:type="dxa"/>
            <w:vAlign w:val="center"/>
          </w:tcPr>
          <w:p>
            <w:pPr>
              <w:pStyle w:val="11"/>
            </w:pPr>
            <w:r>
              <w:t>3336.94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3336.94</w:t>
            </w:r>
          </w:p>
        </w:tc>
        <w:tc>
          <w:tcPr>
            <w:tcW w:w="1134" w:type="dxa"/>
            <w:vAlign w:val="center"/>
          </w:tcPr>
          <w:p>
            <w:pPr>
              <w:pStyle w:val="11"/>
            </w:pPr>
            <w:r>
              <w:t>3336.94</w:t>
            </w:r>
          </w:p>
        </w:tc>
        <w:tc>
          <w:tcPr>
            <w:tcW w:w="1134" w:type="dxa"/>
            <w:vAlign w:val="center"/>
          </w:tcPr>
          <w:p>
            <w:pPr>
              <w:pStyle w:val="11"/>
            </w:pPr>
            <w:r>
              <w:t>3336.94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2050802</w:t>
            </w:r>
          </w:p>
        </w:tc>
        <w:tc>
          <w:tcPr>
            <w:tcW w:w="1559" w:type="dxa"/>
            <w:vAlign w:val="center"/>
          </w:tcPr>
          <w:p>
            <w:pPr>
              <w:pStyle w:val="12"/>
            </w:pPr>
            <w:r>
              <w:t>干部教育</w:t>
            </w:r>
          </w:p>
        </w:tc>
        <w:tc>
          <w:tcPr>
            <w:tcW w:w="1134" w:type="dxa"/>
            <w:vAlign w:val="center"/>
          </w:tcPr>
          <w:p>
            <w:pPr>
              <w:pStyle w:val="11"/>
            </w:pPr>
            <w:r>
              <w:t>3336.94</w:t>
            </w:r>
          </w:p>
        </w:tc>
        <w:tc>
          <w:tcPr>
            <w:tcW w:w="1134" w:type="dxa"/>
            <w:vAlign w:val="center"/>
          </w:tcPr>
          <w:p>
            <w:pPr>
              <w:pStyle w:val="11"/>
            </w:pPr>
            <w:r>
              <w:t>3336.94</w:t>
            </w:r>
          </w:p>
        </w:tc>
        <w:tc>
          <w:tcPr>
            <w:tcW w:w="1134" w:type="dxa"/>
            <w:vAlign w:val="center"/>
          </w:tcPr>
          <w:p>
            <w:pPr>
              <w:pStyle w:val="11"/>
            </w:pPr>
            <w:r>
              <w:t>3336.94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50.75</w:t>
            </w:r>
          </w:p>
        </w:tc>
        <w:tc>
          <w:tcPr>
            <w:tcW w:w="1134" w:type="dxa"/>
            <w:vAlign w:val="center"/>
          </w:tcPr>
          <w:p>
            <w:pPr>
              <w:pStyle w:val="11"/>
            </w:pPr>
            <w:r>
              <w:t>50.75</w:t>
            </w:r>
          </w:p>
        </w:tc>
        <w:tc>
          <w:tcPr>
            <w:tcW w:w="1134" w:type="dxa"/>
            <w:vAlign w:val="center"/>
          </w:tcPr>
          <w:p>
            <w:pPr>
              <w:pStyle w:val="11"/>
            </w:pPr>
            <w:r>
              <w:t>50.75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50.75</w:t>
            </w:r>
          </w:p>
        </w:tc>
        <w:tc>
          <w:tcPr>
            <w:tcW w:w="1134" w:type="dxa"/>
            <w:vAlign w:val="center"/>
          </w:tcPr>
          <w:p>
            <w:pPr>
              <w:pStyle w:val="11"/>
            </w:pPr>
            <w:r>
              <w:t>50.75</w:t>
            </w:r>
          </w:p>
        </w:tc>
        <w:tc>
          <w:tcPr>
            <w:tcW w:w="1134" w:type="dxa"/>
            <w:vAlign w:val="center"/>
          </w:tcPr>
          <w:p>
            <w:pPr>
              <w:pStyle w:val="11"/>
            </w:pPr>
            <w:r>
              <w:t>50.75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35.92</w:t>
            </w:r>
          </w:p>
        </w:tc>
        <w:tc>
          <w:tcPr>
            <w:tcW w:w="1134" w:type="dxa"/>
            <w:vAlign w:val="center"/>
          </w:tcPr>
          <w:p>
            <w:pPr>
              <w:pStyle w:val="11"/>
            </w:pPr>
            <w:r>
              <w:t>35.92</w:t>
            </w:r>
          </w:p>
        </w:tc>
        <w:tc>
          <w:tcPr>
            <w:tcW w:w="1134" w:type="dxa"/>
            <w:vAlign w:val="center"/>
          </w:tcPr>
          <w:p>
            <w:pPr>
              <w:pStyle w:val="11"/>
            </w:pPr>
            <w:r>
              <w:t>35.92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14.83</w:t>
            </w:r>
          </w:p>
        </w:tc>
        <w:tc>
          <w:tcPr>
            <w:tcW w:w="1134" w:type="dxa"/>
            <w:vAlign w:val="center"/>
          </w:tcPr>
          <w:p>
            <w:pPr>
              <w:pStyle w:val="11"/>
            </w:pPr>
            <w:r>
              <w:t>14.83</w:t>
            </w:r>
          </w:p>
        </w:tc>
        <w:tc>
          <w:tcPr>
            <w:tcW w:w="1134" w:type="dxa"/>
            <w:vAlign w:val="center"/>
          </w:tcPr>
          <w:p>
            <w:pPr>
              <w:pStyle w:val="11"/>
            </w:pPr>
            <w:r>
              <w:t>14.83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44.96</w:t>
            </w:r>
          </w:p>
        </w:tc>
        <w:tc>
          <w:tcPr>
            <w:tcW w:w="1134" w:type="dxa"/>
            <w:vAlign w:val="center"/>
          </w:tcPr>
          <w:p>
            <w:pPr>
              <w:pStyle w:val="11"/>
            </w:pPr>
            <w:r>
              <w:t>44.96</w:t>
            </w:r>
          </w:p>
        </w:tc>
        <w:tc>
          <w:tcPr>
            <w:tcW w:w="1134" w:type="dxa"/>
            <w:vAlign w:val="center"/>
          </w:tcPr>
          <w:p>
            <w:pPr>
              <w:pStyle w:val="11"/>
            </w:pPr>
            <w:r>
              <w:t>44.96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44.96</w:t>
            </w:r>
          </w:p>
        </w:tc>
        <w:tc>
          <w:tcPr>
            <w:tcW w:w="1134" w:type="dxa"/>
            <w:vAlign w:val="center"/>
          </w:tcPr>
          <w:p>
            <w:pPr>
              <w:pStyle w:val="11"/>
            </w:pPr>
            <w:r>
              <w:t>44.96</w:t>
            </w:r>
          </w:p>
        </w:tc>
        <w:tc>
          <w:tcPr>
            <w:tcW w:w="1134" w:type="dxa"/>
            <w:vAlign w:val="center"/>
          </w:tcPr>
          <w:p>
            <w:pPr>
              <w:pStyle w:val="11"/>
            </w:pPr>
            <w:r>
              <w:t>44.96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13.45</w:t>
            </w:r>
          </w:p>
        </w:tc>
        <w:tc>
          <w:tcPr>
            <w:tcW w:w="1134" w:type="dxa"/>
            <w:vAlign w:val="center"/>
          </w:tcPr>
          <w:p>
            <w:pPr>
              <w:pStyle w:val="11"/>
            </w:pPr>
            <w:r>
              <w:t>13.45</w:t>
            </w:r>
          </w:p>
        </w:tc>
        <w:tc>
          <w:tcPr>
            <w:tcW w:w="1134" w:type="dxa"/>
            <w:vAlign w:val="center"/>
          </w:tcPr>
          <w:p>
            <w:pPr>
              <w:pStyle w:val="11"/>
            </w:pPr>
            <w:r>
              <w:t>13.45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31.51</w:t>
            </w:r>
          </w:p>
        </w:tc>
        <w:tc>
          <w:tcPr>
            <w:tcW w:w="1134" w:type="dxa"/>
            <w:vAlign w:val="center"/>
          </w:tcPr>
          <w:p>
            <w:pPr>
              <w:pStyle w:val="11"/>
            </w:pPr>
            <w:r>
              <w:t>31.51</w:t>
            </w:r>
          </w:p>
        </w:tc>
        <w:tc>
          <w:tcPr>
            <w:tcW w:w="1134" w:type="dxa"/>
            <w:vAlign w:val="center"/>
          </w:tcPr>
          <w:p>
            <w:pPr>
              <w:pStyle w:val="11"/>
            </w:pPr>
            <w:r>
              <w:t>31.51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29.12</w:t>
            </w:r>
          </w:p>
        </w:tc>
        <w:tc>
          <w:tcPr>
            <w:tcW w:w="1134" w:type="dxa"/>
            <w:vAlign w:val="center"/>
          </w:tcPr>
          <w:p>
            <w:pPr>
              <w:pStyle w:val="11"/>
            </w:pPr>
            <w:r>
              <w:t>29.12</w:t>
            </w:r>
          </w:p>
        </w:tc>
        <w:tc>
          <w:tcPr>
            <w:tcW w:w="1134" w:type="dxa"/>
            <w:vAlign w:val="center"/>
          </w:tcPr>
          <w:p>
            <w:pPr>
              <w:pStyle w:val="11"/>
            </w:pPr>
            <w:r>
              <w:t>29.12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29.12</w:t>
            </w:r>
          </w:p>
        </w:tc>
        <w:tc>
          <w:tcPr>
            <w:tcW w:w="1134" w:type="dxa"/>
            <w:vAlign w:val="center"/>
          </w:tcPr>
          <w:p>
            <w:pPr>
              <w:pStyle w:val="11"/>
            </w:pPr>
            <w:r>
              <w:t>29.12</w:t>
            </w:r>
          </w:p>
        </w:tc>
        <w:tc>
          <w:tcPr>
            <w:tcW w:w="1134" w:type="dxa"/>
            <w:vAlign w:val="center"/>
          </w:tcPr>
          <w:p>
            <w:pPr>
              <w:pStyle w:val="11"/>
            </w:pPr>
            <w:r>
              <w:t>29.12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29.12</w:t>
            </w:r>
          </w:p>
        </w:tc>
        <w:tc>
          <w:tcPr>
            <w:tcW w:w="1134" w:type="dxa"/>
            <w:vAlign w:val="center"/>
          </w:tcPr>
          <w:p>
            <w:pPr>
              <w:pStyle w:val="11"/>
            </w:pPr>
            <w:r>
              <w:t>29.12</w:t>
            </w:r>
          </w:p>
        </w:tc>
        <w:tc>
          <w:tcPr>
            <w:tcW w:w="1134" w:type="dxa"/>
            <w:vAlign w:val="center"/>
          </w:tcPr>
          <w:p>
            <w:pPr>
              <w:pStyle w:val="11"/>
            </w:pPr>
            <w:r>
              <w:t>29.12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281中共唐山市曹妃甸区委党校</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3461.77</w:t>
            </w:r>
          </w:p>
        </w:tc>
        <w:tc>
          <w:tcPr>
            <w:tcW w:w="1361" w:type="dxa"/>
            <w:vAlign w:val="center"/>
          </w:tcPr>
          <w:p>
            <w:pPr>
              <w:pStyle w:val="15"/>
            </w:pPr>
            <w:r>
              <w:t>469.50</w:t>
            </w:r>
          </w:p>
        </w:tc>
        <w:tc>
          <w:tcPr>
            <w:tcW w:w="1361" w:type="dxa"/>
            <w:vAlign w:val="center"/>
          </w:tcPr>
          <w:p>
            <w:pPr>
              <w:pStyle w:val="15"/>
            </w:pPr>
            <w:r>
              <w:t>2992.27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3336.94</w:t>
            </w:r>
          </w:p>
        </w:tc>
        <w:tc>
          <w:tcPr>
            <w:tcW w:w="1361" w:type="dxa"/>
            <w:vAlign w:val="center"/>
          </w:tcPr>
          <w:p>
            <w:pPr>
              <w:pStyle w:val="11"/>
            </w:pPr>
            <w:r>
              <w:t>344.67</w:t>
            </w:r>
          </w:p>
        </w:tc>
        <w:tc>
          <w:tcPr>
            <w:tcW w:w="1361" w:type="dxa"/>
            <w:vAlign w:val="center"/>
          </w:tcPr>
          <w:p>
            <w:pPr>
              <w:pStyle w:val="11"/>
            </w:pPr>
            <w:r>
              <w:t>2992.27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3336.94</w:t>
            </w:r>
          </w:p>
        </w:tc>
        <w:tc>
          <w:tcPr>
            <w:tcW w:w="1361" w:type="dxa"/>
            <w:vAlign w:val="center"/>
          </w:tcPr>
          <w:p>
            <w:pPr>
              <w:pStyle w:val="11"/>
            </w:pPr>
            <w:r>
              <w:t>344.67</w:t>
            </w:r>
          </w:p>
        </w:tc>
        <w:tc>
          <w:tcPr>
            <w:tcW w:w="1361" w:type="dxa"/>
            <w:vAlign w:val="center"/>
          </w:tcPr>
          <w:p>
            <w:pPr>
              <w:pStyle w:val="11"/>
            </w:pPr>
            <w:r>
              <w:t>2992.27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2050802</w:t>
            </w:r>
          </w:p>
        </w:tc>
        <w:tc>
          <w:tcPr>
            <w:tcW w:w="4535" w:type="dxa"/>
            <w:vAlign w:val="center"/>
          </w:tcPr>
          <w:p>
            <w:pPr>
              <w:pStyle w:val="12"/>
            </w:pPr>
            <w:r>
              <w:t>干部教育</w:t>
            </w:r>
          </w:p>
        </w:tc>
        <w:tc>
          <w:tcPr>
            <w:tcW w:w="1361" w:type="dxa"/>
            <w:vAlign w:val="center"/>
          </w:tcPr>
          <w:p>
            <w:pPr>
              <w:pStyle w:val="11"/>
            </w:pPr>
            <w:r>
              <w:t>3336.94</w:t>
            </w:r>
          </w:p>
        </w:tc>
        <w:tc>
          <w:tcPr>
            <w:tcW w:w="1361" w:type="dxa"/>
            <w:vAlign w:val="center"/>
          </w:tcPr>
          <w:p>
            <w:pPr>
              <w:pStyle w:val="11"/>
            </w:pPr>
            <w:r>
              <w:t>344.67</w:t>
            </w:r>
          </w:p>
        </w:tc>
        <w:tc>
          <w:tcPr>
            <w:tcW w:w="1361" w:type="dxa"/>
            <w:vAlign w:val="center"/>
          </w:tcPr>
          <w:p>
            <w:pPr>
              <w:pStyle w:val="11"/>
            </w:pPr>
            <w:r>
              <w:t>2992.27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50.75</w:t>
            </w:r>
          </w:p>
        </w:tc>
        <w:tc>
          <w:tcPr>
            <w:tcW w:w="1361" w:type="dxa"/>
            <w:vAlign w:val="center"/>
          </w:tcPr>
          <w:p>
            <w:pPr>
              <w:pStyle w:val="11"/>
            </w:pPr>
            <w:r>
              <w:t>50.75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50.75</w:t>
            </w:r>
          </w:p>
        </w:tc>
        <w:tc>
          <w:tcPr>
            <w:tcW w:w="1361" w:type="dxa"/>
            <w:vAlign w:val="center"/>
          </w:tcPr>
          <w:p>
            <w:pPr>
              <w:pStyle w:val="11"/>
            </w:pPr>
            <w:r>
              <w:t>50.75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35.92</w:t>
            </w:r>
          </w:p>
        </w:tc>
        <w:tc>
          <w:tcPr>
            <w:tcW w:w="1361" w:type="dxa"/>
            <w:vAlign w:val="center"/>
          </w:tcPr>
          <w:p>
            <w:pPr>
              <w:pStyle w:val="11"/>
            </w:pPr>
            <w:r>
              <w:t>35.92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14.83</w:t>
            </w:r>
          </w:p>
        </w:tc>
        <w:tc>
          <w:tcPr>
            <w:tcW w:w="1361" w:type="dxa"/>
            <w:vAlign w:val="center"/>
          </w:tcPr>
          <w:p>
            <w:pPr>
              <w:pStyle w:val="11"/>
            </w:pPr>
            <w:r>
              <w:t>14.83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44.96</w:t>
            </w:r>
          </w:p>
        </w:tc>
        <w:tc>
          <w:tcPr>
            <w:tcW w:w="1361" w:type="dxa"/>
            <w:vAlign w:val="center"/>
          </w:tcPr>
          <w:p>
            <w:pPr>
              <w:pStyle w:val="11"/>
            </w:pPr>
            <w:r>
              <w:t>44.96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44.96</w:t>
            </w:r>
          </w:p>
        </w:tc>
        <w:tc>
          <w:tcPr>
            <w:tcW w:w="1361" w:type="dxa"/>
            <w:vAlign w:val="center"/>
          </w:tcPr>
          <w:p>
            <w:pPr>
              <w:pStyle w:val="11"/>
            </w:pPr>
            <w:r>
              <w:t>44.96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13.45</w:t>
            </w:r>
          </w:p>
        </w:tc>
        <w:tc>
          <w:tcPr>
            <w:tcW w:w="1361" w:type="dxa"/>
            <w:vAlign w:val="center"/>
          </w:tcPr>
          <w:p>
            <w:pPr>
              <w:pStyle w:val="11"/>
            </w:pPr>
            <w:r>
              <w:t>13.45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31.51</w:t>
            </w:r>
          </w:p>
        </w:tc>
        <w:tc>
          <w:tcPr>
            <w:tcW w:w="1361" w:type="dxa"/>
            <w:vAlign w:val="center"/>
          </w:tcPr>
          <w:p>
            <w:pPr>
              <w:pStyle w:val="11"/>
            </w:pPr>
            <w:r>
              <w:t>31.51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29.12</w:t>
            </w:r>
          </w:p>
        </w:tc>
        <w:tc>
          <w:tcPr>
            <w:tcW w:w="1361" w:type="dxa"/>
            <w:vAlign w:val="center"/>
          </w:tcPr>
          <w:p>
            <w:pPr>
              <w:pStyle w:val="11"/>
            </w:pPr>
            <w:r>
              <w:t>29.12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29.12</w:t>
            </w:r>
          </w:p>
        </w:tc>
        <w:tc>
          <w:tcPr>
            <w:tcW w:w="1361" w:type="dxa"/>
            <w:vAlign w:val="center"/>
          </w:tcPr>
          <w:p>
            <w:pPr>
              <w:pStyle w:val="11"/>
            </w:pPr>
            <w:r>
              <w:t>29.12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29.12</w:t>
            </w:r>
          </w:p>
        </w:tc>
        <w:tc>
          <w:tcPr>
            <w:tcW w:w="1361" w:type="dxa"/>
            <w:vAlign w:val="center"/>
          </w:tcPr>
          <w:p>
            <w:pPr>
              <w:pStyle w:val="11"/>
            </w:pPr>
            <w:r>
              <w:t>29.12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281中共唐山市曹妃甸区委党校</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3461.77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3336.94</w:t>
            </w:r>
          </w:p>
        </w:tc>
        <w:tc>
          <w:tcPr>
            <w:tcW w:w="1474" w:type="dxa"/>
            <w:vAlign w:val="center"/>
          </w:tcPr>
          <w:p>
            <w:pPr>
              <w:pStyle w:val="11"/>
            </w:pPr>
            <w:r>
              <w:t>3336.94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50.75</w:t>
            </w:r>
          </w:p>
        </w:tc>
        <w:tc>
          <w:tcPr>
            <w:tcW w:w="1474" w:type="dxa"/>
            <w:vAlign w:val="center"/>
          </w:tcPr>
          <w:p>
            <w:pPr>
              <w:pStyle w:val="11"/>
            </w:pPr>
            <w:r>
              <w:t>50.75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44.96</w:t>
            </w:r>
          </w:p>
        </w:tc>
        <w:tc>
          <w:tcPr>
            <w:tcW w:w="1474" w:type="dxa"/>
            <w:vAlign w:val="center"/>
          </w:tcPr>
          <w:p>
            <w:pPr>
              <w:pStyle w:val="11"/>
            </w:pPr>
            <w:r>
              <w:t>44.96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29.12</w:t>
            </w:r>
          </w:p>
        </w:tc>
        <w:tc>
          <w:tcPr>
            <w:tcW w:w="1474" w:type="dxa"/>
            <w:vAlign w:val="center"/>
          </w:tcPr>
          <w:p>
            <w:pPr>
              <w:pStyle w:val="11"/>
            </w:pPr>
            <w:r>
              <w:t>29.12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3461.77</w:t>
            </w:r>
          </w:p>
        </w:tc>
        <w:tc>
          <w:tcPr>
            <w:tcW w:w="3402" w:type="dxa"/>
            <w:vAlign w:val="center"/>
          </w:tcPr>
          <w:p>
            <w:pPr>
              <w:pStyle w:val="14"/>
            </w:pPr>
            <w:r>
              <w:t>本年支出合计</w:t>
            </w:r>
          </w:p>
        </w:tc>
        <w:tc>
          <w:tcPr>
            <w:tcW w:w="1474" w:type="dxa"/>
            <w:vAlign w:val="center"/>
          </w:tcPr>
          <w:p>
            <w:pPr>
              <w:pStyle w:val="15"/>
            </w:pPr>
            <w:r>
              <w:t>3461.77</w:t>
            </w:r>
          </w:p>
        </w:tc>
        <w:tc>
          <w:tcPr>
            <w:tcW w:w="1474" w:type="dxa"/>
            <w:vAlign w:val="center"/>
          </w:tcPr>
          <w:p>
            <w:pPr>
              <w:pStyle w:val="15"/>
            </w:pPr>
            <w:r>
              <w:t>3461.77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3461.77</w:t>
            </w:r>
          </w:p>
        </w:tc>
        <w:tc>
          <w:tcPr>
            <w:tcW w:w="3402" w:type="dxa"/>
            <w:vAlign w:val="center"/>
          </w:tcPr>
          <w:p>
            <w:pPr>
              <w:pStyle w:val="14"/>
            </w:pPr>
            <w:r>
              <w:t>支出总计</w:t>
            </w:r>
          </w:p>
        </w:tc>
        <w:tc>
          <w:tcPr>
            <w:tcW w:w="1474" w:type="dxa"/>
            <w:vAlign w:val="center"/>
          </w:tcPr>
          <w:p>
            <w:pPr>
              <w:pStyle w:val="15"/>
            </w:pPr>
            <w:r>
              <w:t>3461.77</w:t>
            </w:r>
          </w:p>
        </w:tc>
        <w:tc>
          <w:tcPr>
            <w:tcW w:w="1474" w:type="dxa"/>
            <w:vAlign w:val="center"/>
          </w:tcPr>
          <w:p>
            <w:pPr>
              <w:pStyle w:val="15"/>
            </w:pPr>
            <w:r>
              <w:t>3461.77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281中共唐山市曹妃甸区委党校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3461.77</w:t>
            </w:r>
          </w:p>
        </w:tc>
        <w:tc>
          <w:tcPr>
            <w:tcW w:w="2551" w:type="dxa"/>
            <w:vAlign w:val="center"/>
          </w:tcPr>
          <w:p>
            <w:pPr>
              <w:pStyle w:val="15"/>
            </w:pPr>
            <w:r>
              <w:t>469.50</w:t>
            </w:r>
          </w:p>
        </w:tc>
        <w:tc>
          <w:tcPr>
            <w:tcW w:w="2551" w:type="dxa"/>
            <w:vAlign w:val="center"/>
          </w:tcPr>
          <w:p>
            <w:pPr>
              <w:pStyle w:val="15"/>
            </w:pPr>
            <w:r>
              <w:t>2992.27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3336.94</w:t>
            </w:r>
          </w:p>
        </w:tc>
        <w:tc>
          <w:tcPr>
            <w:tcW w:w="2551" w:type="dxa"/>
            <w:vAlign w:val="center"/>
          </w:tcPr>
          <w:p>
            <w:pPr>
              <w:pStyle w:val="11"/>
            </w:pPr>
            <w:r>
              <w:t>344.67</w:t>
            </w:r>
          </w:p>
        </w:tc>
        <w:tc>
          <w:tcPr>
            <w:tcW w:w="2551" w:type="dxa"/>
            <w:vAlign w:val="center"/>
          </w:tcPr>
          <w:p>
            <w:pPr>
              <w:pStyle w:val="11"/>
            </w:pPr>
            <w:r>
              <w:t>2992.27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3336.94</w:t>
            </w:r>
          </w:p>
        </w:tc>
        <w:tc>
          <w:tcPr>
            <w:tcW w:w="2551" w:type="dxa"/>
            <w:vAlign w:val="center"/>
          </w:tcPr>
          <w:p>
            <w:pPr>
              <w:pStyle w:val="11"/>
            </w:pPr>
            <w:r>
              <w:t>344.67</w:t>
            </w:r>
          </w:p>
        </w:tc>
        <w:tc>
          <w:tcPr>
            <w:tcW w:w="2551" w:type="dxa"/>
            <w:vAlign w:val="center"/>
          </w:tcPr>
          <w:p>
            <w:pPr>
              <w:pStyle w:val="11"/>
            </w:pPr>
            <w:r>
              <w:t>2992.27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pPr>
            <w:r>
              <w:t>3336.94</w:t>
            </w:r>
          </w:p>
        </w:tc>
        <w:tc>
          <w:tcPr>
            <w:tcW w:w="2551" w:type="dxa"/>
            <w:vAlign w:val="center"/>
          </w:tcPr>
          <w:p>
            <w:pPr>
              <w:pStyle w:val="11"/>
            </w:pPr>
            <w:r>
              <w:t>344.67</w:t>
            </w:r>
          </w:p>
        </w:tc>
        <w:tc>
          <w:tcPr>
            <w:tcW w:w="2551" w:type="dxa"/>
            <w:vAlign w:val="center"/>
          </w:tcPr>
          <w:p>
            <w:pPr>
              <w:pStyle w:val="11"/>
            </w:pPr>
            <w:r>
              <w:t>2992.27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50.75</w:t>
            </w:r>
          </w:p>
        </w:tc>
        <w:tc>
          <w:tcPr>
            <w:tcW w:w="2551" w:type="dxa"/>
            <w:vAlign w:val="center"/>
          </w:tcPr>
          <w:p>
            <w:pPr>
              <w:pStyle w:val="11"/>
            </w:pPr>
            <w:r>
              <w:t>50.75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50.75</w:t>
            </w:r>
          </w:p>
        </w:tc>
        <w:tc>
          <w:tcPr>
            <w:tcW w:w="2551" w:type="dxa"/>
            <w:vAlign w:val="center"/>
          </w:tcPr>
          <w:p>
            <w:pPr>
              <w:pStyle w:val="11"/>
            </w:pPr>
            <w:r>
              <w:t>50.75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35.92</w:t>
            </w:r>
          </w:p>
        </w:tc>
        <w:tc>
          <w:tcPr>
            <w:tcW w:w="2551" w:type="dxa"/>
            <w:vAlign w:val="center"/>
          </w:tcPr>
          <w:p>
            <w:pPr>
              <w:pStyle w:val="11"/>
            </w:pPr>
            <w:r>
              <w:t>35.92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14.83</w:t>
            </w:r>
          </w:p>
        </w:tc>
        <w:tc>
          <w:tcPr>
            <w:tcW w:w="2551" w:type="dxa"/>
            <w:vAlign w:val="center"/>
          </w:tcPr>
          <w:p>
            <w:pPr>
              <w:pStyle w:val="11"/>
            </w:pPr>
            <w:r>
              <w:t>14.83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44.96</w:t>
            </w:r>
          </w:p>
        </w:tc>
        <w:tc>
          <w:tcPr>
            <w:tcW w:w="2551" w:type="dxa"/>
            <w:vAlign w:val="center"/>
          </w:tcPr>
          <w:p>
            <w:pPr>
              <w:pStyle w:val="11"/>
            </w:pPr>
            <w:r>
              <w:t>44.96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44.96</w:t>
            </w:r>
          </w:p>
        </w:tc>
        <w:tc>
          <w:tcPr>
            <w:tcW w:w="2551" w:type="dxa"/>
            <w:vAlign w:val="center"/>
          </w:tcPr>
          <w:p>
            <w:pPr>
              <w:pStyle w:val="11"/>
            </w:pPr>
            <w:r>
              <w:t>44.96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13.45</w:t>
            </w:r>
          </w:p>
        </w:tc>
        <w:tc>
          <w:tcPr>
            <w:tcW w:w="2551" w:type="dxa"/>
            <w:vAlign w:val="center"/>
          </w:tcPr>
          <w:p>
            <w:pPr>
              <w:pStyle w:val="11"/>
            </w:pPr>
            <w:r>
              <w:t>13.45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31.51</w:t>
            </w:r>
          </w:p>
        </w:tc>
        <w:tc>
          <w:tcPr>
            <w:tcW w:w="2551" w:type="dxa"/>
            <w:vAlign w:val="center"/>
          </w:tcPr>
          <w:p>
            <w:pPr>
              <w:pStyle w:val="11"/>
            </w:pPr>
            <w:r>
              <w:t>31.51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29.12</w:t>
            </w:r>
          </w:p>
        </w:tc>
        <w:tc>
          <w:tcPr>
            <w:tcW w:w="2551" w:type="dxa"/>
            <w:vAlign w:val="center"/>
          </w:tcPr>
          <w:p>
            <w:pPr>
              <w:pStyle w:val="11"/>
            </w:pPr>
            <w:r>
              <w:t>29.12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29.12</w:t>
            </w:r>
          </w:p>
        </w:tc>
        <w:tc>
          <w:tcPr>
            <w:tcW w:w="2551" w:type="dxa"/>
            <w:vAlign w:val="center"/>
          </w:tcPr>
          <w:p>
            <w:pPr>
              <w:pStyle w:val="11"/>
            </w:pPr>
            <w:r>
              <w:t>29.12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29.12</w:t>
            </w:r>
          </w:p>
        </w:tc>
        <w:tc>
          <w:tcPr>
            <w:tcW w:w="2551" w:type="dxa"/>
            <w:vAlign w:val="center"/>
          </w:tcPr>
          <w:p>
            <w:pPr>
              <w:pStyle w:val="11"/>
            </w:pPr>
            <w:r>
              <w:t>29.12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281中共唐山市曹妃甸区委党校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469.50</w:t>
            </w:r>
          </w:p>
        </w:tc>
        <w:tc>
          <w:tcPr>
            <w:tcW w:w="2551" w:type="dxa"/>
            <w:vAlign w:val="center"/>
          </w:tcPr>
          <w:p>
            <w:pPr>
              <w:pStyle w:val="15"/>
            </w:pPr>
            <w:r>
              <w:t>441.14</w:t>
            </w:r>
          </w:p>
        </w:tc>
        <w:tc>
          <w:tcPr>
            <w:tcW w:w="2551" w:type="dxa"/>
            <w:vAlign w:val="center"/>
          </w:tcPr>
          <w:p>
            <w:pPr>
              <w:pStyle w:val="15"/>
            </w:pPr>
            <w:r>
              <w:t>28.36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383.70</w:t>
            </w:r>
          </w:p>
        </w:tc>
        <w:tc>
          <w:tcPr>
            <w:tcW w:w="2551" w:type="dxa"/>
            <w:vAlign w:val="center"/>
          </w:tcPr>
          <w:p>
            <w:pPr>
              <w:pStyle w:val="11"/>
            </w:pPr>
            <w:r>
              <w:t>383.70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94.93</w:t>
            </w:r>
          </w:p>
        </w:tc>
        <w:tc>
          <w:tcPr>
            <w:tcW w:w="2551" w:type="dxa"/>
            <w:vAlign w:val="center"/>
          </w:tcPr>
          <w:p>
            <w:pPr>
              <w:pStyle w:val="11"/>
            </w:pPr>
            <w:r>
              <w:t>94.93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35.15</w:t>
            </w:r>
          </w:p>
        </w:tc>
        <w:tc>
          <w:tcPr>
            <w:tcW w:w="2551" w:type="dxa"/>
            <w:vAlign w:val="center"/>
          </w:tcPr>
          <w:p>
            <w:pPr>
              <w:pStyle w:val="11"/>
            </w:pPr>
            <w:r>
              <w:t>35.15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17.27</w:t>
            </w:r>
          </w:p>
        </w:tc>
        <w:tc>
          <w:tcPr>
            <w:tcW w:w="2551" w:type="dxa"/>
            <w:vAlign w:val="center"/>
          </w:tcPr>
          <w:p>
            <w:pPr>
              <w:pStyle w:val="11"/>
            </w:pPr>
            <w:r>
              <w:t>17.27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82.10</w:t>
            </w:r>
          </w:p>
        </w:tc>
        <w:tc>
          <w:tcPr>
            <w:tcW w:w="2551" w:type="dxa"/>
            <w:vAlign w:val="center"/>
          </w:tcPr>
          <w:p>
            <w:pPr>
              <w:pStyle w:val="11"/>
            </w:pPr>
            <w:r>
              <w:t>82.10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35.92</w:t>
            </w:r>
          </w:p>
        </w:tc>
        <w:tc>
          <w:tcPr>
            <w:tcW w:w="2551" w:type="dxa"/>
            <w:vAlign w:val="center"/>
          </w:tcPr>
          <w:p>
            <w:pPr>
              <w:pStyle w:val="11"/>
            </w:pPr>
            <w:r>
              <w:t>35.92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14.83</w:t>
            </w:r>
          </w:p>
        </w:tc>
        <w:tc>
          <w:tcPr>
            <w:tcW w:w="2551" w:type="dxa"/>
            <w:vAlign w:val="center"/>
          </w:tcPr>
          <w:p>
            <w:pPr>
              <w:pStyle w:val="11"/>
            </w:pPr>
            <w:r>
              <w:t>14.83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13.45</w:t>
            </w:r>
          </w:p>
        </w:tc>
        <w:tc>
          <w:tcPr>
            <w:tcW w:w="2551" w:type="dxa"/>
            <w:vAlign w:val="center"/>
          </w:tcPr>
          <w:p>
            <w:pPr>
              <w:pStyle w:val="11"/>
            </w:pPr>
            <w:r>
              <w:t>13.45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31.51</w:t>
            </w:r>
          </w:p>
        </w:tc>
        <w:tc>
          <w:tcPr>
            <w:tcW w:w="2551" w:type="dxa"/>
            <w:vAlign w:val="center"/>
          </w:tcPr>
          <w:p>
            <w:pPr>
              <w:pStyle w:val="11"/>
            </w:pPr>
            <w:r>
              <w:t>31.51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2.14</w:t>
            </w:r>
          </w:p>
        </w:tc>
        <w:tc>
          <w:tcPr>
            <w:tcW w:w="2551" w:type="dxa"/>
            <w:vAlign w:val="center"/>
          </w:tcPr>
          <w:p>
            <w:pPr>
              <w:pStyle w:val="11"/>
            </w:pPr>
            <w:r>
              <w:t>2.14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29.12</w:t>
            </w:r>
          </w:p>
        </w:tc>
        <w:tc>
          <w:tcPr>
            <w:tcW w:w="2551" w:type="dxa"/>
            <w:vAlign w:val="center"/>
          </w:tcPr>
          <w:p>
            <w:pPr>
              <w:pStyle w:val="11"/>
            </w:pPr>
            <w:r>
              <w:t>29.12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27.28</w:t>
            </w:r>
          </w:p>
        </w:tc>
        <w:tc>
          <w:tcPr>
            <w:tcW w:w="2551" w:type="dxa"/>
            <w:vAlign w:val="center"/>
          </w:tcPr>
          <w:p>
            <w:pPr>
              <w:pStyle w:val="11"/>
            </w:pPr>
            <w:r>
              <w:t>27.28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28.36</w:t>
            </w:r>
          </w:p>
        </w:tc>
        <w:tc>
          <w:tcPr>
            <w:tcW w:w="2551" w:type="dxa"/>
            <w:vAlign w:val="center"/>
          </w:tcPr>
          <w:p>
            <w:pPr>
              <w:pStyle w:val="11"/>
            </w:pPr>
          </w:p>
        </w:tc>
        <w:tc>
          <w:tcPr>
            <w:tcW w:w="2551" w:type="dxa"/>
            <w:vAlign w:val="center"/>
          </w:tcPr>
          <w:p>
            <w:pPr>
              <w:pStyle w:val="11"/>
            </w:pPr>
            <w:r>
              <w:t>28.36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5.50</w:t>
            </w:r>
          </w:p>
        </w:tc>
        <w:tc>
          <w:tcPr>
            <w:tcW w:w="2551" w:type="dxa"/>
            <w:vAlign w:val="center"/>
          </w:tcPr>
          <w:p>
            <w:pPr>
              <w:pStyle w:val="11"/>
            </w:pPr>
          </w:p>
        </w:tc>
        <w:tc>
          <w:tcPr>
            <w:tcW w:w="2551"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5.78</w:t>
            </w:r>
          </w:p>
        </w:tc>
        <w:tc>
          <w:tcPr>
            <w:tcW w:w="2551" w:type="dxa"/>
            <w:vAlign w:val="center"/>
          </w:tcPr>
          <w:p>
            <w:pPr>
              <w:pStyle w:val="11"/>
            </w:pPr>
          </w:p>
        </w:tc>
        <w:tc>
          <w:tcPr>
            <w:tcW w:w="2551" w:type="dxa"/>
            <w:vAlign w:val="center"/>
          </w:tcPr>
          <w:p>
            <w:pPr>
              <w:pStyle w:val="11"/>
            </w:pPr>
            <w:r>
              <w:t>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2.26</w:t>
            </w:r>
          </w:p>
        </w:tc>
        <w:tc>
          <w:tcPr>
            <w:tcW w:w="2551" w:type="dxa"/>
            <w:vAlign w:val="center"/>
          </w:tcPr>
          <w:p>
            <w:pPr>
              <w:pStyle w:val="11"/>
            </w:pPr>
          </w:p>
        </w:tc>
        <w:tc>
          <w:tcPr>
            <w:tcW w:w="2551" w:type="dxa"/>
            <w:vAlign w:val="center"/>
          </w:tcPr>
          <w:p>
            <w:pPr>
              <w:pStyle w:val="11"/>
            </w:pPr>
            <w:r>
              <w:t>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4.92</w:t>
            </w:r>
          </w:p>
        </w:tc>
        <w:tc>
          <w:tcPr>
            <w:tcW w:w="2551" w:type="dxa"/>
            <w:vAlign w:val="center"/>
          </w:tcPr>
          <w:p>
            <w:pPr>
              <w:pStyle w:val="11"/>
            </w:pPr>
          </w:p>
        </w:tc>
        <w:tc>
          <w:tcPr>
            <w:tcW w:w="2551" w:type="dxa"/>
            <w:vAlign w:val="center"/>
          </w:tcPr>
          <w:p>
            <w:pPr>
              <w:pStyle w:val="11"/>
            </w:pPr>
            <w: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3.40</w:t>
            </w:r>
          </w:p>
        </w:tc>
        <w:tc>
          <w:tcPr>
            <w:tcW w:w="2551" w:type="dxa"/>
            <w:vAlign w:val="center"/>
          </w:tcPr>
          <w:p>
            <w:pPr>
              <w:pStyle w:val="11"/>
            </w:pPr>
          </w:p>
        </w:tc>
        <w:tc>
          <w:tcPr>
            <w:tcW w:w="2551" w:type="dxa"/>
            <w:vAlign w:val="center"/>
          </w:tcPr>
          <w:p>
            <w:pPr>
              <w:pStyle w:val="11"/>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57.44</w:t>
            </w:r>
          </w:p>
        </w:tc>
        <w:tc>
          <w:tcPr>
            <w:tcW w:w="2551" w:type="dxa"/>
            <w:vAlign w:val="center"/>
          </w:tcPr>
          <w:p>
            <w:pPr>
              <w:pStyle w:val="11"/>
            </w:pPr>
            <w:r>
              <w:t>57.44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57.44</w:t>
            </w:r>
          </w:p>
        </w:tc>
        <w:tc>
          <w:tcPr>
            <w:tcW w:w="2551" w:type="dxa"/>
            <w:vAlign w:val="center"/>
          </w:tcPr>
          <w:p>
            <w:pPr>
              <w:pStyle w:val="11"/>
            </w:pPr>
            <w:r>
              <w:t>57.44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281中共唐山市曹妃甸区委党校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r>
              <w:t>空表列示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281中共唐山市曹妃甸区委党校</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r>
              <w:rPr>
                <w:color w:val="000000"/>
              </w:rPr>
              <w:t>空表列示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281中共唐山市曹妃甸区委党校</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2.10</w:t>
            </w:r>
          </w:p>
        </w:tc>
        <w:tc>
          <w:tcPr>
            <w:tcW w:w="2381" w:type="dxa"/>
            <w:vAlign w:val="center"/>
          </w:tcPr>
          <w:p>
            <w:pPr>
              <w:pStyle w:val="15"/>
            </w:pPr>
            <w:r>
              <w:t>2.10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中共唐山市曹妃甸区委党校2024年部门预算信息公开情况说明</w:t>
      </w:r>
    </w:p>
    <w:p>
      <w:pPr>
        <w:jc w:val="center"/>
      </w:pPr>
      <w:r>
        <w:rPr>
          <w:rFonts w:ascii="方正小标宋_GBK" w:hAnsi="方正小标宋_GBK" w:eastAsia="方正小标宋_GBK" w:cs="方正小标宋_GBK"/>
          <w:color w:val="000000"/>
          <w:sz w:val="44"/>
        </w:rPr>
        <w:t>中共唐山市曹妃甸区委党校2024年部门预算信息公开情况说明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按照《中华人民共和国预算法》、《地方预决算公开操作规程》和《关于进一步推进预算公开工作的实施意见》规定，现将中共唐山市曹妃甸区委党校2024年部门预算公开如下：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（一）发挥干部教育培训主渠道作用，有计划地培训乡科级领导干部、基层</w:t>
      </w:r>
      <w:r>
        <w:rPr>
          <w:rFonts w:hint="eastAsia"/>
          <w:lang w:eastAsia="zh-CN"/>
        </w:rPr>
        <w:t>党支部书记</w:t>
      </w:r>
      <w:r>
        <w:t>、优秀中青年干部、理论宣传骨干，负责对学员在培训期间的表现进行考核，提出考核意见。</w:t>
      </w:r>
    </w:p>
    <w:p>
      <w:pPr>
        <w:pStyle w:val="17"/>
      </w:pPr>
      <w:r>
        <w:t>（二）对学员进行马克思列宁主义、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pPr>
        <w:pStyle w:val="17"/>
      </w:pPr>
      <w:r>
        <w:t>（三）开展重大理论问题和现实问题研究，承担区委决策咨询服务，发挥新型智库作用。</w:t>
      </w:r>
    </w:p>
    <w:p>
      <w:pPr>
        <w:pStyle w:val="17"/>
      </w:pPr>
      <w:r>
        <w:t>（四）受区委委托，举办各类专题研讨班，结合曹妃甸区实际，研讨中央提出的重大理论、战略和方针政策问题，省委、市委、区委重要决策部署。</w:t>
      </w:r>
    </w:p>
    <w:p>
      <w:pPr>
        <w:pStyle w:val="17"/>
      </w:pPr>
      <w:r>
        <w:t>（五）完成区委、区政府交办的其他任务。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中共唐山市曹妃甸区委党校本级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按照预算管理有关规定，目前部门预算的编制实行综合预算管理，即全部收入和支出都反映在预算中。中共唐山市曹妃甸区委党校机关及所属事业单位的收支包含在部门预算中。</w:t>
      </w:r>
    </w:p>
    <w:p>
      <w:pPr>
        <w:pStyle w:val="18"/>
      </w:pPr>
      <w:r>
        <w:t>1、收入说明</w:t>
      </w:r>
    </w:p>
    <w:p>
      <w:pPr>
        <w:pStyle w:val="18"/>
      </w:pPr>
      <w:r>
        <w:t>反映本部门当年全部收入。2024年预算收入3461.77万元，其中：一般公共预算收入3461.77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唐山市曹妃甸区委党校年度部门预算中支出预算的总体情况。2024年支出预算3461.77万元，其中基本支出469.50万元，包括人员经费441.14万元和日常公用经费28.36万元；项目支出2992.27万元，主要为人员经费主要包括基本工资、津贴补贴、奖金、绩效工资、机关事业单位基本养老保险缴费、职工基本医疗保险缴费、住房公积金、其他社会保险缴费、其他工资福利支出、退休费、生活补助、医疗费补助、奖励金、其他对个人和家庭补助；公用经费主要包括办公费、水费、电费、邮电费、差旅费、维修（护）费、租赁费、会议费、培训费、专用材料费、劳务费、委托业务费、工会经费、福利费、公务用车运行维护费、其他交通费、其他商品和服务支出；项目经费包括</w:t>
      </w:r>
      <w:r>
        <w:rPr>
          <w:rFonts w:hint="eastAsia"/>
        </w:rPr>
        <w:t>办学</w:t>
      </w:r>
      <w:r>
        <w:t>质量评估经费、补充日常公用经费、日常运行经费、办公设施及用品采购项目经费、2</w:t>
      </w:r>
      <w:r>
        <w:rPr>
          <w:rFonts w:hint="eastAsia"/>
        </w:rPr>
        <w:t>024年餐补</w:t>
      </w:r>
      <w:r>
        <w:t>。</w:t>
      </w:r>
    </w:p>
    <w:p>
      <w:pPr>
        <w:pStyle w:val="18"/>
      </w:pPr>
    </w:p>
    <w:p>
      <w:pPr>
        <w:pStyle w:val="18"/>
      </w:pPr>
      <w:r>
        <w:t>3、比上年增减情况</w:t>
      </w:r>
    </w:p>
    <w:p>
      <w:pPr>
        <w:pStyle w:val="18"/>
      </w:pPr>
      <w:r>
        <w:t>2024年预算收支安排3461.77万元，较2023年预算增加2952.18万元，其中：基本支出较</w:t>
      </w:r>
      <w:r>
        <w:rPr>
          <w:rFonts w:hint="eastAsia"/>
          <w:lang w:eastAsia="zh-CN"/>
        </w:rPr>
        <w:t>2023年</w:t>
      </w:r>
      <w:r>
        <w:t>增加34.91万元，主要为</w:t>
      </w:r>
      <w:r>
        <w:rPr>
          <w:rFonts w:hint="eastAsia"/>
          <w:lang w:eastAsia="zh-CN"/>
        </w:rPr>
        <w:t>2024年</w:t>
      </w:r>
      <w:r>
        <w:t>人员增加，工资及各种保险费用增加。项目支出较</w:t>
      </w:r>
      <w:r>
        <w:rPr>
          <w:rFonts w:hint="eastAsia"/>
          <w:lang w:eastAsia="zh-CN"/>
        </w:rPr>
        <w:t>2023年</w:t>
      </w:r>
      <w:r>
        <w:t>增加2917.27万元，主要为2024年党校迁建项目工程款增加。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2024年，我部门机关运行经费共计安排28.36万元，主要用于</w:t>
      </w:r>
      <w:r>
        <w:rPr>
          <w:rFonts w:hint="eastAsia"/>
          <w:kern w:val="2"/>
        </w:rPr>
        <w:t>保证机关正常运转的办公及印刷费、邮电费、差旅费、培训费、会议费、福利费、一般设备购置费、日常维修费、公务车运行维护费等支出。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2.10万元，其中因公出国（境）费0.00万元；公务用车购置及运维费2.10万元（其中：公务用车购置费为0.00万元，公务用车运维费2.10万元)；公务接待费0.00万元。与2023年相比增加</w:t>
      </w:r>
      <w:r>
        <w:rPr>
          <w:rFonts w:hint="eastAsia"/>
          <w:lang w:eastAsia="zh-CN"/>
        </w:rPr>
        <w:t>0</w:t>
      </w:r>
      <w:r>
        <w:t>万元，增减变化的主要原因是较上年无增减变化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spacing w:line="570" w:lineRule="exact"/>
        <w:ind w:firstLine="560" w:firstLineChars="200"/>
        <w:rPr>
          <w:rFonts w:eastAsia="方正仿宋_GBK"/>
          <w:sz w:val="28"/>
        </w:rPr>
      </w:pPr>
      <w:r>
        <w:rPr>
          <w:rFonts w:hint="eastAsia" w:eastAsia="方正仿宋_GBK"/>
          <w:sz w:val="28"/>
        </w:rPr>
        <w:t>1</w:t>
      </w:r>
      <w:r>
        <w:rPr>
          <w:rFonts w:hint="eastAsia" w:asciiTheme="minorEastAsia" w:hAnsiTheme="minorEastAsia" w:eastAsiaTheme="minorEastAsia"/>
          <w:sz w:val="28"/>
          <w:lang w:eastAsia="zh-CN"/>
        </w:rPr>
        <w:t>、</w:t>
      </w:r>
      <w:r>
        <w:rPr>
          <w:rFonts w:eastAsia="方正仿宋_GBK"/>
          <w:sz w:val="28"/>
        </w:rPr>
        <w:t>坚决落实党要管党、全面从严治党主体责任。</w:t>
      </w:r>
      <w:r>
        <w:rPr>
          <w:rFonts w:hint="eastAsia" w:eastAsia="方正仿宋_GBK"/>
          <w:sz w:val="28"/>
        </w:rPr>
        <w:t>深入学习贯彻习近平总书记关于党的自我革命的重要思想，坚决落实全面从严治党战略方针，深刻领悟“两个确立”的决定性意义，自觉增强“四个意识”、坚定“四个自信”、做到“两个维护”，深化拓展主题教育成果，把“党校姓党”根本原则贯彻落实到办学治校各环节和全过程，以永远在路上的坚韧执着把党的自我革命进行到底，为推进新时代党校工作高质量发展提供坚强保障。</w:t>
      </w:r>
    </w:p>
    <w:p>
      <w:pPr>
        <w:spacing w:line="570" w:lineRule="exact"/>
        <w:ind w:firstLine="560" w:firstLineChars="200"/>
        <w:rPr>
          <w:rFonts w:eastAsia="方正仿宋_GBK"/>
          <w:sz w:val="28"/>
        </w:rPr>
      </w:pPr>
      <w:r>
        <w:rPr>
          <w:rFonts w:hint="eastAsia" w:eastAsia="方正仿宋_GBK"/>
          <w:sz w:val="28"/>
        </w:rPr>
        <w:t>2</w:t>
      </w:r>
      <w:r>
        <w:rPr>
          <w:rFonts w:hint="eastAsia" w:asciiTheme="minorEastAsia" w:hAnsiTheme="minorEastAsia" w:eastAsiaTheme="minorEastAsia"/>
          <w:sz w:val="28"/>
          <w:lang w:eastAsia="zh-CN"/>
        </w:rPr>
        <w:t>、</w:t>
      </w:r>
      <w:r>
        <w:rPr>
          <w:rFonts w:hint="eastAsia" w:eastAsia="方正仿宋_GBK"/>
          <w:sz w:val="28"/>
        </w:rPr>
        <w:t>围绕中心，聚焦主业，切实发挥教育培训主阵地作用。坚持为党育才，以理论教育和党性教育为主业主课，坚持“一个中心、四个方面”的教学布局，整合培训资源，提升培训质量，探索构建起多层次、多渠道、大规模的干部教育培训新格局。根据区委干训计划和区委组织部具体要求，充分发挥干部教育培训主阵地主渠道作用，开展好乡科级领导干部、新录用公务员等主体培训，认真做好党的二十大精神的宣讲和相关培训工作。</w:t>
      </w:r>
    </w:p>
    <w:p>
      <w:pPr>
        <w:spacing w:line="570" w:lineRule="exact"/>
        <w:ind w:firstLine="560" w:firstLineChars="200"/>
        <w:rPr>
          <w:rFonts w:eastAsia="方正仿宋_GBK"/>
          <w:sz w:val="28"/>
        </w:rPr>
      </w:pPr>
      <w:r>
        <w:rPr>
          <w:rFonts w:hint="eastAsia" w:eastAsia="方正仿宋_GBK"/>
          <w:sz w:val="28"/>
        </w:rPr>
        <w:t>3、立足本职，发挥优势，努力开创科研和决策咨询工作新局面。坚持为党献策，聚焦区委、区政府中心工作、党委和政府的重大决策部署、社会热点难点问题进行深入研究，为区委、区政府提供决策服务，切实发挥新型智库作用。加强与区委、区政府相关部门以及上级党校的合作交流，积极承担相关委托课题，突出针对性、实效性、可行性，着力形成有针对性、有分量的研究成果，为区委、区政府中心工作提供有参考价值的咨询成果。</w:t>
      </w:r>
    </w:p>
    <w:p>
      <w:pPr>
        <w:spacing w:line="570" w:lineRule="exact"/>
        <w:ind w:firstLine="560" w:firstLineChars="200"/>
        <w:rPr>
          <w:rFonts w:eastAsia="方正仿宋_GBK"/>
          <w:sz w:val="28"/>
        </w:rPr>
      </w:pPr>
      <w:r>
        <w:rPr>
          <w:rFonts w:hint="eastAsia" w:eastAsia="方正仿宋_GBK"/>
          <w:sz w:val="28"/>
        </w:rPr>
        <w:t>4、审时度势、统筹发展，打磨“向海发展”精品课程。按照区委区政府两会精神，协同发展、海洋强国等战略深入实施，组织教师进一步深入调研，打造“向海发展”精品课程。坚定不移沿着总书记指引的方向阔步前行，充分发挥党校在沿海经济发展中的引领作用。</w:t>
      </w:r>
    </w:p>
    <w:p>
      <w:pPr>
        <w:spacing w:line="570" w:lineRule="exact"/>
        <w:ind w:firstLine="560" w:firstLineChars="200"/>
        <w:rPr>
          <w:rFonts w:eastAsia="方正仿宋_GBK"/>
          <w:sz w:val="28"/>
        </w:rPr>
      </w:pPr>
      <w:r>
        <w:rPr>
          <w:rFonts w:hint="eastAsia" w:eastAsia="方正仿宋_GBK"/>
          <w:sz w:val="28"/>
        </w:rPr>
        <w:t>5</w:t>
      </w:r>
      <w:r>
        <w:rPr>
          <w:rFonts w:hint="eastAsia" w:asciiTheme="minorEastAsia" w:hAnsiTheme="minorEastAsia" w:eastAsiaTheme="minorEastAsia"/>
          <w:sz w:val="28"/>
          <w:lang w:eastAsia="zh-CN"/>
        </w:rPr>
        <w:t>、</w:t>
      </w:r>
      <w:r>
        <w:rPr>
          <w:rFonts w:hint="eastAsia" w:eastAsia="方正仿宋_GBK"/>
          <w:sz w:val="28"/>
        </w:rPr>
        <w:t>加强培养，打造政治强、业务精、理论扎实、作风正的师资队伍。以提高教师队伍素质为重点，加强业务培训、提升工作能力。加强干部队伍建设，努力提升教职工队伍的整体工作水平；做好师资培训，制定教师培养工作计划，有针对性地安排教师到省委党校、市委党校等院校参加学习进修、业务培训等，提升理论业务水平，青年教师能够独立完成优质课讲受任务。</w:t>
      </w:r>
    </w:p>
    <w:p>
      <w:pPr>
        <w:pStyle w:val="35"/>
        <w:spacing w:line="570" w:lineRule="exact"/>
        <w:ind w:firstLine="640"/>
        <w:rPr>
          <w:rFonts w:eastAsia="方正仿宋_GBK"/>
          <w:sz w:val="28"/>
          <w:szCs w:val="24"/>
          <w:lang w:eastAsia="uk-UA"/>
        </w:rPr>
      </w:pPr>
      <w:r>
        <w:rPr>
          <w:rFonts w:hint="eastAsia" w:eastAsia="方正仿宋_GBK"/>
          <w:sz w:val="28"/>
          <w:szCs w:val="24"/>
          <w:lang w:eastAsia="uk-UA"/>
        </w:rPr>
        <w:t>6</w:t>
      </w:r>
      <w:r>
        <w:rPr>
          <w:rFonts w:hint="eastAsia" w:asciiTheme="minorEastAsia" w:hAnsiTheme="minorEastAsia" w:eastAsiaTheme="minorEastAsia"/>
          <w:sz w:val="28"/>
          <w:szCs w:val="24"/>
        </w:rPr>
        <w:t>、</w:t>
      </w:r>
      <w:r>
        <w:rPr>
          <w:rFonts w:hint="eastAsia" w:eastAsia="方正仿宋_GBK"/>
          <w:sz w:val="28"/>
          <w:szCs w:val="24"/>
          <w:lang w:eastAsia="uk-UA"/>
        </w:rPr>
        <w:t>以党的政治建设为统领，以支部标准化规范化建设为抓手，以加强党风廉政建设为保证，持续打造“</w:t>
      </w:r>
      <w:r>
        <w:rPr>
          <w:rFonts w:eastAsia="方正仿宋_GBK"/>
          <w:sz w:val="28"/>
          <w:szCs w:val="24"/>
          <w:lang w:eastAsia="uk-UA"/>
        </w:rPr>
        <w:t>思想阵地、党性熔炉</w:t>
      </w:r>
      <w:r>
        <w:rPr>
          <w:rFonts w:hint="eastAsia" w:eastAsia="方正仿宋_GBK"/>
          <w:sz w:val="28"/>
          <w:szCs w:val="24"/>
          <w:lang w:eastAsia="uk-UA"/>
        </w:rPr>
        <w:t>”</w:t>
      </w:r>
      <w:r>
        <w:rPr>
          <w:rFonts w:eastAsia="方正仿宋_GBK"/>
          <w:sz w:val="28"/>
          <w:szCs w:val="24"/>
          <w:lang w:eastAsia="uk-UA"/>
        </w:rPr>
        <w:t>党建品牌</w:t>
      </w:r>
      <w:r>
        <w:rPr>
          <w:rFonts w:hint="eastAsia" w:eastAsia="方正仿宋_GBK"/>
          <w:sz w:val="28"/>
          <w:szCs w:val="24"/>
          <w:lang w:eastAsia="uk-UA"/>
        </w:rPr>
        <w:t>，践行“为党育才、为党献策”的初心和使命，不断增强党支部的政治领导力、发展推动力、群众凝聚力和自我革新力，充分发挥党支部的核心引领作用，从严从实抓好党的建设，以高质量党建引领保障高质量发展。</w:t>
      </w:r>
    </w:p>
    <w:p>
      <w:pPr>
        <w:spacing w:line="500" w:lineRule="exact"/>
        <w:ind w:firstLine="560"/>
        <w:rPr>
          <w:rFonts w:eastAsia="方正仿宋_GBK"/>
          <w:sz w:val="28"/>
          <w:lang w:eastAsia="zh-CN"/>
        </w:rPr>
      </w:pPr>
      <w:r>
        <w:rPr>
          <w:rFonts w:hint="eastAsia" w:eastAsia="方正仿宋_GBK"/>
          <w:sz w:val="28"/>
        </w:rPr>
        <w:t>7</w:t>
      </w:r>
      <w:r>
        <w:rPr>
          <w:rFonts w:hint="eastAsia" w:asciiTheme="minorEastAsia" w:hAnsiTheme="minorEastAsia" w:eastAsiaTheme="minorEastAsia"/>
          <w:sz w:val="28"/>
        </w:rPr>
        <w:t>、</w:t>
      </w:r>
      <w:r>
        <w:rPr>
          <w:rFonts w:hint="eastAsia" w:eastAsia="方正仿宋_GBK"/>
          <w:sz w:val="28"/>
        </w:rPr>
        <w:t>以区委党校迁建为契机，全面提升党校基础设施建设水平。切实承担建校主体责任，严格落实上级办学标准和时限，重质提效，有序推进项目建设，同步完善办学、教学设施。</w:t>
      </w:r>
    </w:p>
    <w:p>
      <w:pPr>
        <w:spacing w:line="500" w:lineRule="exact"/>
        <w:ind w:firstLine="560"/>
      </w:pPr>
      <w:r>
        <w:rPr>
          <w:rFonts w:eastAsia="方正仿宋_GBK"/>
          <w:color w:val="000000"/>
          <w:sz w:val="28"/>
        </w:rPr>
        <w:t>（二）分项绩效目标</w:t>
      </w:r>
    </w:p>
    <w:p>
      <w:pPr>
        <w:pStyle w:val="22"/>
      </w:pPr>
      <w:r>
        <w:rPr>
          <w:rFonts w:hint="eastAsia"/>
          <w:lang w:eastAsia="zh-CN"/>
        </w:rPr>
        <w:t>1</w:t>
      </w:r>
      <w:r>
        <w:t>、办学质量评估经费</w:t>
      </w:r>
    </w:p>
    <w:p>
      <w:pPr>
        <w:pStyle w:val="22"/>
      </w:pPr>
      <w:r>
        <w:t>绩效目标：办学评估经费，主要用于党校评估纳入各县区的指标体系，用于发挥干部教育培训主渠道作用，举办专题研讨班。</w:t>
      </w:r>
    </w:p>
    <w:p>
      <w:pPr>
        <w:pStyle w:val="22"/>
      </w:pPr>
      <w:r>
        <w:t>绩效指标：负责学员在培训期间的表现进行考核，提出考核意见。</w:t>
      </w:r>
    </w:p>
    <w:p>
      <w:pPr>
        <w:pStyle w:val="22"/>
      </w:pPr>
    </w:p>
    <w:p>
      <w:pPr>
        <w:pStyle w:val="22"/>
      </w:pPr>
      <w:r>
        <w:rPr>
          <w:rFonts w:hint="eastAsia"/>
          <w:lang w:eastAsia="zh-CN"/>
        </w:rPr>
        <w:t>2</w:t>
      </w:r>
      <w:r>
        <w:t>、办学设施及用品采购经费</w:t>
      </w:r>
    </w:p>
    <w:p>
      <w:pPr>
        <w:pStyle w:val="22"/>
      </w:pPr>
      <w:r>
        <w:t>绩效目标：高标准打造区委党校基础设施建设。</w:t>
      </w:r>
    </w:p>
    <w:p>
      <w:pPr>
        <w:pStyle w:val="22"/>
      </w:pPr>
      <w:r>
        <w:t>绩效指标：新校区采购教室设施、教学用具、办公桌椅、食堂用具、学员宿舍设施及用品等，保障教育教学正常进行。</w:t>
      </w:r>
    </w:p>
    <w:p>
      <w:pPr>
        <w:pStyle w:val="22"/>
      </w:pPr>
    </w:p>
    <w:p>
      <w:pPr>
        <w:pStyle w:val="22"/>
      </w:pPr>
      <w:r>
        <w:rPr>
          <w:rFonts w:hint="eastAsia"/>
          <w:lang w:eastAsia="zh-CN"/>
        </w:rPr>
        <w:t>3</w:t>
      </w:r>
      <w:r>
        <w:t>、日常运行经费</w:t>
      </w:r>
    </w:p>
    <w:p>
      <w:pPr>
        <w:pStyle w:val="22"/>
      </w:pPr>
      <w:r>
        <w:t>绩效目标：；落实上级高质量办学标准及时限要求。</w:t>
      </w:r>
    </w:p>
    <w:p>
      <w:pPr>
        <w:pStyle w:val="22"/>
      </w:pPr>
      <w:r>
        <w:t>绩效指标：新校区物业、餐饮、住宿、会务、消防、安保、智能化等专业服务用以保障高质量办学。</w:t>
      </w:r>
    </w:p>
    <w:p>
      <w:pPr>
        <w:pStyle w:val="22"/>
      </w:pPr>
    </w:p>
    <w:p>
      <w:pPr>
        <w:pStyle w:val="22"/>
      </w:pPr>
      <w:r>
        <w:rPr>
          <w:rFonts w:hint="eastAsia"/>
          <w:lang w:eastAsia="zh-CN"/>
        </w:rPr>
        <w:t>4</w:t>
      </w:r>
      <w:r>
        <w:t>、补充日常公用经费</w:t>
      </w:r>
    </w:p>
    <w:p>
      <w:pPr>
        <w:pStyle w:val="22"/>
      </w:pPr>
      <w:r>
        <w:t>绩效目标：保障日常工作正常运转。</w:t>
      </w:r>
    </w:p>
    <w:p>
      <w:pPr>
        <w:pStyle w:val="22"/>
      </w:pPr>
      <w:r>
        <w:t>绩效指标：补充日常人员公用经费不足的短板，更好的保障日常工作顺利开展。</w:t>
      </w:r>
    </w:p>
    <w:p>
      <w:pPr>
        <w:pStyle w:val="22"/>
      </w:pPr>
    </w:p>
    <w:p>
      <w:pPr>
        <w:pStyle w:val="22"/>
      </w:pPr>
      <w:r>
        <w:rPr>
          <w:rFonts w:hint="eastAsia"/>
          <w:lang w:eastAsia="zh-CN"/>
        </w:rPr>
        <w:t>5</w:t>
      </w:r>
      <w:r>
        <w:t>、搬迁后餐补经费</w:t>
      </w:r>
    </w:p>
    <w:p>
      <w:pPr>
        <w:pStyle w:val="22"/>
      </w:pPr>
      <w:r>
        <w:t>绩效目标：保障教职工日常用餐。</w:t>
      </w:r>
    </w:p>
    <w:p>
      <w:pPr>
        <w:pStyle w:val="22"/>
      </w:pPr>
      <w:r>
        <w:t>绩效指标：进一步稳定教职工队伍，参照现有办公待遇标准，为教职工发放餐补，保障日常用餐。</w:t>
      </w:r>
    </w:p>
    <w:p>
      <w:pPr>
        <w:pStyle w:val="22"/>
      </w:pPr>
    </w:p>
    <w:p>
      <w:pPr>
        <w:pStyle w:val="22"/>
      </w:pPr>
    </w:p>
    <w:p>
      <w:pPr>
        <w:pStyle w:val="22"/>
      </w:pPr>
      <w:r>
        <w:rPr>
          <w:rFonts w:hint="eastAsia"/>
          <w:lang w:eastAsia="zh-CN"/>
        </w:rPr>
        <w:t>6</w:t>
      </w:r>
      <w:r>
        <w:t>、党校迁建项目经费</w:t>
      </w:r>
    </w:p>
    <w:p>
      <w:pPr>
        <w:pStyle w:val="22"/>
      </w:pPr>
      <w:r>
        <w:t>绩效目标：贯彻执行中央、省、市、区委及上级党校关于建设一流党校相关文件精神，逐步完善党校基础设施建设</w:t>
      </w:r>
    </w:p>
    <w:p>
      <w:pPr>
        <w:pStyle w:val="22"/>
      </w:pPr>
      <w:r>
        <w:t>绩效指标：区党校软、硬件设施达标，切实提升党校办学质量和办学水平。</w:t>
      </w:r>
    </w:p>
    <w:p>
      <w:pPr>
        <w:pStyle w:val="22"/>
      </w:pPr>
    </w:p>
    <w:p>
      <w:pPr>
        <w:spacing w:line="500" w:lineRule="exact"/>
        <w:ind w:firstLine="560"/>
      </w:pPr>
      <w:r>
        <w:rPr>
          <w:rFonts w:eastAsia="方正仿宋_GBK"/>
          <w:color w:val="000000"/>
          <w:sz w:val="28"/>
        </w:rPr>
        <w:t>（三）工作保障措施</w:t>
      </w:r>
    </w:p>
    <w:p>
      <w:pPr>
        <w:pStyle w:val="23"/>
      </w:pPr>
      <w:r>
        <w:rPr>
          <w:rFonts w:hint="eastAsia"/>
          <w:lang w:eastAsia="zh-CN"/>
        </w:rPr>
        <w:t>1</w:t>
      </w:r>
      <w:r>
        <w:t>、落实责任，充分发挥干部教育培训主渠道作用</w:t>
      </w:r>
    </w:p>
    <w:p>
      <w:pPr>
        <w:pStyle w:val="23"/>
      </w:pPr>
      <w:r>
        <w:t>围绕中心，服务大局，干部教育培训工作切实服务中心工作，将党建、社会和经济等方面的发展情况作为培训的主要内容，把提高办学质量作为基础性工程，聚集主业主课，坚持党校姓党，切实抓好党性教育，将干部教育培训紧紧与时代相结合，彰显时代特色，切实发挥党校干部培训主阵地组渠道作用。</w:t>
      </w:r>
    </w:p>
    <w:p>
      <w:pPr>
        <w:pStyle w:val="23"/>
      </w:pPr>
      <w:r>
        <w:rPr>
          <w:rFonts w:hint="eastAsia"/>
          <w:lang w:eastAsia="zh-CN"/>
        </w:rPr>
        <w:t>2</w:t>
      </w:r>
      <w:r>
        <w:t>、把握主线，提升学员政治站位</w:t>
      </w:r>
    </w:p>
    <w:p>
      <w:pPr>
        <w:pStyle w:val="23"/>
      </w:pPr>
      <w:r>
        <w:t>以突出理论教育和党性教育为主线，以学习研究习近平新时代中国特色社会主义思想为重点，突出问题导向，坚持统筹推进，结合需求导向，过程控制，情怀带动，引导学员增强“四个意识”，提升政治站位。</w:t>
      </w:r>
    </w:p>
    <w:p>
      <w:pPr>
        <w:pStyle w:val="23"/>
      </w:pPr>
      <w:r>
        <w:rPr>
          <w:rFonts w:hint="eastAsia"/>
          <w:lang w:eastAsia="zh-CN"/>
        </w:rPr>
        <w:t>3</w:t>
      </w:r>
      <w:r>
        <w:t>、强化措施，提高办学水平</w:t>
      </w:r>
    </w:p>
    <w:p>
      <w:pPr>
        <w:pStyle w:val="23"/>
      </w:pPr>
      <w:r>
        <w:t>深入研讨精品课开发方法，营造比中学、学中赶、赶中超的良好氛围，全面提升党校教育教学水平，因材施教，加强与学员的交流互动，广泛征求合理话建议，科学安排班次和课程设置，提高办学效果。</w:t>
      </w:r>
    </w:p>
    <w:p>
      <w:pPr>
        <w:pStyle w:val="23"/>
      </w:pPr>
      <w:r>
        <w:rPr>
          <w:rFonts w:hint="eastAsia"/>
          <w:lang w:eastAsia="zh-CN"/>
        </w:rPr>
        <w:t>4</w:t>
      </w:r>
      <w:r>
        <w:t>、做好绩效自评</w:t>
      </w:r>
    </w:p>
    <w:p>
      <w:pPr>
        <w:pStyle w:val="23"/>
      </w:pPr>
      <w:r>
        <w:t>按照开展上年度部门预算绩效自评和重点评价工作，对评价中发现的问题及时整改，调整优化支出结构，提高财政资金使用效益。</w:t>
      </w:r>
    </w:p>
    <w:p>
      <w:pPr>
        <w:pStyle w:val="23"/>
      </w:pPr>
      <w:r>
        <w:rPr>
          <w:rFonts w:hint="eastAsia"/>
          <w:lang w:eastAsia="zh-CN"/>
        </w:rPr>
        <w:t>5</w:t>
      </w:r>
      <w:r>
        <w:t>、规范财务资金管理</w:t>
      </w:r>
    </w:p>
    <w:p>
      <w:pPr>
        <w:pStyle w:val="23"/>
      </w:pPr>
      <w:r>
        <w:t>完善财务管理制度，严格审批流程，加强固定资产登记，使用和报废处置管理，做到支出合理，物尽其用。</w:t>
      </w:r>
    </w:p>
    <w:p>
      <w:pPr>
        <w:pStyle w:val="23"/>
      </w:pPr>
      <w:r>
        <w:rPr>
          <w:rFonts w:hint="eastAsia"/>
          <w:lang w:eastAsia="zh-CN"/>
        </w:rPr>
        <w:t>6</w:t>
      </w:r>
      <w:r>
        <w:t>、加强内部监督</w:t>
      </w:r>
    </w:p>
    <w:p>
      <w:pPr>
        <w:pStyle w:val="23"/>
      </w:pPr>
      <w:r>
        <w:t>加强内部监督制度建设，对绩效运行情况、重大支出决算、对外投资、资产处置及其他重要经济业务事项的决策和执行进行监督。</w:t>
      </w:r>
    </w:p>
    <w:p>
      <w:pPr>
        <w:pStyle w:val="23"/>
      </w:pPr>
      <w:r>
        <w:rPr>
          <w:rFonts w:hint="eastAsia"/>
          <w:lang w:eastAsia="zh-CN"/>
        </w:rPr>
        <w:t>7</w:t>
      </w:r>
      <w:r>
        <w:t>、加强宣传培训调研等</w:t>
      </w:r>
    </w:p>
    <w:p>
      <w:pPr>
        <w:pStyle w:val="23"/>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加强人员培训，提高本部门职工业务素质，加强调研，提出优化财政资金配置，提高资金使用效益的意见，加大宣传力度，强化预算绩效管理意识，促进预算绩效管理水平进一步提高。</w:t>
      </w:r>
    </w:p>
    <w:p>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1、2024年度餐补绩效目标表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13020924P000939100020</w:t>
            </w:r>
          </w:p>
        </w:tc>
        <w:tc>
          <w:tcPr>
            <w:tcW w:w="2835" w:type="dxa"/>
            <w:vAlign w:val="center"/>
          </w:tcPr>
          <w:p>
            <w:pPr>
              <w:pStyle w:val="10"/>
            </w:pPr>
            <w:r>
              <w:t>项目名称</w:t>
            </w:r>
          </w:p>
        </w:tc>
        <w:tc>
          <w:tcPr>
            <w:tcW w:w="6094" w:type="dxa"/>
            <w:gridSpan w:val="3"/>
            <w:vAlign w:val="center"/>
          </w:tcPr>
          <w:p>
            <w:pPr>
              <w:pStyle w:val="12"/>
            </w:pPr>
            <w:r>
              <w:t>2024年度餐补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25.27</w:t>
            </w:r>
          </w:p>
        </w:tc>
        <w:tc>
          <w:tcPr>
            <w:tcW w:w="2835" w:type="dxa"/>
            <w:vAlign w:val="center"/>
          </w:tcPr>
          <w:p>
            <w:pPr>
              <w:pStyle w:val="10"/>
            </w:pPr>
            <w:r>
              <w:t>其中：财政    资金</w:t>
            </w:r>
          </w:p>
        </w:tc>
        <w:tc>
          <w:tcPr>
            <w:tcW w:w="2551" w:type="dxa"/>
            <w:vAlign w:val="center"/>
          </w:tcPr>
          <w:p>
            <w:pPr>
              <w:pStyle w:val="12"/>
            </w:pPr>
            <w:r>
              <w:t>25.27</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在职人员伙食补助经费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1.餐补发放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数量指标</w:t>
            </w:r>
          </w:p>
        </w:tc>
        <w:tc>
          <w:tcPr>
            <w:tcW w:w="2268" w:type="dxa"/>
            <w:vAlign w:val="center"/>
          </w:tcPr>
          <w:p>
            <w:pPr>
              <w:pStyle w:val="12"/>
            </w:pPr>
            <w:r>
              <w:t>≥98%</w:t>
            </w:r>
          </w:p>
        </w:tc>
        <w:tc>
          <w:tcPr>
            <w:tcW w:w="1276" w:type="dxa"/>
            <w:vAlign w:val="center"/>
          </w:tcPr>
          <w:p>
            <w:pPr>
              <w:pStyle w:val="12"/>
            </w:pPr>
            <w:r>
              <w:t>参照工业区待遇标准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补助率</w:t>
            </w:r>
          </w:p>
        </w:tc>
        <w:tc>
          <w:tcPr>
            <w:tcW w:w="5386" w:type="dxa"/>
            <w:vAlign w:val="center"/>
          </w:tcPr>
          <w:p>
            <w:pPr>
              <w:pStyle w:val="12"/>
            </w:pPr>
            <w:r>
              <w:t>补助率</w:t>
            </w:r>
          </w:p>
        </w:tc>
        <w:tc>
          <w:tcPr>
            <w:tcW w:w="2268" w:type="dxa"/>
            <w:vAlign w:val="center"/>
          </w:tcPr>
          <w:p>
            <w:pPr>
              <w:pStyle w:val="12"/>
            </w:pPr>
            <w:r>
              <w:t>≥98%</w:t>
            </w:r>
          </w:p>
        </w:tc>
        <w:tc>
          <w:tcPr>
            <w:tcW w:w="1276" w:type="dxa"/>
            <w:vAlign w:val="center"/>
          </w:tcPr>
          <w:p>
            <w:pPr>
              <w:pStyle w:val="12"/>
            </w:pPr>
            <w:r>
              <w:t>参照工业区待遇标准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及时率</w:t>
            </w:r>
          </w:p>
        </w:tc>
        <w:tc>
          <w:tcPr>
            <w:tcW w:w="2268" w:type="dxa"/>
            <w:vAlign w:val="center"/>
          </w:tcPr>
          <w:p>
            <w:pPr>
              <w:pStyle w:val="12"/>
            </w:pPr>
            <w:r>
              <w:t>≥98%</w:t>
            </w:r>
          </w:p>
        </w:tc>
        <w:tc>
          <w:tcPr>
            <w:tcW w:w="1276" w:type="dxa"/>
            <w:vAlign w:val="center"/>
          </w:tcPr>
          <w:p>
            <w:pPr>
              <w:pStyle w:val="12"/>
            </w:pPr>
            <w:r>
              <w:t>参照工业区待遇标准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w:t>
            </w:r>
          </w:p>
        </w:tc>
        <w:tc>
          <w:tcPr>
            <w:tcW w:w="5386" w:type="dxa"/>
            <w:vAlign w:val="center"/>
          </w:tcPr>
          <w:p>
            <w:pPr>
              <w:pStyle w:val="12"/>
            </w:pPr>
            <w:r>
              <w:t>预算执行</w:t>
            </w:r>
          </w:p>
        </w:tc>
        <w:tc>
          <w:tcPr>
            <w:tcW w:w="2268" w:type="dxa"/>
            <w:vAlign w:val="center"/>
          </w:tcPr>
          <w:p>
            <w:pPr>
              <w:pStyle w:val="12"/>
            </w:pPr>
            <w:r>
              <w:t>100%</w:t>
            </w:r>
          </w:p>
        </w:tc>
        <w:tc>
          <w:tcPr>
            <w:tcW w:w="1276" w:type="dxa"/>
            <w:vAlign w:val="center"/>
          </w:tcPr>
          <w:p>
            <w:pPr>
              <w:pStyle w:val="12"/>
            </w:pPr>
            <w:r>
              <w:t>参照工业区待遇标准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≥98%</w:t>
            </w:r>
          </w:p>
        </w:tc>
        <w:tc>
          <w:tcPr>
            <w:tcW w:w="1276" w:type="dxa"/>
            <w:vAlign w:val="center"/>
          </w:tcPr>
          <w:p>
            <w:pPr>
              <w:pStyle w:val="12"/>
            </w:pPr>
            <w:r>
              <w:t>参照工业区待遇标准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保障工作开展</w:t>
            </w:r>
          </w:p>
        </w:tc>
        <w:tc>
          <w:tcPr>
            <w:tcW w:w="5386" w:type="dxa"/>
            <w:vAlign w:val="center"/>
          </w:tcPr>
          <w:p>
            <w:pPr>
              <w:pStyle w:val="12"/>
            </w:pPr>
            <w:r>
              <w:t>保障工作开展</w:t>
            </w:r>
          </w:p>
        </w:tc>
        <w:tc>
          <w:tcPr>
            <w:tcW w:w="2268" w:type="dxa"/>
            <w:vAlign w:val="center"/>
          </w:tcPr>
          <w:p>
            <w:pPr>
              <w:pStyle w:val="12"/>
            </w:pPr>
            <w:r>
              <w:t>≥98%</w:t>
            </w:r>
          </w:p>
        </w:tc>
        <w:tc>
          <w:tcPr>
            <w:tcW w:w="1276" w:type="dxa"/>
            <w:vAlign w:val="center"/>
          </w:tcPr>
          <w:p>
            <w:pPr>
              <w:pStyle w:val="12"/>
            </w:pPr>
            <w:r>
              <w:t>参照工业区待遇标准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≥98%</w:t>
            </w:r>
          </w:p>
        </w:tc>
        <w:tc>
          <w:tcPr>
            <w:tcW w:w="1276" w:type="dxa"/>
            <w:vAlign w:val="center"/>
          </w:tcPr>
          <w:p>
            <w:pPr>
              <w:pStyle w:val="12"/>
            </w:pPr>
            <w:r>
              <w:t>参照工业区待遇标准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提升人员素质</w:t>
            </w:r>
          </w:p>
        </w:tc>
        <w:tc>
          <w:tcPr>
            <w:tcW w:w="5386" w:type="dxa"/>
            <w:vAlign w:val="center"/>
          </w:tcPr>
          <w:p>
            <w:pPr>
              <w:pStyle w:val="12"/>
            </w:pPr>
            <w:r>
              <w:t>提升人员素质</w:t>
            </w:r>
          </w:p>
        </w:tc>
        <w:tc>
          <w:tcPr>
            <w:tcW w:w="2268" w:type="dxa"/>
            <w:vAlign w:val="center"/>
          </w:tcPr>
          <w:p>
            <w:pPr>
              <w:pStyle w:val="12"/>
            </w:pPr>
            <w:r>
              <w:t>≥98%</w:t>
            </w:r>
          </w:p>
        </w:tc>
        <w:tc>
          <w:tcPr>
            <w:tcW w:w="1276" w:type="dxa"/>
            <w:vAlign w:val="center"/>
          </w:tcPr>
          <w:p>
            <w:pPr>
              <w:pStyle w:val="12"/>
            </w:pPr>
            <w:r>
              <w:t>参照工业区待遇标准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≥99%</w:t>
            </w:r>
          </w:p>
        </w:tc>
        <w:tc>
          <w:tcPr>
            <w:tcW w:w="1276" w:type="dxa"/>
            <w:vAlign w:val="center"/>
          </w:tcPr>
          <w:p>
            <w:pPr>
              <w:pStyle w:val="12"/>
            </w:pPr>
            <w:r>
              <w:t>参照工业区待遇标准</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2、办公设施及用品采购项目绩效目标表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13020924P00095110003L</w:t>
            </w:r>
          </w:p>
        </w:tc>
        <w:tc>
          <w:tcPr>
            <w:tcW w:w="2835" w:type="dxa"/>
            <w:vAlign w:val="center"/>
          </w:tcPr>
          <w:p>
            <w:pPr>
              <w:pStyle w:val="10"/>
            </w:pPr>
            <w:r>
              <w:t>项目名称</w:t>
            </w:r>
          </w:p>
        </w:tc>
        <w:tc>
          <w:tcPr>
            <w:tcW w:w="6094" w:type="dxa"/>
            <w:gridSpan w:val="3"/>
            <w:vAlign w:val="center"/>
          </w:tcPr>
          <w:p>
            <w:pPr>
              <w:pStyle w:val="12"/>
            </w:pPr>
            <w:r>
              <w:t>办公设施及用品采购项目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2389.80</w:t>
            </w:r>
          </w:p>
        </w:tc>
        <w:tc>
          <w:tcPr>
            <w:tcW w:w="2835" w:type="dxa"/>
            <w:vAlign w:val="center"/>
          </w:tcPr>
          <w:p>
            <w:pPr>
              <w:pStyle w:val="10"/>
            </w:pPr>
            <w:r>
              <w:t>其中：财政    资金</w:t>
            </w:r>
          </w:p>
        </w:tc>
        <w:tc>
          <w:tcPr>
            <w:tcW w:w="2551" w:type="dxa"/>
            <w:vAlign w:val="center"/>
          </w:tcPr>
          <w:p>
            <w:pPr>
              <w:pStyle w:val="12"/>
            </w:pPr>
            <w:r>
              <w:t>2389.80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新党校办公设施及用品采购项目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40%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1.办公设备及用品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数量指标</w:t>
            </w:r>
          </w:p>
        </w:tc>
        <w:tc>
          <w:tcPr>
            <w:tcW w:w="2268" w:type="dxa"/>
            <w:vAlign w:val="center"/>
          </w:tcPr>
          <w:p>
            <w:pPr>
              <w:pStyle w:val="12"/>
            </w:pPr>
            <w:r>
              <w:t>≥98%</w:t>
            </w:r>
          </w:p>
        </w:tc>
        <w:tc>
          <w:tcPr>
            <w:tcW w:w="1276"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5386" w:type="dxa"/>
            <w:vAlign w:val="center"/>
          </w:tcPr>
          <w:p>
            <w:pPr>
              <w:pStyle w:val="12"/>
            </w:pPr>
            <w:r>
              <w:t>工作完成情况</w:t>
            </w:r>
          </w:p>
        </w:tc>
        <w:tc>
          <w:tcPr>
            <w:tcW w:w="2268" w:type="dxa"/>
            <w:vAlign w:val="center"/>
          </w:tcPr>
          <w:p>
            <w:pPr>
              <w:pStyle w:val="12"/>
            </w:pPr>
            <w:r>
              <w:t>≥98%</w:t>
            </w:r>
          </w:p>
        </w:tc>
        <w:tc>
          <w:tcPr>
            <w:tcW w:w="1276"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≥98%</w:t>
            </w:r>
          </w:p>
        </w:tc>
        <w:tc>
          <w:tcPr>
            <w:tcW w:w="1276"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控制成本</w:t>
            </w:r>
          </w:p>
        </w:tc>
        <w:tc>
          <w:tcPr>
            <w:tcW w:w="2268" w:type="dxa"/>
            <w:vAlign w:val="center"/>
          </w:tcPr>
          <w:p>
            <w:pPr>
              <w:pStyle w:val="12"/>
            </w:pPr>
            <w:r>
              <w:t>≥98%</w:t>
            </w:r>
          </w:p>
        </w:tc>
        <w:tc>
          <w:tcPr>
            <w:tcW w:w="1276"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新增固定资产总值</w:t>
            </w:r>
          </w:p>
        </w:tc>
        <w:tc>
          <w:tcPr>
            <w:tcW w:w="5386" w:type="dxa"/>
            <w:vAlign w:val="center"/>
          </w:tcPr>
          <w:p>
            <w:pPr>
              <w:pStyle w:val="12"/>
            </w:pPr>
            <w:r>
              <w:t>新增固定资产总值</w:t>
            </w:r>
          </w:p>
        </w:tc>
        <w:tc>
          <w:tcPr>
            <w:tcW w:w="2268" w:type="dxa"/>
            <w:vAlign w:val="center"/>
          </w:tcPr>
          <w:p>
            <w:pPr>
              <w:pStyle w:val="12"/>
            </w:pPr>
            <w:r>
              <w:t>≥98%</w:t>
            </w:r>
          </w:p>
        </w:tc>
        <w:tc>
          <w:tcPr>
            <w:tcW w:w="1276"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业务保障能力提升比率</w:t>
            </w:r>
          </w:p>
        </w:tc>
        <w:tc>
          <w:tcPr>
            <w:tcW w:w="5386" w:type="dxa"/>
            <w:vAlign w:val="center"/>
          </w:tcPr>
          <w:p>
            <w:pPr>
              <w:pStyle w:val="12"/>
            </w:pPr>
            <w:r>
              <w:t>业务保障能力提升比率</w:t>
            </w:r>
          </w:p>
        </w:tc>
        <w:tc>
          <w:tcPr>
            <w:tcW w:w="2268" w:type="dxa"/>
            <w:vAlign w:val="center"/>
          </w:tcPr>
          <w:p>
            <w:pPr>
              <w:pStyle w:val="12"/>
            </w:pPr>
            <w:r>
              <w:t>≥98%</w:t>
            </w:r>
          </w:p>
        </w:tc>
        <w:tc>
          <w:tcPr>
            <w:tcW w:w="1276"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≥98%</w:t>
            </w:r>
          </w:p>
        </w:tc>
        <w:tc>
          <w:tcPr>
            <w:tcW w:w="1276"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≥98%</w:t>
            </w:r>
          </w:p>
        </w:tc>
        <w:tc>
          <w:tcPr>
            <w:tcW w:w="1276"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≥99%</w:t>
            </w:r>
          </w:p>
        </w:tc>
        <w:tc>
          <w:tcPr>
            <w:tcW w:w="1276" w:type="dxa"/>
            <w:vAlign w:val="center"/>
          </w:tcPr>
          <w:p>
            <w:pPr>
              <w:pStyle w:val="12"/>
            </w:pPr>
            <w:r>
              <w:t>按照年初预算安排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3、办学质量评估经费绩效目标表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13020924P000877100041</w:t>
            </w:r>
          </w:p>
        </w:tc>
        <w:tc>
          <w:tcPr>
            <w:tcW w:w="2835" w:type="dxa"/>
            <w:vAlign w:val="center"/>
          </w:tcPr>
          <w:p>
            <w:pPr>
              <w:pStyle w:val="10"/>
            </w:pPr>
            <w:r>
              <w:t>项目名称</w:t>
            </w:r>
          </w:p>
        </w:tc>
        <w:tc>
          <w:tcPr>
            <w:tcW w:w="6094" w:type="dxa"/>
            <w:gridSpan w:val="3"/>
            <w:vAlign w:val="center"/>
          </w:tcPr>
          <w:p>
            <w:pPr>
              <w:pStyle w:val="12"/>
            </w:pPr>
            <w:r>
              <w:t>办学质量评估经费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75.00</w:t>
            </w:r>
          </w:p>
        </w:tc>
        <w:tc>
          <w:tcPr>
            <w:tcW w:w="2835" w:type="dxa"/>
            <w:vAlign w:val="center"/>
          </w:tcPr>
          <w:p>
            <w:pPr>
              <w:pStyle w:val="10"/>
            </w:pPr>
            <w:r>
              <w:t>其中：财政    资金</w:t>
            </w:r>
          </w:p>
        </w:tc>
        <w:tc>
          <w:tcPr>
            <w:tcW w:w="2551" w:type="dxa"/>
            <w:vAlign w:val="center"/>
          </w:tcPr>
          <w:p>
            <w:pPr>
              <w:pStyle w:val="12"/>
            </w:pPr>
            <w:r>
              <w:t>75.00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办学质量评估经费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1.举办专题研讨班</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组织业务培训</w:t>
            </w:r>
          </w:p>
        </w:tc>
        <w:tc>
          <w:tcPr>
            <w:tcW w:w="5386" w:type="dxa"/>
            <w:vAlign w:val="center"/>
          </w:tcPr>
          <w:p>
            <w:pPr>
              <w:pStyle w:val="12"/>
            </w:pPr>
            <w:r>
              <w:t>组织业务培训</w:t>
            </w:r>
          </w:p>
        </w:tc>
        <w:tc>
          <w:tcPr>
            <w:tcW w:w="2268" w:type="dxa"/>
            <w:vAlign w:val="center"/>
          </w:tcPr>
          <w:p>
            <w:pPr>
              <w:pStyle w:val="12"/>
            </w:pPr>
            <w:r>
              <w:t>≥98%</w:t>
            </w:r>
          </w:p>
        </w:tc>
        <w:tc>
          <w:tcPr>
            <w:tcW w:w="1276"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智库成果采用率</w:t>
            </w:r>
          </w:p>
        </w:tc>
        <w:tc>
          <w:tcPr>
            <w:tcW w:w="5386" w:type="dxa"/>
            <w:vAlign w:val="center"/>
          </w:tcPr>
          <w:p>
            <w:pPr>
              <w:pStyle w:val="12"/>
            </w:pPr>
            <w:r>
              <w:t>智库成果采用率</w:t>
            </w:r>
          </w:p>
        </w:tc>
        <w:tc>
          <w:tcPr>
            <w:tcW w:w="2268" w:type="dxa"/>
            <w:vAlign w:val="center"/>
          </w:tcPr>
          <w:p>
            <w:pPr>
              <w:pStyle w:val="12"/>
            </w:pPr>
            <w:r>
              <w:t>≥98%</w:t>
            </w:r>
          </w:p>
        </w:tc>
        <w:tc>
          <w:tcPr>
            <w:tcW w:w="1276"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≥98%</w:t>
            </w:r>
          </w:p>
        </w:tc>
        <w:tc>
          <w:tcPr>
            <w:tcW w:w="1276"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保障工作时效性</w:t>
            </w:r>
          </w:p>
        </w:tc>
        <w:tc>
          <w:tcPr>
            <w:tcW w:w="5386" w:type="dxa"/>
            <w:vAlign w:val="center"/>
          </w:tcPr>
          <w:p>
            <w:pPr>
              <w:pStyle w:val="12"/>
            </w:pPr>
            <w:r>
              <w:t>保障工作时效性</w:t>
            </w:r>
          </w:p>
        </w:tc>
        <w:tc>
          <w:tcPr>
            <w:tcW w:w="2268" w:type="dxa"/>
            <w:vAlign w:val="center"/>
          </w:tcPr>
          <w:p>
            <w:pPr>
              <w:pStyle w:val="12"/>
            </w:pPr>
            <w:r>
              <w:t>≥98%</w:t>
            </w:r>
          </w:p>
        </w:tc>
        <w:tc>
          <w:tcPr>
            <w:tcW w:w="1276"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经济效益增长率</w:t>
            </w:r>
          </w:p>
        </w:tc>
        <w:tc>
          <w:tcPr>
            <w:tcW w:w="5386" w:type="dxa"/>
            <w:vAlign w:val="center"/>
          </w:tcPr>
          <w:p>
            <w:pPr>
              <w:pStyle w:val="12"/>
            </w:pPr>
            <w:r>
              <w:t>经济效益增长率</w:t>
            </w:r>
          </w:p>
        </w:tc>
        <w:tc>
          <w:tcPr>
            <w:tcW w:w="2268" w:type="dxa"/>
            <w:vAlign w:val="center"/>
          </w:tcPr>
          <w:p>
            <w:pPr>
              <w:pStyle w:val="12"/>
            </w:pPr>
            <w:r>
              <w:t>≥98%</w:t>
            </w:r>
          </w:p>
        </w:tc>
        <w:tc>
          <w:tcPr>
            <w:tcW w:w="1276"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成果应用率（%）</w:t>
            </w:r>
          </w:p>
        </w:tc>
        <w:tc>
          <w:tcPr>
            <w:tcW w:w="5386" w:type="dxa"/>
            <w:vAlign w:val="center"/>
          </w:tcPr>
          <w:p>
            <w:pPr>
              <w:pStyle w:val="12"/>
            </w:pPr>
            <w:r>
              <w:t>成果应用率（%）</w:t>
            </w:r>
          </w:p>
        </w:tc>
        <w:tc>
          <w:tcPr>
            <w:tcW w:w="2268" w:type="dxa"/>
            <w:vAlign w:val="center"/>
          </w:tcPr>
          <w:p>
            <w:pPr>
              <w:pStyle w:val="12"/>
            </w:pPr>
            <w:r>
              <w:t>≥98%</w:t>
            </w:r>
          </w:p>
        </w:tc>
        <w:tc>
          <w:tcPr>
            <w:tcW w:w="1276"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≥98%</w:t>
            </w:r>
          </w:p>
        </w:tc>
        <w:tc>
          <w:tcPr>
            <w:tcW w:w="1276"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任务计划完成率</w:t>
            </w:r>
          </w:p>
        </w:tc>
        <w:tc>
          <w:tcPr>
            <w:tcW w:w="5386" w:type="dxa"/>
            <w:vAlign w:val="center"/>
          </w:tcPr>
          <w:p>
            <w:pPr>
              <w:pStyle w:val="12"/>
            </w:pPr>
            <w:r>
              <w:t>任务计划完成率</w:t>
            </w:r>
          </w:p>
        </w:tc>
        <w:tc>
          <w:tcPr>
            <w:tcW w:w="2268" w:type="dxa"/>
            <w:vAlign w:val="center"/>
          </w:tcPr>
          <w:p>
            <w:pPr>
              <w:pStyle w:val="12"/>
            </w:pPr>
            <w:r>
              <w:t>≥98%</w:t>
            </w:r>
          </w:p>
        </w:tc>
        <w:tc>
          <w:tcPr>
            <w:tcW w:w="1276"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≥99%</w:t>
            </w:r>
          </w:p>
        </w:tc>
        <w:tc>
          <w:tcPr>
            <w:tcW w:w="1276" w:type="dxa"/>
            <w:vAlign w:val="center"/>
          </w:tcPr>
          <w:p>
            <w:pPr>
              <w:pStyle w:val="12"/>
            </w:pPr>
            <w: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4、补充日常公用经费绩效目标表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13020924P00086310003F</w:t>
            </w:r>
          </w:p>
        </w:tc>
        <w:tc>
          <w:tcPr>
            <w:tcW w:w="2835" w:type="dxa"/>
            <w:vAlign w:val="center"/>
          </w:tcPr>
          <w:p>
            <w:pPr>
              <w:pStyle w:val="10"/>
            </w:pPr>
            <w:r>
              <w:t>项目名称</w:t>
            </w:r>
          </w:p>
        </w:tc>
        <w:tc>
          <w:tcPr>
            <w:tcW w:w="6094" w:type="dxa"/>
            <w:gridSpan w:val="3"/>
            <w:vAlign w:val="center"/>
          </w:tcPr>
          <w:p>
            <w:pPr>
              <w:pStyle w:val="12"/>
            </w:pPr>
            <w:r>
              <w:t>补充日常公用经费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补充日常公用经费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40%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1.做好培训计划、保障培训场次、保障培训成效</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培训覆盖率（%）</w:t>
            </w:r>
          </w:p>
        </w:tc>
        <w:tc>
          <w:tcPr>
            <w:tcW w:w="5386" w:type="dxa"/>
            <w:vAlign w:val="center"/>
          </w:tcPr>
          <w:p>
            <w:pPr>
              <w:pStyle w:val="12"/>
            </w:pPr>
            <w:r>
              <w:t>培训覆盖率（%）</w:t>
            </w:r>
          </w:p>
        </w:tc>
        <w:tc>
          <w:tcPr>
            <w:tcW w:w="2268" w:type="dxa"/>
            <w:vAlign w:val="center"/>
          </w:tcPr>
          <w:p>
            <w:pPr>
              <w:pStyle w:val="12"/>
            </w:pPr>
            <w:r>
              <w:t>≤99%</w:t>
            </w:r>
          </w:p>
        </w:tc>
        <w:tc>
          <w:tcPr>
            <w:tcW w:w="1276" w:type="dxa"/>
            <w:vAlign w:val="center"/>
          </w:tcPr>
          <w:p>
            <w:pPr>
              <w:pStyle w:val="12"/>
            </w:pPr>
            <w:r>
              <w:t>完成预算安排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≤98%</w:t>
            </w:r>
          </w:p>
        </w:tc>
        <w:tc>
          <w:tcPr>
            <w:tcW w:w="1276" w:type="dxa"/>
            <w:vAlign w:val="center"/>
          </w:tcPr>
          <w:p>
            <w:pPr>
              <w:pStyle w:val="12"/>
            </w:pPr>
            <w:r>
              <w:t>完成预算安排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培训按时完成情况</w:t>
            </w:r>
          </w:p>
        </w:tc>
        <w:tc>
          <w:tcPr>
            <w:tcW w:w="5386" w:type="dxa"/>
            <w:vAlign w:val="center"/>
          </w:tcPr>
          <w:p>
            <w:pPr>
              <w:pStyle w:val="12"/>
            </w:pPr>
            <w:r>
              <w:t>培训按时完成情况</w:t>
            </w:r>
          </w:p>
        </w:tc>
        <w:tc>
          <w:tcPr>
            <w:tcW w:w="2268" w:type="dxa"/>
            <w:vAlign w:val="center"/>
          </w:tcPr>
          <w:p>
            <w:pPr>
              <w:pStyle w:val="12"/>
            </w:pPr>
            <w:r>
              <w:t>≥98%</w:t>
            </w:r>
          </w:p>
        </w:tc>
        <w:tc>
          <w:tcPr>
            <w:tcW w:w="1276" w:type="dxa"/>
            <w:vAlign w:val="center"/>
          </w:tcPr>
          <w:p>
            <w:pPr>
              <w:pStyle w:val="12"/>
            </w:pPr>
            <w:r>
              <w:t>完成预算安排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100%</w:t>
            </w:r>
          </w:p>
        </w:tc>
        <w:tc>
          <w:tcPr>
            <w:tcW w:w="1276" w:type="dxa"/>
            <w:vAlign w:val="center"/>
          </w:tcPr>
          <w:p>
            <w:pPr>
              <w:pStyle w:val="12"/>
            </w:pPr>
            <w:r>
              <w:t>完成预算安排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经济效益增长率</w:t>
            </w:r>
          </w:p>
        </w:tc>
        <w:tc>
          <w:tcPr>
            <w:tcW w:w="5386" w:type="dxa"/>
            <w:vAlign w:val="center"/>
          </w:tcPr>
          <w:p>
            <w:pPr>
              <w:pStyle w:val="12"/>
            </w:pPr>
            <w:r>
              <w:t>经济效益增长率</w:t>
            </w:r>
          </w:p>
        </w:tc>
        <w:tc>
          <w:tcPr>
            <w:tcW w:w="2268" w:type="dxa"/>
            <w:vAlign w:val="center"/>
          </w:tcPr>
          <w:p>
            <w:pPr>
              <w:pStyle w:val="12"/>
            </w:pPr>
            <w:r>
              <w:t>≤98%</w:t>
            </w:r>
          </w:p>
        </w:tc>
        <w:tc>
          <w:tcPr>
            <w:tcW w:w="1276" w:type="dxa"/>
            <w:vAlign w:val="center"/>
          </w:tcPr>
          <w:p>
            <w:pPr>
              <w:pStyle w:val="12"/>
            </w:pPr>
            <w:r>
              <w:t>完成预算安排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创新工作完成率</w:t>
            </w:r>
          </w:p>
        </w:tc>
        <w:tc>
          <w:tcPr>
            <w:tcW w:w="5386" w:type="dxa"/>
            <w:vAlign w:val="center"/>
          </w:tcPr>
          <w:p>
            <w:pPr>
              <w:pStyle w:val="12"/>
            </w:pPr>
            <w:r>
              <w:t>创新工作完成率</w:t>
            </w:r>
          </w:p>
        </w:tc>
        <w:tc>
          <w:tcPr>
            <w:tcW w:w="2268" w:type="dxa"/>
            <w:vAlign w:val="center"/>
          </w:tcPr>
          <w:p>
            <w:pPr>
              <w:pStyle w:val="12"/>
            </w:pPr>
            <w:r>
              <w:t>≥99%</w:t>
            </w:r>
          </w:p>
        </w:tc>
        <w:tc>
          <w:tcPr>
            <w:tcW w:w="1276" w:type="dxa"/>
            <w:vAlign w:val="center"/>
          </w:tcPr>
          <w:p>
            <w:pPr>
              <w:pStyle w:val="12"/>
            </w:pPr>
            <w:r>
              <w:t>完成预算安排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≥99%</w:t>
            </w:r>
          </w:p>
        </w:tc>
        <w:tc>
          <w:tcPr>
            <w:tcW w:w="1276" w:type="dxa"/>
            <w:vAlign w:val="center"/>
          </w:tcPr>
          <w:p>
            <w:pPr>
              <w:pStyle w:val="12"/>
            </w:pPr>
            <w:r>
              <w:t>完成预算安排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任务计划完成率</w:t>
            </w:r>
          </w:p>
        </w:tc>
        <w:tc>
          <w:tcPr>
            <w:tcW w:w="5386" w:type="dxa"/>
            <w:vAlign w:val="center"/>
          </w:tcPr>
          <w:p>
            <w:pPr>
              <w:pStyle w:val="12"/>
            </w:pPr>
            <w:r>
              <w:t>任务计划完成率</w:t>
            </w:r>
          </w:p>
        </w:tc>
        <w:tc>
          <w:tcPr>
            <w:tcW w:w="2268" w:type="dxa"/>
            <w:vAlign w:val="center"/>
          </w:tcPr>
          <w:p>
            <w:pPr>
              <w:pStyle w:val="12"/>
            </w:pPr>
            <w:r>
              <w:t>≥99%</w:t>
            </w:r>
          </w:p>
        </w:tc>
        <w:tc>
          <w:tcPr>
            <w:tcW w:w="1276" w:type="dxa"/>
            <w:vAlign w:val="center"/>
          </w:tcPr>
          <w:p>
            <w:pPr>
              <w:pStyle w:val="12"/>
            </w:pPr>
            <w:r>
              <w:t>完成预算安排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学习需求满意度</w:t>
            </w:r>
          </w:p>
        </w:tc>
        <w:tc>
          <w:tcPr>
            <w:tcW w:w="5386" w:type="dxa"/>
            <w:vAlign w:val="center"/>
          </w:tcPr>
          <w:p>
            <w:pPr>
              <w:pStyle w:val="12"/>
            </w:pPr>
            <w:r>
              <w:t>学习需求满意度</w:t>
            </w:r>
          </w:p>
        </w:tc>
        <w:tc>
          <w:tcPr>
            <w:tcW w:w="2268" w:type="dxa"/>
            <w:vAlign w:val="center"/>
          </w:tcPr>
          <w:p>
            <w:pPr>
              <w:pStyle w:val="12"/>
            </w:pPr>
            <w:r>
              <w:t>≥99%</w:t>
            </w:r>
          </w:p>
        </w:tc>
        <w:tc>
          <w:tcPr>
            <w:tcW w:w="1276" w:type="dxa"/>
            <w:vAlign w:val="center"/>
          </w:tcPr>
          <w:p>
            <w:pPr>
              <w:pStyle w:val="12"/>
            </w:pPr>
            <w:r>
              <w:t>完成预算安排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5、日常运行经费绩效目标表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13020924P00094910003T</w:t>
            </w:r>
          </w:p>
        </w:tc>
        <w:tc>
          <w:tcPr>
            <w:tcW w:w="2835" w:type="dxa"/>
            <w:vAlign w:val="center"/>
          </w:tcPr>
          <w:p>
            <w:pPr>
              <w:pStyle w:val="10"/>
            </w:pPr>
            <w:r>
              <w:t>项目名称</w:t>
            </w:r>
          </w:p>
        </w:tc>
        <w:tc>
          <w:tcPr>
            <w:tcW w:w="6094" w:type="dxa"/>
            <w:gridSpan w:val="3"/>
            <w:vAlign w:val="center"/>
          </w:tcPr>
          <w:p>
            <w:pPr>
              <w:pStyle w:val="12"/>
            </w:pPr>
            <w:r>
              <w:t>日常运行经费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487.20</w:t>
            </w:r>
          </w:p>
        </w:tc>
        <w:tc>
          <w:tcPr>
            <w:tcW w:w="2835" w:type="dxa"/>
            <w:vAlign w:val="center"/>
          </w:tcPr>
          <w:p>
            <w:pPr>
              <w:pStyle w:val="10"/>
            </w:pPr>
            <w:r>
              <w:t>其中：财政    资金</w:t>
            </w:r>
          </w:p>
        </w:tc>
        <w:tc>
          <w:tcPr>
            <w:tcW w:w="2551" w:type="dxa"/>
            <w:vAlign w:val="center"/>
          </w:tcPr>
          <w:p>
            <w:pPr>
              <w:pStyle w:val="12"/>
            </w:pPr>
            <w:r>
              <w:t>487.20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新党校日常运行经费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1.完成整体配套项目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≥98%</w:t>
            </w:r>
          </w:p>
        </w:tc>
        <w:tc>
          <w:tcPr>
            <w:tcW w:w="1276" w:type="dxa"/>
            <w:vAlign w:val="center"/>
          </w:tcPr>
          <w:p>
            <w:pPr>
              <w:pStyle w:val="12"/>
            </w:pPr>
            <w:r>
              <w:t>完成年初预算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质量指标</w:t>
            </w:r>
          </w:p>
        </w:tc>
        <w:tc>
          <w:tcPr>
            <w:tcW w:w="2268" w:type="dxa"/>
            <w:vAlign w:val="center"/>
          </w:tcPr>
          <w:p>
            <w:pPr>
              <w:pStyle w:val="12"/>
            </w:pPr>
            <w:r>
              <w:t>≥99%</w:t>
            </w:r>
          </w:p>
        </w:tc>
        <w:tc>
          <w:tcPr>
            <w:tcW w:w="1276" w:type="dxa"/>
            <w:vAlign w:val="center"/>
          </w:tcPr>
          <w:p>
            <w:pPr>
              <w:pStyle w:val="12"/>
            </w:pPr>
            <w:r>
              <w:t>完成年初预算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tc>
        <w:tc>
          <w:tcPr>
            <w:tcW w:w="5386" w:type="dxa"/>
            <w:vAlign w:val="center"/>
          </w:tcPr>
          <w:p>
            <w:pPr>
              <w:pStyle w:val="12"/>
            </w:pPr>
            <w:r>
              <w:t>工作完成的时效</w:t>
            </w:r>
          </w:p>
        </w:tc>
        <w:tc>
          <w:tcPr>
            <w:tcW w:w="2268" w:type="dxa"/>
            <w:vAlign w:val="center"/>
          </w:tcPr>
          <w:p>
            <w:pPr>
              <w:pStyle w:val="12"/>
            </w:pPr>
            <w:r>
              <w:t>≥99%</w:t>
            </w:r>
          </w:p>
        </w:tc>
        <w:tc>
          <w:tcPr>
            <w:tcW w:w="1276" w:type="dxa"/>
            <w:vAlign w:val="center"/>
          </w:tcPr>
          <w:p>
            <w:pPr>
              <w:pStyle w:val="12"/>
            </w:pPr>
            <w:r>
              <w:t>完成年初预算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项目成本控制率</w:t>
            </w:r>
          </w:p>
        </w:tc>
        <w:tc>
          <w:tcPr>
            <w:tcW w:w="5386" w:type="dxa"/>
            <w:vAlign w:val="center"/>
          </w:tcPr>
          <w:p>
            <w:pPr>
              <w:pStyle w:val="12"/>
            </w:pPr>
            <w:r>
              <w:t>项目成本控制率</w:t>
            </w:r>
          </w:p>
        </w:tc>
        <w:tc>
          <w:tcPr>
            <w:tcW w:w="2268" w:type="dxa"/>
            <w:vAlign w:val="center"/>
          </w:tcPr>
          <w:p>
            <w:pPr>
              <w:pStyle w:val="12"/>
            </w:pPr>
            <w:r>
              <w:t>≥98%</w:t>
            </w:r>
          </w:p>
        </w:tc>
        <w:tc>
          <w:tcPr>
            <w:tcW w:w="1276" w:type="dxa"/>
            <w:vAlign w:val="center"/>
          </w:tcPr>
          <w:p>
            <w:pPr>
              <w:pStyle w:val="12"/>
            </w:pPr>
            <w:r>
              <w:t>完成年初预算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经济效益增值率</w:t>
            </w:r>
          </w:p>
        </w:tc>
        <w:tc>
          <w:tcPr>
            <w:tcW w:w="5386" w:type="dxa"/>
            <w:vAlign w:val="center"/>
          </w:tcPr>
          <w:p>
            <w:pPr>
              <w:pStyle w:val="12"/>
            </w:pPr>
            <w:r>
              <w:t>项目实施后经济效益增长率</w:t>
            </w:r>
          </w:p>
        </w:tc>
        <w:tc>
          <w:tcPr>
            <w:tcW w:w="2268" w:type="dxa"/>
            <w:vAlign w:val="center"/>
          </w:tcPr>
          <w:p>
            <w:pPr>
              <w:pStyle w:val="12"/>
            </w:pPr>
            <w:r>
              <w:t>≥99%</w:t>
            </w:r>
          </w:p>
        </w:tc>
        <w:tc>
          <w:tcPr>
            <w:tcW w:w="1276" w:type="dxa"/>
            <w:vAlign w:val="center"/>
          </w:tcPr>
          <w:p>
            <w:pPr>
              <w:pStyle w:val="12"/>
            </w:pPr>
            <w:r>
              <w:t>完成年初预算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≥98%</w:t>
            </w:r>
          </w:p>
        </w:tc>
        <w:tc>
          <w:tcPr>
            <w:tcW w:w="1276" w:type="dxa"/>
            <w:vAlign w:val="center"/>
          </w:tcPr>
          <w:p>
            <w:pPr>
              <w:pStyle w:val="12"/>
            </w:pPr>
            <w:r>
              <w:t>完成年初预算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≥99%</w:t>
            </w:r>
          </w:p>
        </w:tc>
        <w:tc>
          <w:tcPr>
            <w:tcW w:w="1276" w:type="dxa"/>
            <w:vAlign w:val="center"/>
          </w:tcPr>
          <w:p>
            <w:pPr>
              <w:pStyle w:val="12"/>
            </w:pPr>
            <w:r>
              <w:t>完成年初预算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≥98%</w:t>
            </w:r>
          </w:p>
        </w:tc>
        <w:tc>
          <w:tcPr>
            <w:tcW w:w="1276" w:type="dxa"/>
            <w:vAlign w:val="center"/>
          </w:tcPr>
          <w:p>
            <w:pPr>
              <w:pStyle w:val="12"/>
            </w:pPr>
            <w:r>
              <w:t>完成年初预算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完成年初预算</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281中共唐山市曹妃甸区委党校</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2159.80</w:t>
            </w:r>
          </w:p>
        </w:tc>
        <w:tc>
          <w:tcPr>
            <w:tcW w:w="964" w:type="dxa"/>
            <w:vAlign w:val="center"/>
          </w:tcPr>
          <w:p>
            <w:pPr>
              <w:pStyle w:val="15"/>
            </w:pPr>
            <w:r>
              <w:t>2159.80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中共唐山市曹妃甸区委党校本级小计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2159.80</w:t>
            </w:r>
          </w:p>
        </w:tc>
        <w:tc>
          <w:tcPr>
            <w:tcW w:w="964" w:type="dxa"/>
            <w:vAlign w:val="center"/>
          </w:tcPr>
          <w:p>
            <w:pPr>
              <w:pStyle w:val="15"/>
            </w:pPr>
            <w:r>
              <w:t>2159.80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办公设施及用品采购项目</w:t>
            </w:r>
          </w:p>
        </w:tc>
        <w:tc>
          <w:tcPr>
            <w:tcW w:w="964" w:type="dxa"/>
            <w:vAlign w:val="center"/>
          </w:tcPr>
          <w:p>
            <w:pPr>
              <w:pStyle w:val="11"/>
            </w:pPr>
            <w:r>
              <w:t>2389.80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2100.80</w:t>
            </w:r>
          </w:p>
        </w:tc>
        <w:tc>
          <w:tcPr>
            <w:tcW w:w="964" w:type="dxa"/>
            <w:vAlign w:val="center"/>
          </w:tcPr>
          <w:p>
            <w:pPr>
              <w:pStyle w:val="11"/>
            </w:pPr>
            <w:r>
              <w:t>2100.80</w:t>
            </w:r>
          </w:p>
        </w:tc>
        <w:tc>
          <w:tcPr>
            <w:tcW w:w="964" w:type="dxa"/>
            <w:vAlign w:val="center"/>
          </w:tcPr>
          <w:p>
            <w:pPr>
              <w:pStyle w:val="11"/>
            </w:pPr>
            <w:r>
              <w:t>2100.80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2100.80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办公设施及用品采购项目</w:t>
            </w:r>
          </w:p>
        </w:tc>
        <w:tc>
          <w:tcPr>
            <w:tcW w:w="964" w:type="dxa"/>
            <w:vAlign w:val="center"/>
          </w:tcPr>
          <w:p>
            <w:pPr>
              <w:pStyle w:val="11"/>
            </w:pPr>
            <w:r>
              <w:t>2389.80</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59.00</w:t>
            </w:r>
          </w:p>
        </w:tc>
        <w:tc>
          <w:tcPr>
            <w:tcW w:w="964" w:type="dxa"/>
            <w:vAlign w:val="center"/>
          </w:tcPr>
          <w:p>
            <w:pPr>
              <w:pStyle w:val="11"/>
            </w:pPr>
            <w:r>
              <w:t>59.00</w:t>
            </w:r>
          </w:p>
        </w:tc>
        <w:tc>
          <w:tcPr>
            <w:tcW w:w="964" w:type="dxa"/>
            <w:vAlign w:val="center"/>
          </w:tcPr>
          <w:p>
            <w:pPr>
              <w:pStyle w:val="11"/>
            </w:pPr>
            <w:r>
              <w:t>59.00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中共唐山市曹妃甸区委党校（含所属单位）上年末固定资产金额为143.96万元（详见下表）。本年度拟购置固定资产总额为2392.80万元，已按要求列入政府采购预算，详见政府采购预算表。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281中共唐山市曹妃甸区委党校</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3126</w:t>
            </w:r>
          </w:p>
        </w:tc>
        <w:tc>
          <w:tcPr>
            <w:tcW w:w="2835" w:type="dxa"/>
            <w:vAlign w:val="center"/>
          </w:tcPr>
          <w:p>
            <w:pPr>
              <w:pStyle w:val="11"/>
            </w:pPr>
            <w:r>
              <w:t>85.85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3126</w:t>
            </w:r>
          </w:p>
        </w:tc>
        <w:tc>
          <w:tcPr>
            <w:tcW w:w="2835" w:type="dxa"/>
            <w:vAlign w:val="center"/>
          </w:tcPr>
          <w:p>
            <w:pPr>
              <w:pStyle w:val="11"/>
            </w:pPr>
            <w:r>
              <w:t>85.85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173</w:t>
            </w:r>
          </w:p>
        </w:tc>
        <w:tc>
          <w:tcPr>
            <w:tcW w:w="2835" w:type="dxa"/>
            <w:vAlign w:val="center"/>
          </w:tcPr>
          <w:p>
            <w:pPr>
              <w:pStyle w:val="11"/>
            </w:pPr>
            <w:r>
              <w:t>38.79</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rPr>
          <w:rFonts w:hint="eastAsia" w:eastAsiaTheme="minorEastAsia"/>
          <w:lang w:eastAsia="zh-CN"/>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2687E"/>
    <w:rsid w:val="002405D6"/>
    <w:rsid w:val="002B0AFF"/>
    <w:rsid w:val="003117CB"/>
    <w:rsid w:val="0032140D"/>
    <w:rsid w:val="003C1DEB"/>
    <w:rsid w:val="003C723E"/>
    <w:rsid w:val="00440FD3"/>
    <w:rsid w:val="004B575F"/>
    <w:rsid w:val="00504518"/>
    <w:rsid w:val="00547122"/>
    <w:rsid w:val="00611448"/>
    <w:rsid w:val="006E2926"/>
    <w:rsid w:val="008F5274"/>
    <w:rsid w:val="009637D8"/>
    <w:rsid w:val="009D30AE"/>
    <w:rsid w:val="00A16274"/>
    <w:rsid w:val="00A22AE5"/>
    <w:rsid w:val="00B163A2"/>
    <w:rsid w:val="00B2469B"/>
    <w:rsid w:val="00C2188F"/>
    <w:rsid w:val="00C2687E"/>
    <w:rsid w:val="00C404B6"/>
    <w:rsid w:val="00D070A0"/>
    <w:rsid w:val="00D54AFD"/>
    <w:rsid w:val="00DC560D"/>
    <w:rsid w:val="00E70D3B"/>
    <w:rsid w:val="00E86F3B"/>
    <w:rsid w:val="00EB1C9A"/>
    <w:rsid w:val="00EC1EB1"/>
    <w:rsid w:val="00F36977"/>
    <w:rsid w:val="00F704A1"/>
    <w:rsid w:val="00F813D9"/>
    <w:rsid w:val="00F9078A"/>
    <w:rsid w:val="00F94BF0"/>
    <w:rsid w:val="00FA4D65"/>
    <w:rsid w:val="FEEF6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 w:type="paragraph" w:customStyle="1" w:styleId="35">
    <w:name w:val="p0"/>
    <w:basedOn w:val="1"/>
    <w:qFormat/>
    <w:uiPriority w:val="0"/>
    <w:pPr>
      <w:jc w:val="both"/>
    </w:pPr>
    <w:rPr>
      <w:rFonts w:eastAsia="宋体"/>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2024-02-23T11:18:37Z</dcterms:created>
  <dcterms:modified xmlns:dcterms="http://purl.org/dc/terms/" xmlns:xsi="http://www.w3.org/2001/XMLSchema-instance" xsi:type="dcterms:W3CDTF">2024-02-23T03:18:37Z</dcterms:modified>
</cp:core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2024-02-23T11:18:45Z</dcterms:created>
  <dcterms:modified xmlns:dcterms="http://purl.org/dc/terms/" xmlns:xsi="http://www.w3.org/2001/XMLSchema-instance" xsi:type="dcterms:W3CDTF">2024-02-23T03:18:45Z</dcterms:modified>
</cp:core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2024-02-23T11:20:59Z</dcterms:created>
  <dcterms:modified xmlns:dcterms="http://purl.org/dc/terms/" xmlns:xsi="http://www.w3.org/2001/XMLSchema-instance" xsi:type="dcterms:W3CDTF">2024-02-23T03:20:59Z</dcterms:modified>
</cp:core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9.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2024-02-23T11:21:09Z</dcterms:created>
  <dcterms:modified xmlns:dcterms="http://purl.org/dc/terms/" xmlns:xsi="http://www.w3.org/2001/XMLSchema-instance" xsi:type="dcterms:W3CDTF">2024-02-23T03:21:09Z</dcterms:modified>
</cp:coreProperties>
</file>

<file path=customXml/item2.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2024-02-23T11:20:43Z</dcterms:created>
  <dcterms:modified xmlns:dcterms="http://purl.org/dc/terms/" xmlns:xsi="http://www.w3.org/2001/XMLSchema-instance" xsi:type="dcterms:W3CDTF">2024-02-23T03:20:43Z</dcterms:modified>
</cp:coreProperties>
</file>

<file path=customXml/item20.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2024-02-23T11:18:20Z</dcterms:created>
  <dcterms:modified xmlns:dcterms="http://purl.org/dc/terms/" xmlns:xsi="http://www.w3.org/2001/XMLSchema-instance" xsi:type="dcterms:W3CDTF">2024-02-23T03:18:20Z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2024-02-23T11:17:51Z</dcterms:created>
  <dcterms:modified xmlns:dcterms="http://purl.org/dc/terms/" xmlns:xsi="http://www.w3.org/2001/XMLSchema-instance" xsi:type="dcterms:W3CDTF">2024-02-23T03:17:51Z</dcterms:modified>
</cp:coreProperties>
</file>

<file path=customXml/item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4.xml><b:Sources xmlns:b="http://schemas.openxmlformats.org/officeDocument/2006/bibliography" StyleName="APA" SelectedStyle="\APA.XSL" xmlns:b="http://schemas.openxmlformats.org/officeDocument/2006/bibliography"/>

</file>

<file path=customXml/item25.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2024-02-23T11:19:01Z</dcterms:created>
  <dcterms:modified xmlns:dcterms="http://purl.org/dc/terms/" xmlns:xsi="http://www.w3.org/2001/XMLSchema-instance" xsi:type="dcterms:W3CDTF">2024-02-23T03:19:00Z</dcterms:modified>
</cp:coreProperties>
</file>

<file path=customXml/item26.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2024-02-23T11:18:10Z</dcterms:created>
  <dcterms:modified xmlns:dcterms="http://purl.org/dc/terms/" xmlns:xsi="http://www.w3.org/2001/XMLSchema-instance" xsi:type="dcterms:W3CDTF">2024-02-23T03:18:10Z</dcterms:modified>
</cp:coreProperties>
</file>

<file path=customXml/item2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8.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2024-02-23T11:18:10Z</dcterms:created>
  <dcterms:modified xmlns:dcterms="http://purl.org/dc/terms/" xmlns:xsi="http://www.w3.org/2001/XMLSchema-instance" xsi:type="dcterms:W3CDTF">2024-02-23T03:18:10Z</dcterms:modified>
</cp:coreProperties>
</file>

<file path=customXml/item29.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2024-02-23T11:18:27Z</dcterms:created>
  <dcterms:modified xmlns:dcterms="http://purl.org/dc/terms/" xmlns:xsi="http://www.w3.org/2001/XMLSchema-instance" xsi:type="dcterms:W3CDTF">2024-02-23T03:18:27Z</dcterms:modified>
</cp:core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2.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2024-02-23T11:18:27Z</dcterms:created>
  <dcterms:modified xmlns:dcterms="http://purl.org/dc/terms/" xmlns:xsi="http://www.w3.org/2001/XMLSchema-instance" xsi:type="dcterms:W3CDTF">2024-02-23T03:18:27Z</dcterms:modified>
</cp:coreProperties>
</file>

<file path=customXml/item33.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2024-02-23T11:20:51Z</dcterms:created>
  <dcterms:modified xmlns:dcterms="http://purl.org/dc/terms/" xmlns:xsi="http://www.w3.org/2001/XMLSchema-instance" xsi:type="dcterms:W3CDTF">2024-02-23T03:20:51Z</dcterms:modified>
</cp:core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2024-02-23T11:20:18Z</dcterms:created>
  <dcterms:modified xmlns:dcterms="http://purl.org/dc/terms/" xmlns:xsi="http://www.w3.org/2001/XMLSchema-instance" xsi:type="dcterms:W3CDTF">2024-02-23T03:20:18Z</dcterms:modified>
</cp:core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2024-02-23T11:21:00Z</dcterms:created>
  <dcterms:modified xmlns:dcterms="http://purl.org/dc/terms/" xmlns:xsi="http://www.w3.org/2001/XMLSchema-instance" xsi:type="dcterms:W3CDTF">2024-02-23T03:21:00Z</dcterms:modified>
</cp:coreProperties>
</file>

<file path=customXml/item8.xml><?xml version="1.0" encoding="utf-8"?>
<cp:coreProperties xmlns:cp="http://schemas.openxmlformats.org/package/2006/metadata/core-properties" xmlns:dcmitype="http://purl.org/dc/dcmitype/" xmlns:dcterms="http://purl.org/dc/terms/"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2024-02-23T11:21:20Z</dcterms:created>
  <dcterms:modified xmlns:dcterms="http://purl.org/dc/terms/" xmlns:xsi="http://www.w3.org/2001/XMLSchema-instance" xsi:type="dcterms:W3CDTF">2024-02-23T03:21:20Z</dcterms:modified>
</cp:core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CC48BBA1-3100-44F2-A04C-86AD4BA7D82B}">
  <ds:schemaRefs/>
</ds:datastoreItem>
</file>

<file path=customXml/itemProps10.xml><?xml version="1.0" encoding="utf-8"?>
<ds:datastoreItem xmlns:ds="http://schemas.openxmlformats.org/officeDocument/2006/customXml" ds:itemID="{2E6FA593-D6F2-42A7-A10E-90BE77C3EEDC}">
  <ds:schemaRefs/>
</ds:datastoreItem>
</file>

<file path=customXml/itemProps11.xml><?xml version="1.0" encoding="utf-8"?>
<ds:datastoreItem xmlns:ds="http://schemas.openxmlformats.org/officeDocument/2006/customXml" ds:itemID="{18D4E1BB-48F0-4370-9539-330377C17BFC}">
  <ds:schemaRefs/>
</ds:datastoreItem>
</file>

<file path=customXml/itemProps12.xml><?xml version="1.0" encoding="utf-8"?>
<ds:datastoreItem xmlns:ds="http://schemas.openxmlformats.org/officeDocument/2006/customXml" ds:itemID="{2546F181-0029-4540-82C0-A39A061A1122}">
  <ds:schemaRefs/>
</ds:datastoreItem>
</file>

<file path=customXml/itemProps13.xml><?xml version="1.0" encoding="utf-8"?>
<ds:datastoreItem xmlns:ds="http://schemas.openxmlformats.org/officeDocument/2006/customXml" ds:itemID="{C184E857-D65B-4EFF-BFE8-D487176FFA77}">
  <ds:schemaRefs/>
</ds:datastoreItem>
</file>

<file path=customXml/itemProps14.xml><?xml version="1.0" encoding="utf-8"?>
<ds:datastoreItem xmlns:ds="http://schemas.openxmlformats.org/officeDocument/2006/customXml" ds:itemID="{FD667C54-8533-4120-8F1A-0831D5F84523}">
  <ds:schemaRefs/>
</ds:datastoreItem>
</file>

<file path=customXml/itemProps15.xml><?xml version="1.0" encoding="utf-8"?>
<ds:datastoreItem xmlns:ds="http://schemas.openxmlformats.org/officeDocument/2006/customXml" ds:itemID="{6DB3AEDD-B738-47CB-BEE6-67E2DF496182}">
  <ds:schemaRefs/>
</ds:datastoreItem>
</file>

<file path=customXml/itemProps16.xml><?xml version="1.0" encoding="utf-8"?>
<ds:datastoreItem xmlns:ds="http://schemas.openxmlformats.org/officeDocument/2006/customXml" ds:itemID="{E244E298-4996-4CC9-9867-CFF5806F233A}">
  <ds:schemaRefs/>
</ds:datastoreItem>
</file>

<file path=customXml/itemProps17.xml><?xml version="1.0" encoding="utf-8"?>
<ds:datastoreItem xmlns:ds="http://schemas.openxmlformats.org/officeDocument/2006/customXml" ds:itemID="{F3F17B4C-6431-49B7-9315-BCC5BB745190}">
  <ds:schemaRefs/>
</ds:datastoreItem>
</file>

<file path=customXml/itemProps18.xml><?xml version="1.0" encoding="utf-8"?>
<ds:datastoreItem xmlns:ds="http://schemas.openxmlformats.org/officeDocument/2006/customXml" ds:itemID="{F9ED531E-5A2B-4D27-A6F0-259A1DA16F9C}">
  <ds:schemaRefs/>
</ds:datastoreItem>
</file>

<file path=customXml/itemProps19.xml><?xml version="1.0" encoding="utf-8"?>
<ds:datastoreItem xmlns:ds="http://schemas.openxmlformats.org/officeDocument/2006/customXml" ds:itemID="{932C6AC2-3410-4061-B3D3-AA0F5542C1E1}">
  <ds:schemaRefs/>
</ds:datastoreItem>
</file>

<file path=customXml/itemProps2.xml><?xml version="1.0" encoding="utf-8"?>
<ds:datastoreItem xmlns:ds="http://schemas.openxmlformats.org/officeDocument/2006/customXml" ds:itemID="{CECE6955-9E54-4CD0-998E-D82EC4322075}">
  <ds:schemaRefs/>
</ds:datastoreItem>
</file>

<file path=customXml/itemProps20.xml><?xml version="1.0" encoding="utf-8"?>
<ds:datastoreItem xmlns:ds="http://schemas.openxmlformats.org/officeDocument/2006/customXml" ds:itemID="{00935E8A-924D-4A14-881D-2965005B2043}">
  <ds:schemaRefs/>
</ds:datastoreItem>
</file>

<file path=customXml/itemProps21.xml><?xml version="1.0" encoding="utf-8"?>
<ds:datastoreItem xmlns:ds="http://schemas.openxmlformats.org/officeDocument/2006/customXml" ds:itemID="{B7D1D4AB-F0F8-4650-B7CB-CB75D9B86854}">
  <ds:schemaRefs/>
</ds:datastoreItem>
</file>

<file path=customXml/itemProps22.xml><?xml version="1.0" encoding="utf-8"?>
<ds:datastoreItem xmlns:ds="http://schemas.openxmlformats.org/officeDocument/2006/customXml" ds:itemID="{AE55DF12-CD1B-4F7F-90DE-35FAB10D8367}">
  <ds:schemaRefs/>
</ds:datastoreItem>
</file>

<file path=customXml/itemProps23.xml><?xml version="1.0" encoding="utf-8"?>
<ds:datastoreItem xmlns:ds="http://schemas.openxmlformats.org/officeDocument/2006/customXml" ds:itemID="{BD934A3C-EB85-4DA0-A636-6606BFF5434D}">
  <ds:schemaRefs/>
</ds:datastoreItem>
</file>

<file path=customXml/itemProps24.xml><?xml version="1.0" encoding="utf-8"?>
<ds:datastoreItem xmlns:ds="http://schemas.openxmlformats.org/officeDocument/2006/customXml" ds:itemID="{41EC4F2A-6086-40BC-9116-B81B0BFC981D}">
  <ds:schemaRefs/>
</ds:datastoreItem>
</file>

<file path=customXml/itemProps25.xml><?xml version="1.0" encoding="utf-8"?>
<ds:datastoreItem xmlns:ds="http://schemas.openxmlformats.org/officeDocument/2006/customXml" ds:itemID="{7F8BAA1A-168D-466A-9C99-A8C602ABD3F1}">
  <ds:schemaRefs/>
</ds:datastoreItem>
</file>

<file path=customXml/itemProps26.xml><?xml version="1.0" encoding="utf-8"?>
<ds:datastoreItem xmlns:ds="http://schemas.openxmlformats.org/officeDocument/2006/customXml" ds:itemID="{2FDE85E8-BA43-4F90-A891-13200EBE47CB}">
  <ds:schemaRefs/>
</ds:datastoreItem>
</file>

<file path=customXml/itemProps27.xml><?xml version="1.0" encoding="utf-8"?>
<ds:datastoreItem xmlns:ds="http://schemas.openxmlformats.org/officeDocument/2006/customXml" ds:itemID="{93DD4247-1E36-4C3B-9231-07C6D9E4BB53}">
  <ds:schemaRefs/>
</ds:datastoreItem>
</file>

<file path=customXml/itemProps28.xml><?xml version="1.0" encoding="utf-8"?>
<ds:datastoreItem xmlns:ds="http://schemas.openxmlformats.org/officeDocument/2006/customXml" ds:itemID="{4BE5706C-902D-440C-9CE9-1EA8BBC9C15D}">
  <ds:schemaRefs/>
</ds:datastoreItem>
</file>

<file path=customXml/itemProps29.xml><?xml version="1.0" encoding="utf-8"?>
<ds:datastoreItem xmlns:ds="http://schemas.openxmlformats.org/officeDocument/2006/customXml" ds:itemID="{AEF97B37-1502-45AB-9480-E20DCDBCB2A9}">
  <ds:schemaRefs/>
</ds:datastoreItem>
</file>

<file path=customXml/itemProps3.xml><?xml version="1.0" encoding="utf-8"?>
<ds:datastoreItem xmlns:ds="http://schemas.openxmlformats.org/officeDocument/2006/customXml" ds:itemID="{AECB174F-30A0-49F2-BD3A-2E7FA401DED8}">
  <ds:schemaRefs/>
</ds:datastoreItem>
</file>

<file path=customXml/itemProps30.xml><?xml version="1.0" encoding="utf-8"?>
<ds:datastoreItem xmlns:ds="http://schemas.openxmlformats.org/officeDocument/2006/customXml" ds:itemID="{48F5EACA-F120-41DF-8CF6-22AA860B2A4D}">
  <ds:schemaRefs/>
</ds:datastoreItem>
</file>

<file path=customXml/itemProps31.xml><?xml version="1.0" encoding="utf-8"?>
<ds:datastoreItem xmlns:ds="http://schemas.openxmlformats.org/officeDocument/2006/customXml" ds:itemID="{4B26D21F-4D14-4543-8CE7-DA2F334CC650}">
  <ds:schemaRefs/>
</ds:datastoreItem>
</file>

<file path=customXml/itemProps32.xml><?xml version="1.0" encoding="utf-8"?>
<ds:datastoreItem xmlns:ds="http://schemas.openxmlformats.org/officeDocument/2006/customXml" ds:itemID="{83118F16-EA8C-490A-86BB-80468A82B424}">
  <ds:schemaRefs/>
</ds:datastoreItem>
</file>

<file path=customXml/itemProps33.xml><?xml version="1.0" encoding="utf-8"?>
<ds:datastoreItem xmlns:ds="http://schemas.openxmlformats.org/officeDocument/2006/customXml" ds:itemID="{0E320F0D-EA41-4837-A7E1-132C1D3B1F0D}">
  <ds:schemaRefs/>
</ds:datastoreItem>
</file>

<file path=customXml/itemProps4.xml><?xml version="1.0" encoding="utf-8"?>
<ds:datastoreItem xmlns:ds="http://schemas.openxmlformats.org/officeDocument/2006/customXml" ds:itemID="{8694D5B1-9973-4953-9C9D-F46260069C29}">
  <ds:schemaRefs/>
</ds:datastoreItem>
</file>

<file path=customXml/itemProps5.xml><?xml version="1.0" encoding="utf-8"?>
<ds:datastoreItem xmlns:ds="http://schemas.openxmlformats.org/officeDocument/2006/customXml" ds:itemID="{200846A2-8526-44D5-B30F-56F2BC5E8415}">
  <ds:schemaRefs/>
</ds:datastoreItem>
</file>

<file path=customXml/itemProps6.xml><?xml version="1.0" encoding="utf-8"?>
<ds:datastoreItem xmlns:ds="http://schemas.openxmlformats.org/officeDocument/2006/customXml" ds:itemID="{543F297C-B98A-4A72-947D-4DFA44C969F7}">
  <ds:schemaRefs/>
</ds:datastoreItem>
</file>

<file path=customXml/itemProps7.xml><?xml version="1.0" encoding="utf-8"?>
<ds:datastoreItem xmlns:ds="http://schemas.openxmlformats.org/officeDocument/2006/customXml" ds:itemID="{FA3EE404-42BC-466D-B7C9-BDBA6494A83E}">
  <ds:schemaRefs/>
</ds:datastoreItem>
</file>

<file path=customXml/itemProps8.xml><?xml version="1.0" encoding="utf-8"?>
<ds:datastoreItem xmlns:ds="http://schemas.openxmlformats.org/officeDocument/2006/customXml" ds:itemID="{F902F8C8-F5E9-4DF3-BB2C-02C5E225435E}">
  <ds:schemaRefs/>
</ds:datastoreItem>
</file>

<file path=customXml/itemProps9.xml><?xml version="1.0" encoding="utf-8"?>
<ds:datastoreItem xmlns:ds="http://schemas.openxmlformats.org/officeDocument/2006/customXml" ds:itemID="{8A8FCBBC-A10D-47C2-9B00-1E6CCCE991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2361</Words>
  <Characters>13464</Characters>
  <Lines>112</Lines>
  <Paragraphs>31</Paragraphs>
  <TotalTime>32</TotalTime>
  <ScaleCrop>false</ScaleCrop>
  <LinksUpToDate>false</LinksUpToDate>
  <CharactersWithSpaces>15794</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2024-02-29T10:10:00Z</dcterms:created>
  <dc:creator>Administrator</dc:creator>
  <cp:lastModifiedBy>qhtf</cp:lastModifiedBy>
  <cp:lastPrinted>2024-02-29T10:23:00Z</cp:lastPrinted>
  <dcterms:modified xsi:type="dcterms:W3CDTF">2025-08-11T16:51:20Z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3FE5C2414401397E08AF99687043C3CC</vt:lpwstr>
  </property>
</Properties>
</file>