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pPr>
      <w:r>
        <w:rPr>
          <w:rFonts w:hint="eastAsia"/>
        </w:rPr>
        <w:t>13020</w:t>
      </w:r>
      <w:r>
        <w:t>9</w:t>
      </w:r>
      <w:r>
        <w:rPr>
          <w:rFonts w:hint="eastAsia"/>
        </w:rPr>
        <w:t>1000</w:t>
      </w:r>
      <w:r>
        <w:t>1</w:t>
      </w:r>
      <w:r>
        <w:rPr>
          <w:rFonts w:hint="eastAsia"/>
        </w:rPr>
        <w:t>/13020</w:t>
      </w:r>
      <w:r>
        <w:t>9</w:t>
      </w:r>
      <w:r>
        <w:rPr>
          <w:rFonts w:hint="eastAsia"/>
        </w:rPr>
        <w:t>1000</w:t>
      </w:r>
      <w:r>
        <w:t>2/</w:t>
      </w:r>
      <w:r>
        <w:rPr>
          <w:rFonts w:hint="eastAsia"/>
        </w:rPr>
        <w:t>/13020</w:t>
      </w:r>
      <w:r>
        <w:t>9</w:t>
      </w:r>
      <w:r>
        <w:rPr>
          <w:rFonts w:hint="eastAsia"/>
        </w:rPr>
        <w:t>1000</w:t>
      </w:r>
      <w:r>
        <w:t>3</w:t>
      </w:r>
      <w:r>
        <w:rPr>
          <w:rFonts w:hint="eastAsia"/>
        </w:rPr>
        <w:t>单元详细规划内容</w:t>
      </w:r>
    </w:p>
    <w:p>
      <w:pPr>
        <w:pStyle w:val="3"/>
      </w:pPr>
      <w:r>
        <w:rPr>
          <w:rFonts w:hint="eastAsia"/>
        </w:rPr>
        <w:t>单元划定</w:t>
      </w:r>
    </w:p>
    <w:p>
      <w:r>
        <w:rPr>
          <w:rFonts w:hint="eastAsia"/>
        </w:rPr>
        <w:t>统筹考虑规划范围、规划分区、自然地理界线、基础设施廊道、成片开发等因素，结合15分钟社区生活圈设施配置、产业布局，将曹妃甸城区</w:t>
      </w:r>
      <w:r>
        <w:t>划分为</w:t>
      </w:r>
      <w:r>
        <w:rPr>
          <w:rFonts w:hint="eastAsia"/>
        </w:rPr>
        <w:t>3个详细规划</w:t>
      </w:r>
      <w:r>
        <w:t>单元，分别为</w:t>
      </w:r>
      <w:r>
        <w:rPr>
          <w:color w:val="000000"/>
        </w:rPr>
        <w:t>130209100</w:t>
      </w:r>
      <w:r>
        <w:rPr>
          <w:rFonts w:hint="eastAsia"/>
        </w:rPr>
        <w:t>01单元（以下</w:t>
      </w:r>
      <w:r>
        <w:t>简称</w:t>
      </w:r>
      <w:r>
        <w:rPr>
          <w:rFonts w:hint="eastAsia"/>
        </w:rPr>
        <w:t>“01单元”</w:t>
      </w:r>
      <w:r>
        <w:t>）</w:t>
      </w:r>
      <w:r>
        <w:rPr>
          <w:rFonts w:hint="eastAsia"/>
        </w:rPr>
        <w:t>，面积约777.66公顷；</w:t>
      </w:r>
      <w:r>
        <w:rPr>
          <w:color w:val="000000"/>
        </w:rPr>
        <w:t>130209100</w:t>
      </w:r>
      <w:r>
        <w:rPr>
          <w:rFonts w:hint="eastAsia"/>
        </w:rPr>
        <w:t>02单元（以下</w:t>
      </w:r>
      <w:r>
        <w:t>简称</w:t>
      </w:r>
      <w:r>
        <w:rPr>
          <w:rFonts w:hint="eastAsia"/>
        </w:rPr>
        <w:t>“0</w:t>
      </w:r>
      <w:r>
        <w:t>2</w:t>
      </w:r>
      <w:r>
        <w:rPr>
          <w:rFonts w:hint="eastAsia"/>
        </w:rPr>
        <w:t>单元”</w:t>
      </w:r>
      <w:r>
        <w:t>）</w:t>
      </w:r>
      <w:r>
        <w:rPr>
          <w:rFonts w:hint="eastAsia"/>
        </w:rPr>
        <w:t>，面积约643.51公顷；</w:t>
      </w:r>
      <w:r>
        <w:rPr>
          <w:color w:val="000000"/>
        </w:rPr>
        <w:t>130209100</w:t>
      </w:r>
      <w:r>
        <w:rPr>
          <w:rFonts w:hint="eastAsia"/>
        </w:rPr>
        <w:t>03单元（以下</w:t>
      </w:r>
      <w:r>
        <w:t>简称</w:t>
      </w:r>
      <w:r>
        <w:rPr>
          <w:rFonts w:hint="eastAsia"/>
        </w:rPr>
        <w:t>“0</w:t>
      </w:r>
      <w:r>
        <w:t>3</w:t>
      </w:r>
      <w:r>
        <w:rPr>
          <w:rFonts w:hint="eastAsia"/>
        </w:rPr>
        <w:t>单元”</w:t>
      </w:r>
      <w:r>
        <w:t>）</w:t>
      </w:r>
      <w:r>
        <w:rPr>
          <w:rFonts w:hint="eastAsia"/>
        </w:rPr>
        <w:t>，面积约540.12公顷。</w:t>
      </w:r>
    </w:p>
    <w:p>
      <w:pPr>
        <w:pStyle w:val="3"/>
      </w:pPr>
      <w:r>
        <w:drawing>
          <wp:anchor distT="0" distB="0" distL="57150" distR="57150" simplePos="0" relativeHeight="251659264" behindDoc="0" locked="0" layoutInCell="1" allowOverlap="1">
            <wp:simplePos x="0" y="0"/>
            <wp:positionH relativeFrom="column">
              <wp:posOffset>0</wp:posOffset>
            </wp:positionH>
            <wp:positionV relativeFrom="paragraph">
              <wp:posOffset>58420</wp:posOffset>
            </wp:positionV>
            <wp:extent cx="5274310" cy="3757295"/>
            <wp:effectExtent l="0" t="0" r="2540" b="14605"/>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5274309" cy="3757462"/>
                    </a:xfrm>
                    <a:prstGeom prst="rect">
                      <a:avLst/>
                    </a:prstGeom>
                    <a:noFill/>
                    <a:ln w="9525" cap="flat" cmpd="sng">
                      <a:noFill/>
                      <a:prstDash val="solid"/>
                      <a:miter/>
                    </a:ln>
                  </pic:spPr>
                </pic:pic>
              </a:graphicData>
            </a:graphic>
          </wp:anchor>
        </w:drawing>
      </w:r>
      <w:r>
        <w:rPr>
          <w:rFonts w:hint="eastAsia"/>
        </w:rPr>
        <w:t>功能定位</w:t>
      </w:r>
    </w:p>
    <w:p>
      <w:r>
        <w:rPr>
          <w:rFonts w:hint="eastAsia"/>
        </w:rPr>
        <w:t>围绕“城乡统筹发展中心”的总体定位，以服务好垦区城乡人口为导向，重点提升统筹城乡的高品质城市服务，培育统筹城乡的涉农创新产业，形成以生态宜居为基础，以城乡综合服务、涉农创新产业为特色的功能体系。</w:t>
      </w:r>
    </w:p>
    <w:p>
      <w:r>
        <w:rPr>
          <w:rFonts w:hint="eastAsia"/>
        </w:rPr>
        <w:t>结合现状基础条件</w:t>
      </w:r>
      <w:r>
        <w:t>，</w:t>
      </w:r>
      <w:r>
        <w:rPr>
          <w:rFonts w:hint="eastAsia"/>
        </w:rPr>
        <w:t>统筹增量和存量，</w:t>
      </w:r>
      <w:r>
        <w:t>优化功能布局，</w:t>
      </w:r>
      <w:r>
        <w:rPr>
          <w:rFonts w:hint="eastAsia"/>
        </w:rPr>
        <w:t>将规划范围</w:t>
      </w:r>
      <w:r>
        <w:t>划</w:t>
      </w:r>
      <w:r>
        <w:rPr>
          <w:rFonts w:hint="eastAsia"/>
        </w:rPr>
        <w:t>分为宜居服务片区、产业创新片区2大</w:t>
      </w:r>
      <w:r>
        <w:t>功能片区。</w:t>
      </w:r>
    </w:p>
    <w:p>
      <w:r>
        <w:t>01</w:t>
      </w:r>
      <w:r>
        <w:rPr>
          <w:rFonts w:hint="eastAsia"/>
        </w:rPr>
        <w:t>单元位于产业创新片区，重点培育农副产品精深加工、商贸物流、商务办公、职业教育、农业科研、都市农旅等功能，构建产学研游一体化的涉农创新功能体系，推动垦区农业现代化。以现状为基础，完善居住功能配套，按照社区生活圈规划标准，分层级配置单元内社区服务设施，满足单元居民生活需求，建设产城融合的产业创新片区。</w:t>
      </w:r>
    </w:p>
    <w:p>
      <w:pPr>
        <w:rPr>
          <w:u w:val="single"/>
        </w:rPr>
      </w:pPr>
      <w:r>
        <w:rPr>
          <w:u w:val="single"/>
        </w:rPr>
        <w:t>本单元负面功能清单：</w:t>
      </w:r>
      <w:r>
        <w:rPr>
          <w:rFonts w:hint="eastAsia"/>
          <w:u w:val="single"/>
        </w:rPr>
        <w:t>严格禁止对周边环境产生污染或具备潜在危险影响的工业和物流功能进入。严格控制汽修功能，不得对城市交通和风貌产生严重负面影响。</w:t>
      </w:r>
    </w:p>
    <w:p>
      <w:r>
        <w:rPr>
          <w:rFonts w:hint="eastAsia"/>
        </w:rPr>
        <w:t>02单元位于宜居服务片区，重点推进老旧小区及平房区更新，完善提升文化、教育、体育、医疗等公共服务功能，</w:t>
      </w:r>
      <w:bookmarkStart w:id="0" w:name="OLE_LINK1"/>
      <w:r>
        <w:rPr>
          <w:rFonts w:hint="eastAsia"/>
        </w:rPr>
        <w:t>按照社区生活圈规划标准，</w:t>
      </w:r>
      <w:bookmarkEnd w:id="0"/>
      <w:r>
        <w:rPr>
          <w:rFonts w:hint="eastAsia"/>
        </w:rPr>
        <w:t>分层级配置单元内社区服务设施，满足单元居民生活需求。</w:t>
      </w:r>
    </w:p>
    <w:p>
      <w:pPr>
        <w:rPr>
          <w:u w:val="single"/>
        </w:rPr>
      </w:pPr>
      <w:r>
        <w:rPr>
          <w:u w:val="single"/>
        </w:rPr>
        <w:t>本单元负面功能清单：</w:t>
      </w:r>
      <w:r>
        <w:rPr>
          <w:rFonts w:hint="eastAsia"/>
          <w:u w:val="single"/>
        </w:rPr>
        <w:t>严格禁止对周边环境产生污染或具备潜在危险影响的工业和物流功能进入。严格控制汽修功能，不得对城市交通和风貌产生严重负面影响。</w:t>
      </w:r>
    </w:p>
    <w:p>
      <w:r>
        <w:rPr>
          <w:rFonts w:hint="eastAsia"/>
        </w:rPr>
        <w:t>03单元位于宜居服务片区，重点推进老旧小区及平房区更新，完善提升商业服务、康养医疗等公共服务功能，按照社区生活圈规划标准，分层级配置单元内社区服务设施，满足单元居民生活需求。</w:t>
      </w:r>
    </w:p>
    <w:p>
      <w:r>
        <w:rPr>
          <w:u w:val="single"/>
        </w:rPr>
        <w:t>本单元负面功能清单：</w:t>
      </w:r>
      <w:r>
        <w:rPr>
          <w:rFonts w:hint="eastAsia"/>
          <w:u w:val="single"/>
        </w:rPr>
        <w:t>严格禁止对周边环境产生污染或具备潜在危险影响的工业和物流功能进入。严格控制汽修功能，不得对城市交通和风貌产生严重负面影响。</w:t>
      </w:r>
    </w:p>
    <w:p>
      <w:pPr>
        <w:pStyle w:val="3"/>
      </w:pPr>
      <w:r>
        <w:rPr>
          <w:rFonts w:hint="eastAsia"/>
        </w:rPr>
        <w:t>规划目标</w:t>
      </w:r>
    </w:p>
    <w:p>
      <w:bookmarkStart w:id="1" w:name="_Hlk177977720"/>
      <w:r>
        <w:rPr>
          <w:rFonts w:hint="eastAsia"/>
        </w:rPr>
        <w:t>生态宜居的垦区新家园、繁荣宜业的涉农创新区。</w:t>
      </w:r>
    </w:p>
    <w:p>
      <w:r>
        <w:rPr>
          <w:rFonts w:hint="eastAsia"/>
        </w:rPr>
        <w:t>01单元以涉农创新功能培育为依托，目标</w:t>
      </w:r>
      <w:r>
        <w:t>定位为：</w:t>
      </w:r>
      <w:r>
        <w:rPr>
          <w:rFonts w:hint="eastAsia"/>
        </w:rPr>
        <w:t>涉农创新产业高地</w:t>
      </w:r>
      <w:r>
        <w:t>。</w:t>
      </w:r>
    </w:p>
    <w:p>
      <w:r>
        <w:rPr>
          <w:rFonts w:hint="eastAsia"/>
        </w:rPr>
        <w:t>02单元以老旧小区及平房区更新、公共服务功能完善为依托，目标</w:t>
      </w:r>
      <w:r>
        <w:t>定位</w:t>
      </w:r>
      <w:r>
        <w:rPr>
          <w:rFonts w:hint="eastAsia"/>
        </w:rPr>
        <w:t>为：生态宜居城区</w:t>
      </w:r>
      <w:r>
        <w:t>。</w:t>
      </w:r>
    </w:p>
    <w:p>
      <w:r>
        <w:rPr>
          <w:rFonts w:hint="eastAsia"/>
        </w:rPr>
        <w:t>03单元以老旧小区及平房区更新、公共服务功能完善为依托，目标</w:t>
      </w:r>
      <w:r>
        <w:t>定位</w:t>
      </w:r>
      <w:r>
        <w:rPr>
          <w:rFonts w:hint="eastAsia"/>
        </w:rPr>
        <w:t>为：生态宜居城区</w:t>
      </w:r>
      <w:r>
        <w:t>。</w:t>
      </w:r>
    </w:p>
    <w:bookmarkEnd w:id="1"/>
    <w:p>
      <w:pPr>
        <w:pStyle w:val="3"/>
      </w:pPr>
      <w:r>
        <w:rPr>
          <w:rFonts w:hint="eastAsia"/>
        </w:rPr>
        <w:t>规划结构</w:t>
      </w:r>
    </w:p>
    <w:p>
      <w:r>
        <w:rPr>
          <w:rFonts w:hint="eastAsia"/>
        </w:rPr>
        <w:t>规划形成“一轴聚三心、一环游两片”的空间结构。</w:t>
      </w:r>
    </w:p>
    <w:p>
      <w:r>
        <w:rPr>
          <w:rFonts w:hint="eastAsia"/>
        </w:rPr>
        <w:t>“一轴”：</w:t>
      </w:r>
      <w:bookmarkStart w:id="2" w:name="_Hlk177977889"/>
      <w:r>
        <w:rPr>
          <w:rFonts w:hint="eastAsia"/>
        </w:rPr>
        <w:t>依托新城大街打造中心服务轴。</w:t>
      </w:r>
      <w:bookmarkEnd w:id="2"/>
    </w:p>
    <w:p>
      <w:r>
        <w:rPr>
          <w:rFonts w:hint="eastAsia"/>
        </w:rPr>
        <w:t>“三心”：包括涉农服务中心、文体活动中心、综合服务中心。</w:t>
      </w:r>
    </w:p>
    <w:p>
      <w:r>
        <w:rPr>
          <w:rFonts w:hint="eastAsia"/>
        </w:rPr>
        <w:t>“一环”：</w:t>
      </w:r>
      <w:bookmarkStart w:id="3" w:name="_Hlk177978661"/>
      <w:r>
        <w:rPr>
          <w:rFonts w:hint="eastAsia"/>
        </w:rPr>
        <w:t>依托城区南侧滦水街明渠、东侧永丰路明渠、西侧明渠及北侧青林公路明渠打造滨水休闲游憩环。</w:t>
      </w:r>
      <w:bookmarkEnd w:id="3"/>
    </w:p>
    <w:p>
      <w:r>
        <w:rPr>
          <w:rFonts w:hint="eastAsia"/>
        </w:rPr>
        <w:t>“两片”：包括唐海路以东的宜居服务片区、唐海路以西的产业创新片区。</w:t>
      </w:r>
    </w:p>
    <w:p>
      <w:pPr>
        <w:pStyle w:val="3"/>
      </w:pPr>
      <w:r>
        <w:drawing>
          <wp:anchor distT="0" distB="0" distL="57150" distR="57150" simplePos="0" relativeHeight="251659264" behindDoc="0" locked="0" layoutInCell="1" allowOverlap="1">
            <wp:simplePos x="0" y="0"/>
            <wp:positionH relativeFrom="column">
              <wp:posOffset>-12700</wp:posOffset>
            </wp:positionH>
            <wp:positionV relativeFrom="paragraph">
              <wp:posOffset>184150</wp:posOffset>
            </wp:positionV>
            <wp:extent cx="5274310" cy="3838575"/>
            <wp:effectExtent l="0" t="0" r="2540" b="9525"/>
            <wp:wrapTopAndBottom/>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stretch>
                      <a:fillRect/>
                    </a:stretch>
                  </pic:blipFill>
                  <pic:spPr>
                    <a:xfrm>
                      <a:off x="0" y="0"/>
                      <a:ext cx="5274310" cy="3838707"/>
                    </a:xfrm>
                    <a:prstGeom prst="rect">
                      <a:avLst/>
                    </a:prstGeom>
                    <a:noFill/>
                    <a:ln w="9525" cap="flat" cmpd="sng">
                      <a:noFill/>
                      <a:prstDash val="solid"/>
                      <a:miter/>
                    </a:ln>
                  </pic:spPr>
                </pic:pic>
              </a:graphicData>
            </a:graphic>
          </wp:anchor>
        </w:drawing>
      </w:r>
      <w:r>
        <w:rPr>
          <w:rFonts w:hint="eastAsia"/>
        </w:rPr>
        <w:t>用地布局</w:t>
      </w:r>
    </w:p>
    <w:p>
      <w:r>
        <w:rPr>
          <w:rFonts w:hint="eastAsia"/>
        </w:rPr>
        <w:t>增加公共管理与公共服务用地、商业服务业用地、交通运输用地以及绿地与开敞空间用地比例，优化用地布局，完善配套设施和基础设施。规划</w:t>
      </w:r>
      <w:r>
        <w:t>范围总面积</w:t>
      </w:r>
      <w:r>
        <w:rPr>
          <w:rFonts w:hint="eastAsia"/>
        </w:rPr>
        <w:t>约1961.35公顷，</w:t>
      </w:r>
      <w:r>
        <w:t>其中</w:t>
      </w:r>
      <w:r>
        <w:rPr>
          <w:rFonts w:hint="eastAsia"/>
        </w:rPr>
        <w:t>城镇</w:t>
      </w:r>
      <w:r>
        <w:t>建设用地</w:t>
      </w:r>
      <w:r>
        <w:rPr>
          <w:rFonts w:hint="eastAsia"/>
        </w:rPr>
        <w:t>面积约1907.96公顷，可容纳居住人口规模约16万人。</w:t>
      </w:r>
    </w:p>
    <w:p>
      <w:pPr>
        <w:pStyle w:val="3"/>
      </w:pPr>
      <w:r>
        <w:rPr>
          <w:rFonts w:hint="eastAsia"/>
        </w:rPr>
        <w:t>交通设施规划</w:t>
      </w:r>
    </w:p>
    <w:p>
      <w:r>
        <w:rPr>
          <w:rFonts w:hint="eastAsia"/>
        </w:rPr>
        <w:t>区域交通：规划提级改造迁曹公路，预控迁曹货运公路，向东延伸新南快线，南延长丰路，强化对外通道。规划1处公路长途客运站，联系周边村镇、城市组团及唐山中心城区，用地面积约2.00公顷。</w:t>
      </w:r>
    </w:p>
    <w:p>
      <w:r>
        <w:rPr>
          <w:rFonts w:hint="eastAsia"/>
        </w:rPr>
        <w:t>道路系统：规划范围内形成“四横七纵”的城市主干路格局，“四横”包括青林公路、新城大街、滨海大街和锦绣大街，“七纵”包括西环路、腾飞路、长兴路、唐海路、长丰路</w:t>
      </w:r>
      <w:r>
        <w:rPr>
          <w:rFonts w:hint="eastAsia"/>
          <w:lang w:eastAsia="zh-CN"/>
        </w:rPr>
        <w:t>、</w:t>
      </w:r>
      <w:r>
        <w:rPr>
          <w:rFonts w:hint="eastAsia"/>
          <w:lang w:val="en-US" w:eastAsia="zh-CN"/>
        </w:rPr>
        <w:t>迎宾路和</w:t>
      </w:r>
      <w:r>
        <w:rPr>
          <w:rFonts w:hint="eastAsia"/>
        </w:rPr>
        <w:t>永丰路，总长度</w:t>
      </w:r>
      <w:r>
        <w:t>41.6</w:t>
      </w:r>
      <w:r>
        <w:rPr>
          <w:rFonts w:hint="eastAsia"/>
        </w:rPr>
        <w:t>公里。</w:t>
      </w:r>
    </w:p>
    <w:p>
      <w:r>
        <w:rPr>
          <w:rFonts w:hint="eastAsia"/>
        </w:rPr>
        <w:t>公共交通：规划2处公交首末站，结</w:t>
      </w:r>
      <w:bookmarkStart w:id="4" w:name="_GoBack"/>
      <w:bookmarkEnd w:id="4"/>
      <w:r>
        <w:rPr>
          <w:rFonts w:hint="eastAsia"/>
        </w:rPr>
        <w:t>合城市道路形成“六横、九纵”公共交通通道。六横，青林公路、建设大街、新城大街、滨海大街、朝阳大街、锦绣大街；九纵，西环路、腾飞路、长兴路、唐海路、汇丰路、长丰路、大通路、迎宾路、永丰路。</w:t>
      </w:r>
    </w:p>
    <w:p>
      <w:r>
        <w:rPr>
          <w:rFonts w:hint="eastAsia"/>
        </w:rPr>
        <w:t>停车设施：规划</w:t>
      </w:r>
      <w:r>
        <w:t>35</w:t>
      </w:r>
      <w:r>
        <w:rPr>
          <w:rFonts w:hint="eastAsia"/>
        </w:rPr>
        <w:t>处社会停车场。根据不同类型道路断面，利用</w:t>
      </w:r>
      <w:r>
        <w:t>辅道和</w:t>
      </w:r>
      <w:r>
        <w:rPr>
          <w:rFonts w:hint="eastAsia"/>
        </w:rPr>
        <w:t>人行道树池</w:t>
      </w:r>
      <w:r>
        <w:t>布局</w:t>
      </w:r>
      <w:r>
        <w:rPr>
          <w:rFonts w:hint="eastAsia"/>
        </w:rPr>
        <w:t>路内</w:t>
      </w:r>
      <w:r>
        <w:t>停车位</w:t>
      </w:r>
      <w:r>
        <w:rPr>
          <w:rFonts w:hint="eastAsia"/>
        </w:rPr>
        <w:t>，以满足短时间、临时停车为主。</w:t>
      </w:r>
    </w:p>
    <w:p>
      <w:pPr>
        <w:pStyle w:val="3"/>
      </w:pPr>
      <w:r>
        <w:rPr>
          <w:rFonts w:hint="eastAsia"/>
        </w:rPr>
        <w:t>公共服务设施</w:t>
      </w:r>
    </w:p>
    <w:p>
      <w:pPr>
        <w:spacing w:after="156"/>
      </w:pPr>
      <w:r>
        <w:rPr>
          <w:rFonts w:hint="eastAsia"/>
        </w:rPr>
        <w:t>文化设施：规划1个文化馆、1个图书馆、1个青少年宫、1个工人文化宫、1个老干部活动中心、1个文化综合体（国家档案馆、档案局、文化广播电视新闻出版局、曹妃甸区一中艺术馆、曹妃甸文化研究会）、1个农垦文化中心。</w:t>
      </w:r>
    </w:p>
    <w:p>
      <w:pPr>
        <w:spacing w:after="156"/>
      </w:pPr>
      <w:r>
        <w:rPr>
          <w:rFonts w:hint="eastAsia"/>
        </w:rPr>
        <w:t>教育设施：规划1所农业职业学校，2所高中，1所完全中学，2所初中，4所九年一贯制学校，6所小学，35所幼儿园。</w:t>
      </w:r>
    </w:p>
    <w:p>
      <w:pPr>
        <w:spacing w:after="156"/>
      </w:pPr>
      <w:r>
        <w:rPr>
          <w:rFonts w:hint="eastAsia"/>
        </w:rPr>
        <w:t>体育设施：规划2个体育场、1个全民健身中心、3个大型多功能运动场地、7个中型多功能运动场地、7个小型多功能运动场地/室外综合健身场地。</w:t>
      </w:r>
    </w:p>
    <w:p>
      <w:pPr>
        <w:spacing w:after="156"/>
      </w:pPr>
      <w:r>
        <w:rPr>
          <w:rFonts w:hint="eastAsia"/>
        </w:rPr>
        <w:t>医疗设施：规划4所综合医院、1所中医院、2所妇幼保健院、1所疾病预防控制中心。</w:t>
      </w:r>
    </w:p>
    <w:p>
      <w:pPr>
        <w:spacing w:after="156"/>
      </w:pPr>
      <w:r>
        <w:rPr>
          <w:rFonts w:hint="eastAsia"/>
        </w:rPr>
        <w:t>生活圈建设：按照社区生活圈规划标准，配置街道级服务中心和社区级服务中心。</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Lucida Sans">
    <w:panose1 w:val="020B0602040502020204"/>
    <w:charset w:val="00"/>
    <w:family w:val="auto"/>
    <w:pitch w:val="default"/>
    <w:sig w:usb0="8100AAF7" w:usb1="0000807B" w:usb2="00000008" w:usb3="00000000" w:csb0="6000009F" w:csb1="FFFF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B5B6F1"/>
    <w:multiLevelType w:val="multilevel"/>
    <w:tmpl w:val="1BB5B6F1"/>
    <w:lvl w:ilvl="0" w:tentative="0">
      <w:start w:val="1"/>
      <w:numFmt w:val="chineseCountingThousand"/>
      <w:pStyle w:val="2"/>
      <w:suff w:val="space"/>
      <w:lvlText w:val="%1、"/>
      <w:lvlJc w:val="left"/>
      <w:pPr>
        <w:ind w:left="0" w:firstLine="0"/>
      </w:pPr>
      <w:rPr>
        <w:rFonts w:hint="default" w:ascii="Arial" w:hAnsi="Arial" w:cs="Arial"/>
      </w:rPr>
    </w:lvl>
    <w:lvl w:ilvl="1" w:tentative="0">
      <w:start w:val="1"/>
      <w:numFmt w:val="chineseCountingThousand"/>
      <w:pStyle w:val="3"/>
      <w:suff w:val="nothing"/>
      <w:lvlText w:val="（%2）"/>
      <w:lvlJc w:val="left"/>
      <w:pPr>
        <w:ind w:left="0" w:firstLine="0"/>
      </w:pPr>
      <w:rPr>
        <w:rFonts w:hint="eastAsia"/>
      </w:rPr>
    </w:lvl>
    <w:lvl w:ilvl="2" w:tentative="0">
      <w:start w:val="1"/>
      <w:numFmt w:val="decimal"/>
      <w:lvlText w:val="%1.%2.%3"/>
      <w:lvlJc w:val="left"/>
      <w:pPr>
        <w:tabs>
          <w:tab w:val="left" w:pos="1429"/>
        </w:tabs>
        <w:ind w:left="1429" w:hanging="720"/>
      </w:pPr>
      <w:rPr>
        <w:rFonts w:hint="eastAsia"/>
      </w:rPr>
    </w:lvl>
    <w:lvl w:ilvl="3" w:tentative="0">
      <w:start w:val="1"/>
      <w:numFmt w:val="decimal"/>
      <w:lvlText w:val="（%4）"/>
      <w:lvlJc w:val="left"/>
      <w:pPr>
        <w:tabs>
          <w:tab w:val="left" w:pos="3558"/>
        </w:tabs>
        <w:ind w:left="3558" w:hanging="864"/>
      </w:pPr>
      <w:rPr>
        <w:rFonts w:hint="eastAsia"/>
      </w:rPr>
    </w:lvl>
    <w:lvl w:ilvl="4" w:tentative="0">
      <w:start w:val="1"/>
      <w:numFmt w:val="decimal"/>
      <w:pStyle w:val="5"/>
      <w:lvlText w:val="%1.%2.%3.%4.%5"/>
      <w:lvlJc w:val="left"/>
      <w:pPr>
        <w:tabs>
          <w:tab w:val="left" w:pos="1008"/>
        </w:tabs>
        <w:ind w:left="1008" w:hanging="1008"/>
      </w:pPr>
      <w:rPr>
        <w:rFonts w:hint="eastAsia"/>
      </w:rPr>
    </w:lvl>
    <w:lvl w:ilvl="5" w:tentative="0">
      <w:start w:val="1"/>
      <w:numFmt w:val="decimal"/>
      <w:pStyle w:val="6"/>
      <w:lvlText w:val="%1.%2.%3.%4.%5.%6"/>
      <w:lvlJc w:val="left"/>
      <w:pPr>
        <w:tabs>
          <w:tab w:val="left" w:pos="1152"/>
        </w:tabs>
        <w:ind w:left="1152" w:hanging="1152"/>
      </w:pPr>
      <w:rPr>
        <w:rFonts w:hint="eastAsia"/>
      </w:rPr>
    </w:lvl>
    <w:lvl w:ilvl="6" w:tentative="0">
      <w:start w:val="1"/>
      <w:numFmt w:val="decimal"/>
      <w:pStyle w:val="7"/>
      <w:lvlText w:val="%1.%2.%3.%4.%5.%6.%7"/>
      <w:lvlJc w:val="left"/>
      <w:pPr>
        <w:tabs>
          <w:tab w:val="left" w:pos="1296"/>
        </w:tabs>
        <w:ind w:left="1296" w:hanging="1296"/>
      </w:pPr>
      <w:rPr>
        <w:rFonts w:hint="eastAsia"/>
      </w:rPr>
    </w:lvl>
    <w:lvl w:ilvl="7" w:tentative="0">
      <w:start w:val="1"/>
      <w:numFmt w:val="decimal"/>
      <w:pStyle w:val="8"/>
      <w:lvlText w:val="%1.%2.%3.%4.%5.%6.%7.%8"/>
      <w:lvlJc w:val="left"/>
      <w:pPr>
        <w:tabs>
          <w:tab w:val="left" w:pos="1440"/>
        </w:tabs>
        <w:ind w:left="1440" w:hanging="1440"/>
      </w:pPr>
      <w:rPr>
        <w:rFonts w:hint="eastAsia"/>
      </w:rPr>
    </w:lvl>
    <w:lvl w:ilvl="8" w:tentative="0">
      <w:start w:val="1"/>
      <w:numFmt w:val="decimal"/>
      <w:pStyle w:val="9"/>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1"/>
  <w:bordersDoNotSurroundFooter w:val="1"/>
  <w:documentProtection w:enforcement="0"/>
  <w:defaultTabStop w:val="420"/>
  <w:drawingGridHorizontalSpacing w:val="160"/>
  <w:drawingGridVerticalSpacing w:val="156"/>
  <w:displayHorizontalDrawingGridEvery w:val="0"/>
  <w:displayVerticalDrawingGridEvery w:val="2"/>
  <w:noPunctuationKerning w:val="1"/>
  <w:noLineBreaksAfter w:lang="zh-CN" w:val="$([{£¥·‘“〈《「『【〔〖〝﹙﹛﹝＄（．［｛￡￥"/>
  <w:noLineBreaksBefore w:lang="zh-CN" w:val="!%),.:;&gt;?]}¢¨°·ˇˉ―‖’”…‰′″›℃∶、。〃〉》」』】〕〗〞︶︺︾﹀﹄﹚﹜﹞！＂％＇），．：；？］｀｜｝～￠"/>
  <w:footnotePr>
    <w:footnote w:id="0"/>
    <w:footnote w:id="1"/>
  </w:footnotePr>
  <w:endnotePr>
    <w:endnote w:id="0"/>
    <w:endnote w:id="1"/>
  </w:endnotePr>
  <w:compat>
    <w:spaceForUL/>
    <w:balanceSingleByteDoubleByteWidth/>
    <w:ulTrailSpace/>
    <w:doNotExpandShiftReturn/>
    <w:adjustLineHeightInTable/>
    <w:useFELayout/>
    <w:compatSetting w:name="compatibilityMode" w:uri="http://schemas.microsoft.com/office/word" w:val="15"/>
  </w:compat>
  <w:rsids>
    <w:rsidRoot w:val="00000000"/>
    <w:rsid w:val="3D536651"/>
    <w:rsid w:val="52C624A5"/>
    <w:rsid w:val="6E1321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600" w:lineRule="exact"/>
      <w:ind w:firstLine="200" w:firstLineChars="200"/>
      <w:jc w:val="both"/>
    </w:pPr>
    <w:rPr>
      <w:rFonts w:ascii="Times New Roman" w:hAnsi="Times New Roman" w:eastAsia="方正仿宋_GBK" w:cs="Arial"/>
      <w:kern w:val="2"/>
      <w:sz w:val="32"/>
      <w:szCs w:val="22"/>
      <w:lang w:val="en-US" w:eastAsia="zh-CN" w:bidi="ar-SA"/>
    </w:rPr>
  </w:style>
  <w:style w:type="paragraph" w:styleId="2">
    <w:name w:val="heading 1"/>
    <w:basedOn w:val="1"/>
    <w:next w:val="1"/>
    <w:link w:val="12"/>
    <w:qFormat/>
    <w:uiPriority w:val="0"/>
    <w:pPr>
      <w:keepNext/>
      <w:keepLines/>
      <w:numPr>
        <w:ilvl w:val="0"/>
        <w:numId w:val="1"/>
      </w:numPr>
      <w:ind w:firstLineChars="0"/>
      <w:jc w:val="left"/>
      <w:outlineLvl w:val="0"/>
    </w:pPr>
    <w:rPr>
      <w:rFonts w:eastAsia="方正黑体_GBK" w:cs="Times New Roman"/>
      <w:bCs/>
      <w:kern w:val="44"/>
      <w:szCs w:val="18"/>
    </w:rPr>
  </w:style>
  <w:style w:type="paragraph" w:styleId="3">
    <w:name w:val="heading 2"/>
    <w:basedOn w:val="1"/>
    <w:next w:val="1"/>
    <w:link w:val="13"/>
    <w:qFormat/>
    <w:uiPriority w:val="0"/>
    <w:pPr>
      <w:keepNext/>
      <w:keepLines/>
      <w:numPr>
        <w:ilvl w:val="1"/>
        <w:numId w:val="1"/>
      </w:numPr>
      <w:ind w:firstLineChars="0"/>
      <w:jc w:val="left"/>
      <w:outlineLvl w:val="1"/>
    </w:pPr>
    <w:rPr>
      <w:rFonts w:ascii="Arial" w:hAnsi="Arial" w:eastAsia="方正楷体_GBK" w:cs="Times New Roman"/>
      <w:szCs w:val="36"/>
    </w:rPr>
  </w:style>
  <w:style w:type="paragraph" w:styleId="4">
    <w:name w:val="heading 3"/>
    <w:basedOn w:val="1"/>
    <w:next w:val="1"/>
    <w:link w:val="14"/>
    <w:qFormat/>
    <w:uiPriority w:val="0"/>
    <w:pPr>
      <w:keepNext/>
      <w:keepLines/>
      <w:spacing w:before="260" w:after="260" w:line="415" w:lineRule="auto"/>
      <w:outlineLvl w:val="2"/>
    </w:pPr>
    <w:rPr>
      <w:b/>
      <w:bCs/>
      <w:sz w:val="32"/>
      <w:szCs w:val="32"/>
    </w:rPr>
  </w:style>
  <w:style w:type="paragraph" w:styleId="5">
    <w:name w:val="heading 5"/>
    <w:basedOn w:val="1"/>
    <w:next w:val="1"/>
    <w:link w:val="15"/>
    <w:qFormat/>
    <w:uiPriority w:val="0"/>
    <w:pPr>
      <w:keepNext/>
      <w:keepLines/>
      <w:numPr>
        <w:ilvl w:val="4"/>
        <w:numId w:val="1"/>
      </w:numPr>
      <w:spacing w:before="120" w:after="120"/>
      <w:ind w:left="1008" w:firstLine="0" w:firstLineChars="0"/>
      <w:outlineLvl w:val="4"/>
    </w:pPr>
    <w:rPr>
      <w:rFonts w:ascii="Arial" w:hAnsi="Arial" w:eastAsia="黑体"/>
      <w:bCs/>
      <w:szCs w:val="28"/>
      <w:lang w:val="zh-CN" w:eastAsia="zh-CN"/>
    </w:rPr>
  </w:style>
  <w:style w:type="paragraph" w:styleId="6">
    <w:name w:val="heading 6"/>
    <w:basedOn w:val="1"/>
    <w:next w:val="1"/>
    <w:link w:val="16"/>
    <w:qFormat/>
    <w:uiPriority w:val="0"/>
    <w:pPr>
      <w:numPr>
        <w:ilvl w:val="5"/>
        <w:numId w:val="1"/>
      </w:numPr>
      <w:spacing w:before="120" w:after="120" w:line="400" w:lineRule="exact"/>
      <w:ind w:left="1152" w:firstLine="0" w:firstLineChars="0"/>
      <w:outlineLvl w:val="5"/>
    </w:pPr>
    <w:rPr>
      <w:lang w:val="zh-CN" w:eastAsia="zh-CN"/>
    </w:rPr>
  </w:style>
  <w:style w:type="paragraph" w:styleId="7">
    <w:name w:val="heading 7"/>
    <w:basedOn w:val="1"/>
    <w:next w:val="1"/>
    <w:link w:val="17"/>
    <w:qFormat/>
    <w:uiPriority w:val="0"/>
    <w:pPr>
      <w:keepNext/>
      <w:keepLines/>
      <w:numPr>
        <w:ilvl w:val="6"/>
        <w:numId w:val="1"/>
      </w:numPr>
      <w:tabs>
        <w:tab w:val="left" w:pos="2837"/>
      </w:tabs>
      <w:spacing w:before="240" w:after="64" w:line="319" w:lineRule="auto"/>
      <w:ind w:left="1296" w:firstLine="0" w:firstLineChars="0"/>
      <w:jc w:val="center"/>
      <w:outlineLvl w:val="6"/>
    </w:pPr>
    <w:rPr>
      <w:bCs/>
      <w:lang w:val="zh-CN" w:eastAsia="zh-CN"/>
    </w:rPr>
  </w:style>
  <w:style w:type="paragraph" w:styleId="8">
    <w:name w:val="heading 8"/>
    <w:basedOn w:val="1"/>
    <w:next w:val="1"/>
    <w:link w:val="18"/>
    <w:qFormat/>
    <w:uiPriority w:val="0"/>
    <w:pPr>
      <w:keepNext/>
      <w:keepLines/>
      <w:numPr>
        <w:ilvl w:val="7"/>
        <w:numId w:val="1"/>
      </w:numPr>
      <w:tabs>
        <w:tab w:val="left" w:pos="851"/>
      </w:tabs>
      <w:spacing w:before="120" w:after="50" w:afterLines="50" w:line="319" w:lineRule="auto"/>
      <w:ind w:left="1440" w:firstLine="0" w:firstLineChars="0"/>
      <w:jc w:val="center"/>
      <w:outlineLvl w:val="7"/>
    </w:pPr>
    <w:rPr>
      <w:rFonts w:ascii="Arial" w:hAnsi="Arial"/>
      <w:lang w:val="zh-CN" w:eastAsia="zh-CN"/>
    </w:rPr>
  </w:style>
  <w:style w:type="paragraph" w:styleId="9">
    <w:name w:val="heading 9"/>
    <w:basedOn w:val="1"/>
    <w:next w:val="1"/>
    <w:link w:val="19"/>
    <w:qFormat/>
    <w:uiPriority w:val="0"/>
    <w:pPr>
      <w:keepNext/>
      <w:keepLines/>
      <w:numPr>
        <w:ilvl w:val="8"/>
        <w:numId w:val="1"/>
      </w:numPr>
      <w:tabs>
        <w:tab w:val="left" w:pos="851"/>
      </w:tabs>
      <w:spacing w:before="240" w:after="50" w:afterLines="50" w:line="319" w:lineRule="auto"/>
      <w:ind w:left="1584" w:firstLine="0" w:firstLineChars="0"/>
      <w:outlineLvl w:val="8"/>
    </w:pPr>
    <w:rPr>
      <w:rFonts w:ascii="Arial" w:hAnsi="Arial" w:eastAsia="黑体"/>
      <w:sz w:val="21"/>
      <w:szCs w:val="21"/>
      <w:lang w:val="zh-CN" w:eastAsia="zh-CN"/>
    </w:rPr>
  </w:style>
  <w:style w:type="character" w:default="1" w:styleId="11">
    <w:name w:val="Default Paragraph Font"/>
    <w:qFormat/>
    <w:uiPriority w:val="0"/>
  </w:style>
  <w:style w:type="table" w:default="1" w:styleId="10">
    <w:name w:val="Normal Table"/>
    <w:semiHidden/>
    <w:uiPriority w:val="0"/>
    <w:tblPr>
      <w:tblCellMar>
        <w:top w:w="0" w:type="dxa"/>
        <w:left w:w="108" w:type="dxa"/>
        <w:bottom w:w="0" w:type="dxa"/>
        <w:right w:w="108" w:type="dxa"/>
      </w:tblCellMar>
    </w:tblPr>
  </w:style>
  <w:style w:type="character" w:customStyle="1" w:styleId="12">
    <w:name w:val="heading 1 Char"/>
    <w:basedOn w:val="11"/>
    <w:link w:val="2"/>
    <w:uiPriority w:val="0"/>
    <w:rPr>
      <w:rFonts w:ascii="Times New Roman" w:hAnsi="Times New Roman" w:eastAsia="方正黑体_GBK" w:cs="Times New Roman"/>
      <w:bCs/>
      <w:kern w:val="44"/>
      <w:sz w:val="32"/>
      <w:szCs w:val="18"/>
      <w:lang w:val="en-US" w:eastAsia="zh-CN" w:bidi="ar-SA"/>
    </w:rPr>
  </w:style>
  <w:style w:type="character" w:customStyle="1" w:styleId="13">
    <w:name w:val="heading 2 Char"/>
    <w:basedOn w:val="11"/>
    <w:link w:val="3"/>
    <w:qFormat/>
    <w:uiPriority w:val="0"/>
    <w:rPr>
      <w:rFonts w:ascii="Arial" w:hAnsi="Arial" w:eastAsia="方正楷体_GBK" w:cs="Times New Roman"/>
      <w:kern w:val="2"/>
      <w:sz w:val="32"/>
      <w:szCs w:val="36"/>
      <w:lang w:val="en-US" w:eastAsia="zh-CN" w:bidi="ar-SA"/>
    </w:rPr>
  </w:style>
  <w:style w:type="character" w:customStyle="1" w:styleId="14">
    <w:name w:val="heading 3 Char"/>
    <w:basedOn w:val="11"/>
    <w:link w:val="4"/>
    <w:uiPriority w:val="0"/>
    <w:rPr>
      <w:rFonts w:ascii="Times New Roman" w:hAnsi="Times New Roman" w:eastAsia="方正仿宋_GBK" w:cs="Arial"/>
      <w:b/>
      <w:bCs/>
      <w:kern w:val="2"/>
      <w:sz w:val="32"/>
      <w:szCs w:val="32"/>
      <w:lang w:val="en-US" w:eastAsia="zh-CN" w:bidi="ar-SA"/>
    </w:rPr>
  </w:style>
  <w:style w:type="character" w:customStyle="1" w:styleId="15">
    <w:name w:val="heading 5 Char"/>
    <w:basedOn w:val="11"/>
    <w:link w:val="5"/>
    <w:uiPriority w:val="0"/>
    <w:rPr>
      <w:rFonts w:ascii="Arial" w:hAnsi="Arial" w:eastAsia="黑体" w:cs="Arial"/>
      <w:bCs/>
      <w:kern w:val="2"/>
      <w:sz w:val="32"/>
      <w:szCs w:val="28"/>
      <w:lang w:val="zh-CN" w:eastAsia="zh-CN" w:bidi="ar-SA"/>
    </w:rPr>
  </w:style>
  <w:style w:type="character" w:customStyle="1" w:styleId="16">
    <w:name w:val="heading 6 Char"/>
    <w:basedOn w:val="11"/>
    <w:link w:val="6"/>
    <w:uiPriority w:val="0"/>
    <w:rPr>
      <w:rFonts w:ascii="Times New Roman" w:hAnsi="Times New Roman" w:eastAsia="方正仿宋_GBK" w:cs="Arial"/>
      <w:kern w:val="2"/>
      <w:sz w:val="32"/>
      <w:szCs w:val="22"/>
      <w:lang w:val="zh-CN" w:eastAsia="zh-CN" w:bidi="ar-SA"/>
    </w:rPr>
  </w:style>
  <w:style w:type="character" w:customStyle="1" w:styleId="17">
    <w:name w:val="heading 7 Char"/>
    <w:basedOn w:val="11"/>
    <w:link w:val="7"/>
    <w:uiPriority w:val="0"/>
    <w:rPr>
      <w:rFonts w:ascii="Times New Roman" w:hAnsi="Times New Roman" w:eastAsia="方正仿宋_GBK" w:cs="Arial"/>
      <w:bCs/>
      <w:kern w:val="2"/>
      <w:sz w:val="32"/>
      <w:szCs w:val="22"/>
      <w:lang w:val="zh-CN" w:eastAsia="zh-CN" w:bidi="ar-SA"/>
    </w:rPr>
  </w:style>
  <w:style w:type="character" w:customStyle="1" w:styleId="18">
    <w:name w:val="heading 8 Char"/>
    <w:basedOn w:val="11"/>
    <w:link w:val="8"/>
    <w:uiPriority w:val="0"/>
    <w:rPr>
      <w:rFonts w:ascii="Arial" w:hAnsi="Arial" w:eastAsia="方正仿宋_GBK" w:cs="Arial"/>
      <w:kern w:val="2"/>
      <w:sz w:val="32"/>
      <w:szCs w:val="22"/>
      <w:lang w:val="zh-CN" w:eastAsia="zh-CN" w:bidi="ar-SA"/>
    </w:rPr>
  </w:style>
  <w:style w:type="character" w:customStyle="1" w:styleId="19">
    <w:name w:val="heading 9 Char"/>
    <w:basedOn w:val="11"/>
    <w:link w:val="9"/>
    <w:uiPriority w:val="0"/>
    <w:rPr>
      <w:rFonts w:ascii="Arial" w:hAnsi="Arial" w:eastAsia="黑体" w:cs="Arial"/>
      <w:kern w:val="2"/>
      <w:sz w:val="21"/>
      <w:szCs w:val="21"/>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ap="flat" cmpd="sng">
          <a:solidFill>
            <a:schemeClr val="phClr"/>
          </a:solidFill>
          <a:prstDash val="solid"/>
          <a:miter/>
        </a:ln>
        <a:ln w="12700" cap="flat" cmpd="sng">
          <a:solidFill>
            <a:schemeClr val="phClr"/>
          </a:solidFill>
          <a:prstDash val="solid"/>
          <a:miter/>
        </a:ln>
        <a:ln w="19050" cap="flat" cmpd="sng">
          <a:solidFill>
            <a:schemeClr val="phClr"/>
          </a:solidFill>
          <a:prstDash val="solid"/>
          <a:miter/>
        </a:ln>
      </a:lnStyleLst>
      <a:effectStyleLst>
        <a:effectStyle>
          <a:effectLst/>
        </a:effectStyle>
        <a:effectStyle>
          <a:effectLst/>
        </a:effectStyle>
        <a:effectStyle>
          <a:effectLst>
            <a:outerShdw blurRad="57150" dist="19050" dir="5400000" algn="ctr" rotWithShape="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678 0 1 1 1 1"/>
    <sectPr/>
  </customProps>
</customData>
</file>

<file path=customXml/itemProps1.xml><?xml version="1.0" encoding="utf-8"?>
<ds:datastoreItem xmlns:ds="http://schemas.openxmlformats.org/officeDocument/2006/customXml" ds:itemID="{2A7B772F-8B8C-4AF5-A66F-6340990C2FE3}">
  <ds:schemaRefs/>
</ds:datastoreItem>
</file>

<file path=docProps/app.xml><?xml version="1.0" encoding="utf-8"?>
<Properties xmlns="http://schemas.openxmlformats.org/officeDocument/2006/extended-properties" xmlns:vt="http://schemas.openxmlformats.org/officeDocument/2006/docPropsVTypes">
  <Template>Normal.eit</Template>
  <Company>Yozosoft</Company>
  <Pages>6</Pages>
  <Words>1903</Words>
  <Characters>2014</Characters>
  <Lines>0</Lines>
  <Paragraphs>37</Paragraphs>
  <TotalTime>29</TotalTime>
  <ScaleCrop>false</ScaleCrop>
  <LinksUpToDate>false</LinksUpToDate>
  <CharactersWithSpaces>2014</CharactersWithSpaces>
  <Application>WPS Office_11.8.2.12195_F1E327BC-269C-435d-A152-05C5408002CA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2021-05-08T07:28:00Z</dcterms:created>
  <dc:creator>User274</dc:creator>
  <cp:lastModifiedBy>未知</cp:lastModifiedBy>
  <dcterms:modified xsi:type="dcterms:W3CDTF">2025-08-22T07:38:57Z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780316BC4B414682AA7AF90C2F9B9BC7</vt:lpwstr>
  </property>
</Properties>
</file>