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唐山市曹妃甸区自然资源和规划局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唐山市曹妃甸区自然资源和规划局编制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曹妃甸区财政局审核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14</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1.2023年海洋生态保护修复资金绩效目标表</w:t>
        </w:r>
        <w:r>
          <w:tab/>
        </w:r>
        <w:r>
          <w:fldChar w:fldCharType="begin"/>
        </w:r>
        <w:r>
          <w:instrText xml:space="preserve">PAGEREF _Toc_4_4_0000000004 \h</w:instrText>
        </w:r>
        <w:r>
          <w:fldChar w:fldCharType="separate"/>
        </w:r>
        <w:r>
          <w:t xml:space="preserve">17</w:t>
        </w:r>
        <w:r>
          <w:fldChar w:fldCharType="end"/>
        </w:r>
      </w:hyperlink>
    </w:p>
    <w:p>
      <w:pPr>
        <w:pStyle w:val="TOC1"/>
        <w:tabs>
          <w:tab w:val="right" w:leader="dot" w:pos="9282"/>
        </w:tabs>
      </w:pPr>
      <w:hyperlink w:anchor="_Toc_4_4_0000000005" w:history="1">
        <w:r>
          <w:rPr/>
          <w:t xml:space="preserve">2.2023年省级自然资源重点生态保护修复专项资金绩效目标表</w:t>
        </w:r>
        <w:r>
          <w:tab/>
        </w:r>
        <w:r>
          <w:fldChar w:fldCharType="begin"/>
        </w:r>
        <w:r>
          <w:instrText xml:space="preserve">PAGEREF _Toc_4_4_0000000005 \h</w:instrText>
        </w:r>
        <w:r>
          <w:fldChar w:fldCharType="separate"/>
        </w:r>
        <w:r>
          <w:t xml:space="preserve">18</w:t>
        </w:r>
        <w:r>
          <w:fldChar w:fldCharType="end"/>
        </w:r>
      </w:hyperlink>
    </w:p>
    <w:p>
      <w:pPr>
        <w:pStyle w:val="TOC1"/>
        <w:tabs>
          <w:tab w:val="right" w:leader="dot" w:pos="9282"/>
        </w:tabs>
      </w:pPr>
      <w:hyperlink w:anchor="_Toc_4_4_0000000006" w:history="1">
        <w:r>
          <w:rPr/>
          <w:t xml:space="preserve">3.2024年编制曹妃甸区“十四五”国土绿化规划绩效目标表</w:t>
        </w:r>
        <w:r>
          <w:tab/>
        </w:r>
        <w:r>
          <w:fldChar w:fldCharType="begin"/>
        </w:r>
        <w:r>
          <w:instrText xml:space="preserve">PAGEREF _Toc_4_4_0000000006 \h</w:instrText>
        </w:r>
        <w:r>
          <w:fldChar w:fldCharType="separate"/>
        </w:r>
        <w:r>
          <w:t xml:space="preserve">19</w:t>
        </w:r>
        <w:r>
          <w:fldChar w:fldCharType="end"/>
        </w:r>
      </w:hyperlink>
    </w:p>
    <w:p>
      <w:pPr>
        <w:pStyle w:val="TOC1"/>
        <w:tabs>
          <w:tab w:val="right" w:leader="dot" w:pos="9282"/>
        </w:tabs>
      </w:pPr>
      <w:hyperlink w:anchor="_Toc_4_4_0000000007" w:history="1">
        <w:r>
          <w:rPr/>
          <w:t xml:space="preserve">4.2024年不动产登记系统服务费绩效目标表</w:t>
        </w:r>
        <w:r>
          <w:tab/>
        </w:r>
        <w:r>
          <w:fldChar w:fldCharType="begin"/>
        </w:r>
        <w:r>
          <w:instrText xml:space="preserve">PAGEREF _Toc_4_4_0000000007 \h</w:instrText>
        </w:r>
        <w:r>
          <w:fldChar w:fldCharType="separate"/>
        </w:r>
        <w:r>
          <w:t xml:space="preserve">20</w:t>
        </w:r>
        <w:r>
          <w:fldChar w:fldCharType="end"/>
        </w:r>
      </w:hyperlink>
    </w:p>
    <w:p>
      <w:pPr>
        <w:pStyle w:val="TOC1"/>
        <w:tabs>
          <w:tab w:val="right" w:leader="dot" w:pos="9282"/>
        </w:tabs>
      </w:pPr>
      <w:hyperlink w:anchor="_Toc_4_4_0000000008" w:history="1">
        <w:r>
          <w:rPr/>
          <w:t xml:space="preserve">5.2024年不动产登记系统延伸服务建设项目绩效目标表</w:t>
        </w:r>
        <w:r>
          <w:tab/>
        </w:r>
        <w:r>
          <w:fldChar w:fldCharType="begin"/>
        </w:r>
        <w:r>
          <w:instrText xml:space="preserve">PAGEREF _Toc_4_4_0000000008 \h</w:instrText>
        </w:r>
        <w:r>
          <w:fldChar w:fldCharType="separate"/>
        </w:r>
        <w:r>
          <w:t xml:space="preserve">21</w:t>
        </w:r>
        <w:r>
          <w:fldChar w:fldCharType="end"/>
        </w:r>
      </w:hyperlink>
    </w:p>
    <w:p>
      <w:pPr>
        <w:pStyle w:val="TOC1"/>
        <w:tabs>
          <w:tab w:val="right" w:leader="dot" w:pos="9282"/>
        </w:tabs>
      </w:pPr>
      <w:hyperlink w:anchor="_Toc_4_4_0000000009" w:history="1">
        <w:r>
          <w:rPr/>
          <w:t xml:space="preserve">6.2024年不动产登记证书、证明采购绩效目标表</w:t>
        </w:r>
        <w:r>
          <w:tab/>
        </w:r>
        <w:r>
          <w:fldChar w:fldCharType="begin"/>
        </w:r>
        <w:r>
          <w:instrText xml:space="preserve">PAGEREF _Toc_4_4_0000000009 \h</w:instrText>
        </w:r>
        <w:r>
          <w:fldChar w:fldCharType="separate"/>
        </w:r>
        <w:r>
          <w:t xml:space="preserve">22</w:t>
        </w:r>
        <w:r>
          <w:fldChar w:fldCharType="end"/>
        </w:r>
      </w:hyperlink>
    </w:p>
    <w:p>
      <w:pPr>
        <w:pStyle w:val="TOC1"/>
        <w:tabs>
          <w:tab w:val="right" w:leader="dot" w:pos="9282"/>
        </w:tabs>
      </w:pPr>
      <w:hyperlink w:anchor="_Toc_4_4_0000000010" w:history="1">
        <w:r>
          <w:rPr/>
          <w:t xml:space="preserve">7.2024年曹妃甸区柳赞镇集体土地农村宅基地房地一体登记项目绩效目标表</w:t>
        </w:r>
        <w:r>
          <w:tab/>
        </w:r>
        <w:r>
          <w:fldChar w:fldCharType="begin"/>
        </w:r>
        <w:r>
          <w:instrText xml:space="preserve">PAGEREF _Toc_4_4_0000000010 \h</w:instrText>
        </w:r>
        <w:r>
          <w:fldChar w:fldCharType="separate"/>
        </w:r>
        <w:r>
          <w:t xml:space="preserve">23</w:t>
        </w:r>
        <w:r>
          <w:fldChar w:fldCharType="end"/>
        </w:r>
      </w:hyperlink>
    </w:p>
    <w:p>
      <w:pPr>
        <w:pStyle w:val="TOC1"/>
        <w:tabs>
          <w:tab w:val="right" w:leader="dot" w:pos="9282"/>
        </w:tabs>
      </w:pPr>
      <w:hyperlink w:anchor="_Toc_4_4_0000000011" w:history="1">
        <w:r>
          <w:rPr/>
          <w:t xml:space="preserve">8.2024年曹妃甸区全民所有自然资源资产清查工作绩效目标表</w:t>
        </w:r>
        <w:r>
          <w:tab/>
        </w:r>
        <w:r>
          <w:fldChar w:fldCharType="begin"/>
        </w:r>
        <w:r>
          <w:instrText xml:space="preserve">PAGEREF _Toc_4_4_0000000011 \h</w:instrText>
        </w:r>
        <w:r>
          <w:fldChar w:fldCharType="separate"/>
        </w:r>
        <w:r>
          <w:t xml:space="preserve">24</w:t>
        </w:r>
        <w:r>
          <w:fldChar w:fldCharType="end"/>
        </w:r>
      </w:hyperlink>
    </w:p>
    <w:p>
      <w:pPr>
        <w:pStyle w:val="TOC1"/>
        <w:tabs>
          <w:tab w:val="right" w:leader="dot" w:pos="9282"/>
        </w:tabs>
      </w:pPr>
      <w:hyperlink w:anchor="_Toc_4_4_0000000012" w:history="1">
        <w:r>
          <w:rPr/>
          <w:t xml:space="preserve">9.2024年曹妃甸区园、林、草基准地价制定工作绩效目标表</w:t>
        </w:r>
        <w:r>
          <w:tab/>
        </w:r>
        <w:r>
          <w:fldChar w:fldCharType="begin"/>
        </w:r>
        <w:r>
          <w:instrText xml:space="preserve">PAGEREF _Toc_4_4_0000000012 \h</w:instrText>
        </w:r>
        <w:r>
          <w:fldChar w:fldCharType="separate"/>
        </w:r>
        <w:r>
          <w:t xml:space="preserve">25</w:t>
        </w:r>
        <w:r>
          <w:fldChar w:fldCharType="end"/>
        </w:r>
      </w:hyperlink>
    </w:p>
    <w:p>
      <w:pPr>
        <w:pStyle w:val="TOC1"/>
        <w:tabs>
          <w:tab w:val="right" w:leader="dot" w:pos="9282"/>
        </w:tabs>
      </w:pPr>
      <w:hyperlink w:anchor="_Toc_4_4_0000000013" w:history="1">
        <w:r>
          <w:rPr/>
          <w:t xml:space="preserve">10.2024年劳务派遣、海监船员、自收自支人员工资绩效目标表</w:t>
        </w:r>
        <w:r>
          <w:tab/>
        </w:r>
        <w:r>
          <w:fldChar w:fldCharType="begin"/>
        </w:r>
        <w:r>
          <w:instrText xml:space="preserve">PAGEREF _Toc_4_4_0000000013 \h</w:instrText>
        </w:r>
        <w:r>
          <w:fldChar w:fldCharType="separate"/>
        </w:r>
        <w:r>
          <w:t xml:space="preserve">26</w:t>
        </w:r>
        <w:r>
          <w:fldChar w:fldCharType="end"/>
        </w:r>
      </w:hyperlink>
    </w:p>
    <w:p>
      <w:pPr>
        <w:pStyle w:val="TOC1"/>
        <w:tabs>
          <w:tab w:val="right" w:leader="dot" w:pos="9282"/>
        </w:tabs>
      </w:pPr>
      <w:hyperlink w:anchor="_Toc_4_4_0000000014" w:history="1">
        <w:r>
          <w:rPr/>
          <w:t xml:space="preserve">11.2024年林草生物外来入侵物种普查绩效目标表</w:t>
        </w:r>
        <w:r>
          <w:tab/>
        </w:r>
        <w:r>
          <w:fldChar w:fldCharType="begin"/>
        </w:r>
        <w:r>
          <w:instrText xml:space="preserve">PAGEREF _Toc_4_4_0000000014 \h</w:instrText>
        </w:r>
        <w:r>
          <w:fldChar w:fldCharType="separate"/>
        </w:r>
        <w:r>
          <w:t xml:space="preserve">27</w:t>
        </w:r>
        <w:r>
          <w:fldChar w:fldCharType="end"/>
        </w:r>
      </w:hyperlink>
    </w:p>
    <w:p>
      <w:pPr>
        <w:pStyle w:val="TOC1"/>
        <w:tabs>
          <w:tab w:val="right" w:leader="dot" w:pos="9282"/>
        </w:tabs>
      </w:pPr>
      <w:hyperlink w:anchor="_Toc_4_4_0000000015" w:history="1">
        <w:r>
          <w:rPr/>
          <w:t xml:space="preserve">12.2024年唐山曹妃甸经济技术开发区及曹妃甸综合保税区土地集约利用更新评价工作绩效目标表</w:t>
        </w:r>
        <w:r>
          <w:tab/>
        </w:r>
        <w:r>
          <w:fldChar w:fldCharType="begin"/>
        </w:r>
        <w:r>
          <w:instrText xml:space="preserve">PAGEREF _Toc_4_4_0000000015 \h</w:instrText>
        </w:r>
        <w:r>
          <w:fldChar w:fldCharType="separate"/>
        </w:r>
        <w:r>
          <w:t xml:space="preserve">28</w:t>
        </w:r>
        <w:r>
          <w:fldChar w:fldCharType="end"/>
        </w:r>
      </w:hyperlink>
    </w:p>
    <w:p>
      <w:pPr>
        <w:pStyle w:val="TOC1"/>
        <w:tabs>
          <w:tab w:val="right" w:leader="dot" w:pos="9282"/>
        </w:tabs>
      </w:pPr>
      <w:hyperlink w:anchor="_Toc_4_4_0000000016" w:history="1">
        <w:r>
          <w:rPr/>
          <w:t xml:space="preserve">13.2024年巡护巡查费绩效目标表</w:t>
        </w:r>
        <w:r>
          <w:tab/>
        </w:r>
        <w:r>
          <w:fldChar w:fldCharType="begin"/>
        </w:r>
        <w:r>
          <w:instrText xml:space="preserve">PAGEREF _Toc_4_4_0000000016 \h</w:instrText>
        </w:r>
        <w:r>
          <w:fldChar w:fldCharType="separate"/>
        </w:r>
        <w:r>
          <w:t xml:space="preserve">29</w:t>
        </w:r>
        <w:r>
          <w:fldChar w:fldCharType="end"/>
        </w:r>
      </w:hyperlink>
    </w:p>
    <w:p>
      <w:pPr>
        <w:pStyle w:val="TOC1"/>
        <w:tabs>
          <w:tab w:val="right" w:leader="dot" w:pos="9282"/>
        </w:tabs>
      </w:pPr>
      <w:hyperlink w:anchor="_Toc_4_4_0000000017" w:history="1">
        <w:r>
          <w:rPr/>
          <w:t xml:space="preserve">14.2024年自然资源和规划卫片执法、巡查执法、其他国土资源矿产资源管理运行经费等绩效目标表</w:t>
        </w:r>
        <w:r>
          <w:tab/>
        </w:r>
        <w:r>
          <w:fldChar w:fldCharType="begin"/>
        </w:r>
        <w:r>
          <w:instrText xml:space="preserve">PAGEREF _Toc_4_4_0000000017 \h</w:instrText>
        </w:r>
        <w:r>
          <w:fldChar w:fldCharType="separate"/>
        </w:r>
        <w:r>
          <w:t xml:space="preserve">30</w:t>
        </w:r>
        <w:r>
          <w:fldChar w:fldCharType="end"/>
        </w:r>
      </w:hyperlink>
    </w:p>
    <w:p>
      <w:pPr>
        <w:pStyle w:val="TOC1"/>
        <w:tabs>
          <w:tab w:val="right" w:leader="dot" w:pos="9282"/>
        </w:tabs>
      </w:pPr>
      <w:hyperlink w:anchor="_Toc_4_4_0000000018" w:history="1">
        <w:r>
          <w:rPr/>
          <w:t xml:space="preserve">15.耕地资源质量分类年度更新与监测资金（唐财资环【2023】25号绩效目标表</w:t>
        </w:r>
        <w:r>
          <w:tab/>
        </w:r>
        <w:r>
          <w:fldChar w:fldCharType="begin"/>
        </w:r>
        <w:r>
          <w:instrText xml:space="preserve">PAGEREF _Toc_4_4_0000000018 \h</w:instrText>
        </w:r>
        <w:r>
          <w:fldChar w:fldCharType="separate"/>
        </w:r>
        <w:r>
          <w:t xml:space="preserve">31</w:t>
        </w:r>
        <w:r>
          <w:fldChar w:fldCharType="end"/>
        </w:r>
      </w:hyperlink>
    </w:p>
    <w:p>
      <w:pPr>
        <w:pStyle w:val="TOC1"/>
        <w:tabs>
          <w:tab w:val="right" w:leader="dot" w:pos="9282"/>
        </w:tabs>
      </w:pPr>
      <w:hyperlink w:anchor="_Toc_4_4_0000000019" w:history="1">
        <w:r>
          <w:rPr/>
          <w:t xml:space="preserve">16.2023年上半年国土变更调查资金绩效目标表</w:t>
        </w:r>
        <w:r>
          <w:tab/>
        </w:r>
        <w:r>
          <w:fldChar w:fldCharType="begin"/>
        </w:r>
        <w:r>
          <w:instrText xml:space="preserve">PAGEREF _Toc_4_4_0000000019 \h</w:instrText>
        </w:r>
        <w:r>
          <w:fldChar w:fldCharType="separate"/>
        </w:r>
        <w:r>
          <w:t xml:space="preserve">32</w:t>
        </w:r>
        <w:r>
          <w:fldChar w:fldCharType="end"/>
        </w:r>
      </w:hyperlink>
    </w:p>
    <w:p>
      <w:pPr>
        <w:pStyle w:val="TOC1"/>
        <w:tabs>
          <w:tab w:val="right" w:leader="dot" w:pos="9282"/>
        </w:tabs>
      </w:pPr>
      <w:hyperlink w:anchor="_Toc_4_4_0000000020" w:history="1">
        <w:r>
          <w:rPr/>
          <w:t xml:space="preserve">17.2023年土地整治专项资金（唐财资环【2023】51-3号）绩效目标表</w:t>
        </w:r>
        <w:r>
          <w:tab/>
        </w:r>
        <w:r>
          <w:fldChar w:fldCharType="begin"/>
        </w:r>
        <w:r>
          <w:instrText xml:space="preserve">PAGEREF _Toc_4_4_0000000020 \h</w:instrText>
        </w:r>
        <w:r>
          <w:fldChar w:fldCharType="separate"/>
        </w:r>
        <w:r>
          <w:t xml:space="preserve">33</w:t>
        </w:r>
        <w:r>
          <w:fldChar w:fldCharType="end"/>
        </w:r>
      </w:hyperlink>
    </w:p>
    <w:p>
      <w:pPr>
        <w:pStyle w:val="TOC1"/>
        <w:tabs>
          <w:tab w:val="right" w:leader="dot" w:pos="9282"/>
        </w:tabs>
      </w:pPr>
      <w:hyperlink w:anchor="_Toc_4_4_0000000021" w:history="1">
        <w:r>
          <w:rPr/>
          <w:t xml:space="preserve">18.2023年下半年国土变更调查资金绩效目标表</w:t>
        </w:r>
        <w:r>
          <w:tab/>
        </w:r>
        <w:r>
          <w:fldChar w:fldCharType="begin"/>
        </w:r>
        <w:r>
          <w:instrText xml:space="preserve">PAGEREF _Toc_4_4_0000000021 \h</w:instrText>
        </w:r>
        <w:r>
          <w:fldChar w:fldCharType="separate"/>
        </w:r>
        <w:r>
          <w:t xml:space="preserve">34</w:t>
        </w:r>
        <w:r>
          <w:fldChar w:fldCharType="end"/>
        </w:r>
      </w:hyperlink>
    </w:p>
    <w:p>
      <w:pPr>
        <w:pStyle w:val="TOC1"/>
        <w:tabs>
          <w:tab w:val="right" w:leader="dot" w:pos="9282"/>
        </w:tabs>
      </w:pPr>
      <w:hyperlink w:anchor="_Toc_4_4_0000000022" w:history="1">
        <w:r>
          <w:rPr/>
          <w:t xml:space="preserve">19.2024年编制曹妃甸区林地利用保护规划绩效目标表</w:t>
        </w:r>
        <w:r>
          <w:tab/>
        </w:r>
        <w:r>
          <w:fldChar w:fldCharType="begin"/>
        </w:r>
        <w:r>
          <w:instrText xml:space="preserve">PAGEREF _Toc_4_4_0000000022 \h</w:instrText>
        </w:r>
        <w:r>
          <w:fldChar w:fldCharType="separate"/>
        </w:r>
        <w:r>
          <w:t xml:space="preserve">35</w:t>
        </w:r>
        <w:r>
          <w:fldChar w:fldCharType="end"/>
        </w:r>
      </w:hyperlink>
    </w:p>
    <w:p>
      <w:pPr>
        <w:pStyle w:val="TOC1"/>
        <w:tabs>
          <w:tab w:val="right" w:leader="dot" w:pos="9282"/>
        </w:tabs>
      </w:pPr>
      <w:hyperlink w:anchor="_Toc_4_4_0000000023" w:history="1">
        <w:r>
          <w:rPr/>
          <w:t xml:space="preserve">20.2024年拨2023年耕地流出及耕地卫片监督核实整改、永久基本农田核实处置工作工作、村队搬迁土地复垦规划设计专项技术服务项目绩效目标表</w:t>
        </w:r>
        <w:r>
          <w:tab/>
        </w:r>
        <w:r>
          <w:fldChar w:fldCharType="begin"/>
        </w:r>
        <w:r>
          <w:instrText xml:space="preserve">PAGEREF _Toc_4_4_0000000023 \h</w:instrText>
        </w:r>
        <w:r>
          <w:fldChar w:fldCharType="separate"/>
        </w:r>
        <w:r>
          <w:t xml:space="preserve">36</w:t>
        </w:r>
        <w:r>
          <w:fldChar w:fldCharType="end"/>
        </w:r>
      </w:hyperlink>
    </w:p>
    <w:p>
      <w:pPr>
        <w:pStyle w:val="TOC1"/>
        <w:tabs>
          <w:tab w:val="right" w:leader="dot" w:pos="9282"/>
        </w:tabs>
      </w:pPr>
      <w:hyperlink w:anchor="_Toc_4_4_0000000024" w:history="1">
        <w:r>
          <w:rPr/>
          <w:t xml:space="preserve">21.2024年不动产数据质量更新绩效目标表</w:t>
        </w:r>
        <w:r>
          <w:tab/>
        </w:r>
        <w:r>
          <w:fldChar w:fldCharType="begin"/>
        </w:r>
        <w:r>
          <w:instrText xml:space="preserve">PAGEREF _Toc_4_4_0000000024 \h</w:instrText>
        </w:r>
        <w:r>
          <w:fldChar w:fldCharType="separate"/>
        </w:r>
        <w:r>
          <w:t xml:space="preserve">37</w:t>
        </w:r>
        <w:r>
          <w:fldChar w:fldCharType="end"/>
        </w:r>
      </w:hyperlink>
    </w:p>
    <w:p>
      <w:pPr>
        <w:pStyle w:val="TOC1"/>
        <w:tabs>
          <w:tab w:val="right" w:leader="dot" w:pos="9282"/>
        </w:tabs>
      </w:pPr>
      <w:hyperlink w:anchor="_Toc_4_4_0000000025" w:history="1">
        <w:r>
          <w:rPr/>
          <w:t xml:space="preserve">22.2024年曹妃甸国土空间规划、生态环境保护规划、实施评估规划编制等绩效目标表</w:t>
        </w:r>
        <w:r>
          <w:tab/>
        </w:r>
        <w:r>
          <w:fldChar w:fldCharType="begin"/>
        </w:r>
        <w:r>
          <w:instrText xml:space="preserve">PAGEREF _Toc_4_4_0000000025 \h</w:instrText>
        </w:r>
        <w:r>
          <w:fldChar w:fldCharType="separate"/>
        </w:r>
        <w:r>
          <w:t xml:space="preserve">38</w:t>
        </w:r>
        <w:r>
          <w:fldChar w:fldCharType="end"/>
        </w:r>
      </w:hyperlink>
    </w:p>
    <w:p>
      <w:pPr>
        <w:pStyle w:val="TOC1"/>
        <w:tabs>
          <w:tab w:val="right" w:leader="dot" w:pos="9282"/>
        </w:tabs>
      </w:pPr>
      <w:hyperlink w:anchor="_Toc_4_4_0000000026" w:history="1">
        <w:r>
          <w:rPr/>
          <w:t xml:space="preserve">23.2024年曹妃甸区城镇低效用地再开发专项规划编制工作绩效目标表</w:t>
        </w:r>
        <w:r>
          <w:tab/>
        </w:r>
        <w:r>
          <w:fldChar w:fldCharType="begin"/>
        </w:r>
        <w:r>
          <w:instrText xml:space="preserve">PAGEREF _Toc_4_4_0000000026 \h</w:instrText>
        </w:r>
        <w:r>
          <w:fldChar w:fldCharType="separate"/>
        </w:r>
        <w:r>
          <w:t xml:space="preserve">39</w:t>
        </w:r>
        <w:r>
          <w:fldChar w:fldCharType="end"/>
        </w:r>
      </w:hyperlink>
    </w:p>
    <w:p>
      <w:pPr>
        <w:pStyle w:val="TOC1"/>
        <w:tabs>
          <w:tab w:val="right" w:leader="dot" w:pos="9282"/>
        </w:tabs>
      </w:pPr>
      <w:hyperlink w:anchor="_Toc_4_4_0000000027" w:history="1">
        <w:r>
          <w:rPr/>
          <w:t xml:space="preserve">24.2024年曹妃甸区具体项目压覆矿产资源评估报告、地质灾害危险性评估报告绩效目标表</w:t>
        </w:r>
        <w:r>
          <w:tab/>
        </w:r>
        <w:r>
          <w:fldChar w:fldCharType="begin"/>
        </w:r>
        <w:r>
          <w:instrText xml:space="preserve">PAGEREF _Toc_4_4_0000000027 \h</w:instrText>
        </w:r>
        <w:r>
          <w:fldChar w:fldCharType="separate"/>
        </w:r>
        <w:r>
          <w:t xml:space="preserve">40</w:t>
        </w:r>
        <w:r>
          <w:fldChar w:fldCharType="end"/>
        </w:r>
      </w:hyperlink>
    </w:p>
    <w:p>
      <w:pPr>
        <w:pStyle w:val="TOC1"/>
        <w:tabs>
          <w:tab w:val="right" w:leader="dot" w:pos="9282"/>
        </w:tabs>
      </w:pPr>
      <w:hyperlink w:anchor="_Toc_4_4_0000000028" w:history="1">
        <w:r>
          <w:rPr/>
          <w:t xml:space="preserve">25.2024年曹妃甸区全民所有自然资源资产清查工作绩效目标表</w:t>
        </w:r>
        <w:r>
          <w:tab/>
        </w:r>
        <w:r>
          <w:fldChar w:fldCharType="begin"/>
        </w:r>
        <w:r>
          <w:instrText xml:space="preserve">PAGEREF _Toc_4_4_0000000028 \h</w:instrText>
        </w:r>
        <w:r>
          <w:fldChar w:fldCharType="separate"/>
        </w:r>
        <w:r>
          <w:t xml:space="preserve">41</w:t>
        </w:r>
        <w:r>
          <w:fldChar w:fldCharType="end"/>
        </w:r>
      </w:hyperlink>
    </w:p>
    <w:p>
      <w:pPr>
        <w:pStyle w:val="TOC1"/>
        <w:tabs>
          <w:tab w:val="right" w:leader="dot" w:pos="9282"/>
        </w:tabs>
      </w:pPr>
      <w:hyperlink w:anchor="_Toc_4_4_0000000029" w:history="1">
        <w:r>
          <w:rPr/>
          <w:t xml:space="preserve">26.2024年曹妃甸区十二个项目套核风景名胜区重叠分析二十五个项目套核三调数据核查项目区耕地第二批储备补充耕地核查项目储备补充耕地定期季度巡查服务费用占补平衡项目卷宗审查服务费用绩效目标表</w:t>
        </w:r>
        <w:r>
          <w:tab/>
        </w:r>
        <w:r>
          <w:fldChar w:fldCharType="begin"/>
        </w:r>
        <w:r>
          <w:instrText xml:space="preserve">PAGEREF _Toc_4_4_0000000029 \h</w:instrText>
        </w:r>
        <w:r>
          <w:fldChar w:fldCharType="separate"/>
        </w:r>
        <w:r>
          <w:t xml:space="preserve">42</w:t>
        </w:r>
        <w:r>
          <w:fldChar w:fldCharType="end"/>
        </w:r>
      </w:hyperlink>
    </w:p>
    <w:p>
      <w:pPr>
        <w:pStyle w:val="TOC1"/>
        <w:tabs>
          <w:tab w:val="right" w:leader="dot" w:pos="9282"/>
        </w:tabs>
      </w:pPr>
      <w:hyperlink w:anchor="_Toc_4_4_0000000030" w:history="1">
        <w:r>
          <w:rPr/>
          <w:t xml:space="preserve">27.2024年曹妃甸区项目用海、围填海历史遗留问题处理监管、节约集约示范县创建中期评估、养殖用海整体海域使用论证工作、海岸带综合保护与利用规划编制、海域使用权存量数据坐标系转换及专家顾绩效目标表</w:t>
        </w:r>
        <w:r>
          <w:tab/>
        </w:r>
        <w:r>
          <w:fldChar w:fldCharType="begin"/>
        </w:r>
        <w:r>
          <w:instrText xml:space="preserve">PAGEREF _Toc_4_4_0000000030 \h</w:instrText>
        </w:r>
        <w:r>
          <w:fldChar w:fldCharType="separate"/>
        </w:r>
        <w:r>
          <w:t xml:space="preserve">43</w:t>
        </w:r>
        <w:r>
          <w:fldChar w:fldCharType="end"/>
        </w:r>
      </w:hyperlink>
    </w:p>
    <w:p>
      <w:pPr>
        <w:pStyle w:val="TOC1"/>
        <w:tabs>
          <w:tab w:val="right" w:leader="dot" w:pos="9282"/>
        </w:tabs>
      </w:pPr>
      <w:hyperlink w:anchor="_Toc_4_4_0000000031" w:history="1">
        <w:r>
          <w:rPr/>
          <w:t xml:space="preserve">28.2024年付2022-2024年进出平衡工作绩效目标表</w:t>
        </w:r>
        <w:r>
          <w:tab/>
        </w:r>
        <w:r>
          <w:fldChar w:fldCharType="begin"/>
        </w:r>
        <w:r>
          <w:instrText xml:space="preserve">PAGEREF _Toc_4_4_0000000031 \h</w:instrText>
        </w:r>
        <w:r>
          <w:fldChar w:fldCharType="separate"/>
        </w:r>
        <w:r>
          <w:t xml:space="preserve">44</w:t>
        </w:r>
        <w:r>
          <w:fldChar w:fldCharType="end"/>
        </w:r>
      </w:hyperlink>
    </w:p>
    <w:p>
      <w:pPr>
        <w:pStyle w:val="TOC1"/>
        <w:tabs>
          <w:tab w:val="right" w:leader="dot" w:pos="9282"/>
        </w:tabs>
      </w:pPr>
      <w:hyperlink w:anchor="_Toc_4_4_0000000032" w:history="1">
        <w:r>
          <w:rPr/>
          <w:t xml:space="preserve">29.2024年付2023年曹妃甸区风暴潮灾害预警监控运维保障及能力提升项目绩效目标表</w:t>
        </w:r>
        <w:r>
          <w:tab/>
        </w:r>
        <w:r>
          <w:fldChar w:fldCharType="begin"/>
        </w:r>
        <w:r>
          <w:instrText xml:space="preserve">PAGEREF _Toc_4_4_0000000032 \h</w:instrText>
        </w:r>
        <w:r>
          <w:fldChar w:fldCharType="separate"/>
        </w:r>
        <w:r>
          <w:t xml:space="preserve">45</w:t>
        </w:r>
        <w:r>
          <w:fldChar w:fldCharType="end"/>
        </w:r>
      </w:hyperlink>
    </w:p>
    <w:p>
      <w:pPr>
        <w:pStyle w:val="TOC1"/>
        <w:tabs>
          <w:tab w:val="right" w:leader="dot" w:pos="9282"/>
        </w:tabs>
      </w:pPr>
      <w:hyperlink w:anchor="_Toc_4_4_0000000033" w:history="1">
        <w:r>
          <w:rPr/>
          <w:t xml:space="preserve">30.2024年购买林业有害生物防治药品绩效目标表</w:t>
        </w:r>
        <w:r>
          <w:tab/>
        </w:r>
        <w:r>
          <w:fldChar w:fldCharType="begin"/>
        </w:r>
        <w:r>
          <w:instrText xml:space="preserve">PAGEREF _Toc_4_4_0000000033 \h</w:instrText>
        </w:r>
        <w:r>
          <w:fldChar w:fldCharType="separate"/>
        </w:r>
        <w:r>
          <w:t xml:space="preserve">46</w:t>
        </w:r>
        <w:r>
          <w:fldChar w:fldCharType="end"/>
        </w:r>
      </w:hyperlink>
    </w:p>
    <w:p>
      <w:pPr>
        <w:pStyle w:val="TOC1"/>
        <w:tabs>
          <w:tab w:val="right" w:leader="dot" w:pos="9282"/>
        </w:tabs>
      </w:pPr>
      <w:hyperlink w:anchor="_Toc_4_4_0000000034" w:history="1">
        <w:r>
          <w:rPr/>
          <w:t xml:space="preserve">31.2024年购置堡垒机绩效目标表</w:t>
        </w:r>
        <w:r>
          <w:tab/>
        </w:r>
        <w:r>
          <w:fldChar w:fldCharType="begin"/>
        </w:r>
        <w:r>
          <w:instrText xml:space="preserve">PAGEREF _Toc_4_4_0000000034 \h</w:instrText>
        </w:r>
        <w:r>
          <w:fldChar w:fldCharType="separate"/>
        </w:r>
        <w:r>
          <w:t xml:space="preserve">47</w:t>
        </w:r>
        <w:r>
          <w:fldChar w:fldCharType="end"/>
        </w:r>
      </w:hyperlink>
    </w:p>
    <w:p>
      <w:pPr>
        <w:pStyle w:val="TOC1"/>
        <w:tabs>
          <w:tab w:val="right" w:leader="dot" w:pos="9282"/>
        </w:tabs>
      </w:pPr>
      <w:hyperlink w:anchor="_Toc_4_4_0000000035" w:history="1">
        <w:r>
          <w:rPr/>
          <w:t xml:space="preserve">32.2024年核实对接卫片数据服务费、执法图斑宗地图测绘费用绩效目标表</w:t>
        </w:r>
        <w:r>
          <w:tab/>
        </w:r>
        <w:r>
          <w:fldChar w:fldCharType="begin"/>
        </w:r>
        <w:r>
          <w:instrText xml:space="preserve">PAGEREF _Toc_4_4_0000000035 \h</w:instrText>
        </w:r>
        <w:r>
          <w:fldChar w:fldCharType="separate"/>
        </w:r>
        <w:r>
          <w:t xml:space="preserve">48</w:t>
        </w:r>
        <w:r>
          <w:fldChar w:fldCharType="end"/>
        </w:r>
      </w:hyperlink>
    </w:p>
    <w:p>
      <w:pPr>
        <w:pStyle w:val="TOC1"/>
        <w:tabs>
          <w:tab w:val="right" w:leader="dot" w:pos="9282"/>
        </w:tabs>
      </w:pPr>
      <w:hyperlink w:anchor="_Toc_4_4_0000000036" w:history="1">
        <w:r>
          <w:rPr/>
          <w:t xml:space="preserve">33.2024年唐山市曹妃甸区规划编制费用绩效目标表</w:t>
        </w:r>
        <w:r>
          <w:tab/>
        </w:r>
        <w:r>
          <w:fldChar w:fldCharType="begin"/>
        </w:r>
        <w:r>
          <w:instrText xml:space="preserve">PAGEREF _Toc_4_4_0000000036 \h</w:instrText>
        </w:r>
        <w:r>
          <w:fldChar w:fldCharType="separate"/>
        </w:r>
        <w:r>
          <w:t xml:space="preserve">49</w:t>
        </w:r>
        <w:r>
          <w:fldChar w:fldCharType="end"/>
        </w:r>
      </w:hyperlink>
    </w:p>
    <w:p>
      <w:pPr>
        <w:pStyle w:val="TOC1"/>
        <w:tabs>
          <w:tab w:val="right" w:leader="dot" w:pos="9282"/>
        </w:tabs>
      </w:pPr>
      <w:hyperlink w:anchor="_Toc_4_4_0000000037" w:history="1">
        <w:r>
          <w:rPr/>
          <w:t xml:space="preserve">34.2024年现场核实及测绘服务采购绩效目标表</w:t>
        </w:r>
        <w:r>
          <w:tab/>
        </w:r>
        <w:r>
          <w:fldChar w:fldCharType="begin"/>
        </w:r>
        <w:r>
          <w:instrText xml:space="preserve">PAGEREF _Toc_4_4_0000000037 \h</w:instrText>
        </w:r>
        <w:r>
          <w:fldChar w:fldCharType="separate"/>
        </w:r>
        <w:r>
          <w:t xml:space="preserve">50</w:t>
        </w:r>
        <w:r>
          <w:fldChar w:fldCharType="end"/>
        </w:r>
      </w:hyperlink>
    </w:p>
    <w:p>
      <w:pPr>
        <w:pStyle w:val="TOC1"/>
        <w:tabs>
          <w:tab w:val="right" w:leader="dot" w:pos="9282"/>
        </w:tabs>
      </w:pPr>
      <w:hyperlink w:anchor="_Toc_4_4_0000000038" w:history="1">
        <w:r>
          <w:rPr/>
          <w:t xml:space="preserve">35.2024年野生动植物救助、监测及保护绩效目标表</w:t>
        </w:r>
        <w:r>
          <w:tab/>
        </w:r>
        <w:r>
          <w:fldChar w:fldCharType="begin"/>
        </w:r>
        <w:r>
          <w:instrText xml:space="preserve">PAGEREF _Toc_4_4_0000000038 \h</w:instrText>
        </w:r>
        <w:r>
          <w:fldChar w:fldCharType="separate"/>
        </w:r>
        <w:r>
          <w:t xml:space="preserve">51</w:t>
        </w:r>
        <w:r>
          <w:fldChar w:fldCharType="end"/>
        </w:r>
      </w:hyperlink>
    </w:p>
    <w:p>
      <w:pPr>
        <w:pStyle w:val="TOC1"/>
        <w:tabs>
          <w:tab w:val="right" w:leader="dot" w:pos="9282"/>
        </w:tabs>
      </w:pPr>
      <w:hyperlink w:anchor="_Toc_4_4_0000000039" w:history="1">
        <w:r>
          <w:rPr/>
          <w:t xml:space="preserve">36.2024年增设土地承包经营权登记系统和居住权登记系统绩效目标表</w:t>
        </w:r>
        <w:r>
          <w:tab/>
        </w:r>
        <w:r>
          <w:fldChar w:fldCharType="begin"/>
        </w:r>
        <w:r>
          <w:instrText xml:space="preserve">PAGEREF _Toc_4_4_0000000039 \h</w:instrText>
        </w:r>
        <w:r>
          <w:fldChar w:fldCharType="separate"/>
        </w:r>
        <w:r>
          <w:t xml:space="preserve">52</w:t>
        </w:r>
        <w:r>
          <w:fldChar w:fldCharType="end"/>
        </w:r>
      </w:hyperlink>
    </w:p>
    <w:p>
      <w:pPr>
        <w:pStyle w:val="TOC1"/>
        <w:tabs>
          <w:tab w:val="right" w:leader="dot" w:pos="9282"/>
        </w:tabs>
      </w:pPr>
      <w:hyperlink w:anchor="_Toc_4_4_0000000040" w:history="1">
        <w:r>
          <w:rPr/>
          <w:t xml:space="preserve">37.2024年政府购买继承公证服务绩效目标表</w:t>
        </w:r>
        <w:r>
          <w:tab/>
        </w:r>
        <w:r>
          <w:fldChar w:fldCharType="begin"/>
        </w:r>
        <w:r>
          <w:instrText xml:space="preserve">PAGEREF _Toc_4_4_0000000040 \h</w:instrText>
        </w:r>
        <w:r>
          <w:fldChar w:fldCharType="separate"/>
        </w:r>
        <w:r>
          <w:t xml:space="preserve">53</w:t>
        </w:r>
        <w:r>
          <w:fldChar w:fldCharType="end"/>
        </w:r>
      </w:hyperlink>
    </w:p>
    <w:p>
      <w:pPr>
        <w:pStyle w:val="TOC1"/>
        <w:tabs>
          <w:tab w:val="right" w:leader="dot" w:pos="9282"/>
        </w:tabs>
      </w:pPr>
      <w:hyperlink w:anchor="_Toc_4_4_0000000041" w:history="1">
        <w:r>
          <w:rPr/>
          <w:t xml:space="preserve">38.2024年中国海监唐山市曹妃甸区大队海洋监察执法综合地理信息服务绩效目标表</w:t>
        </w:r>
        <w:r>
          <w:tab/>
        </w:r>
        <w:r>
          <w:fldChar w:fldCharType="begin"/>
        </w:r>
        <w:r>
          <w:instrText xml:space="preserve">PAGEREF _Toc_4_4_0000000041 \h</w:instrText>
        </w:r>
        <w:r>
          <w:fldChar w:fldCharType="separate"/>
        </w:r>
        <w:r>
          <w:t xml:space="preserve">54</w:t>
        </w:r>
        <w:r>
          <w:fldChar w:fldCharType="end"/>
        </w:r>
      </w:hyperlink>
    </w:p>
    <w:p>
      <w:pPr>
        <w:pStyle w:val="TOC1"/>
        <w:tabs>
          <w:tab w:val="right" w:leader="dot" w:pos="9282"/>
        </w:tabs>
      </w:pPr>
      <w:hyperlink w:anchor="_Toc_4_4_0000000042" w:history="1">
        <w:r>
          <w:rPr/>
          <w:t xml:space="preserve">39.土地整治专项资金（唐财资环【2023】36号）绩效目标表</w:t>
        </w:r>
        <w:r>
          <w:tab/>
        </w:r>
        <w:r>
          <w:fldChar w:fldCharType="begin"/>
        </w:r>
        <w:r>
          <w:instrText xml:space="preserve">PAGEREF _Toc_4_4_0000000042 \h</w:instrText>
        </w:r>
        <w:r>
          <w:fldChar w:fldCharType="separate"/>
        </w:r>
        <w:r>
          <w:t xml:space="preserve">55</w:t>
        </w:r>
        <w:r>
          <w:fldChar w:fldCharType="end"/>
        </w:r>
      </w:hyperlink>
    </w:p>
    <w:p>
      <w:pPr>
        <w:pStyle w:val="TOC1"/>
        <w:tabs>
          <w:tab w:val="right" w:leader="dot" w:pos="9282"/>
        </w:tabs>
      </w:pPr>
      <w:hyperlink w:anchor="_Toc_4_4_0000000043" w:history="1">
        <w:r>
          <w:rPr/>
          <w:t xml:space="preserve">40.征地片区综合地价调整工作经费（唐财资环【2023】27号）绩效目标表</w:t>
        </w:r>
        <w:r>
          <w:tab/>
        </w:r>
        <w:r>
          <w:fldChar w:fldCharType="begin"/>
        </w:r>
        <w:r>
          <w:instrText xml:space="preserve">PAGEREF _Toc_4_4_0000000043 \h</w:instrText>
        </w:r>
        <w:r>
          <w:fldChar w:fldCharType="separate"/>
        </w:r>
        <w:r>
          <w:t xml:space="preserve">56</w:t>
        </w:r>
        <w:r>
          <w:fldChar w:fldCharType="end"/>
        </w:r>
      </w:hyperlink>
    </w:p>
    <w:p>
      <w:pPr>
        <w:pStyle w:val="TOC1"/>
        <w:tabs>
          <w:tab w:val="right" w:leader="dot" w:pos="9282"/>
        </w:tabs>
      </w:pPr>
      <w:hyperlink w:anchor="_Toc_4_4_0000000044" w:history="1">
        <w:r>
          <w:rPr/>
          <w:t xml:space="preserve">41.2024年收储中心办公经费绩效目标表</w:t>
        </w:r>
        <w:r>
          <w:tab/>
        </w:r>
        <w:r>
          <w:fldChar w:fldCharType="begin"/>
        </w:r>
        <w:r>
          <w:instrText xml:space="preserve">PAGEREF _Toc_4_4_0000000044 \h</w:instrText>
        </w:r>
        <w:r>
          <w:fldChar w:fldCharType="separate"/>
        </w:r>
        <w:r>
          <w:t xml:space="preserve">57</w:t>
        </w:r>
        <w:r>
          <w:fldChar w:fldCharType="end"/>
        </w:r>
      </w:hyperlink>
    </w:p>
    <w:p>
      <w:pPr>
        <w:pStyle w:val="TOC1"/>
        <w:tabs>
          <w:tab w:val="right" w:leader="dot" w:pos="9282"/>
        </w:tabs>
      </w:pPr>
      <w:hyperlink w:anchor="_Toc_4_4_0000000045" w:history="1">
        <w:r>
          <w:rPr/>
          <w:t xml:space="preserve">42.2024年收储中心前期业务费绩效目标表</w:t>
        </w:r>
        <w:r>
          <w:tab/>
        </w:r>
        <w:r>
          <w:fldChar w:fldCharType="begin"/>
        </w:r>
        <w:r>
          <w:instrText xml:space="preserve">PAGEREF _Toc_4_4_0000000045 \h</w:instrText>
        </w:r>
        <w:r>
          <w:fldChar w:fldCharType="separate"/>
        </w:r>
        <w:r>
          <w:t xml:space="preserve">58</w:t>
        </w:r>
        <w:r>
          <w:fldChar w:fldCharType="end"/>
        </w:r>
      </w:hyperlink>
    </w:p>
    <w:p>
      <w:pPr>
        <w:pStyle w:val="TOC1"/>
        <w:tabs>
          <w:tab w:val="right" w:leader="dot" w:pos="9282"/>
        </w:tabs>
      </w:pPr>
      <w:hyperlink w:anchor="_Toc_4_4_0000000046" w:history="1">
        <w:r>
          <w:rPr/>
          <w:t xml:space="preserve">43.2024年唐山曹妃甸县（市）区临港产业园施工工程量实测工程测绘费绩效目标表</w:t>
        </w:r>
        <w:r>
          <w:tab/>
        </w:r>
        <w:r>
          <w:fldChar w:fldCharType="begin"/>
        </w:r>
        <w:r>
          <w:instrText xml:space="preserve">PAGEREF _Toc_4_4_0000000046 \h</w:instrText>
        </w:r>
        <w:r>
          <w:fldChar w:fldCharType="separate"/>
        </w:r>
        <w:r>
          <w:t xml:space="preserve">59</w:t>
        </w:r>
        <w:r>
          <w:fldChar w:fldCharType="end"/>
        </w:r>
      </w:hyperlink>
    </w:p>
    <w:p>
      <w:pPr>
        <w:pStyle w:val="TOC1"/>
        <w:tabs>
          <w:tab w:val="right" w:leader="dot" w:pos="9282"/>
        </w:tabs>
      </w:pPr>
      <w:hyperlink w:anchor="_Toc_4_4_0000000047" w:history="1">
        <w:r>
          <w:rPr/>
          <w:t xml:space="preserve">44.2024年原曹妃甸九县（市）区临港产业园已投入开发建设费用评估服务费绩效目标表</w:t>
        </w:r>
        <w:r>
          <w:tab/>
        </w:r>
        <w:r>
          <w:fldChar w:fldCharType="begin"/>
        </w:r>
        <w:r>
          <w:instrText xml:space="preserve">PAGEREF _Toc_4_4_0000000047 \h</w:instrText>
        </w:r>
        <w:r>
          <w:fldChar w:fldCharType="separate"/>
        </w:r>
        <w:r>
          <w:t xml:space="preserve">60</w:t>
        </w:r>
        <w:r>
          <w:fldChar w:fldCharType="end"/>
        </w:r>
      </w:hyperlink>
    </w:p>
    <w:p>
      <w:pPr/>
      <w:r>
        <w:fldChar w:fldCharType="end"/>
      </w:r>
    </w:p>
    <w:p>
      <w:pPr>
        <w:sectPr>
          <w:footerReference w:type="even" r:id="rId93"/>
          <w:footerReference w:type="default" r:id="rId9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2024年，区自然资源和规划局将在区委、区政府的正确领导下，深入学习党的二十大精神，全面巩固学习贯彻习近平新时代中国特色社会主义思想主题教育成果，全面贯彻省市区各项安排部署，以高水平的规划和高标准的要素支撑，推动我区经济社会发展实现新突破。</w:t>
      </w:r>
    </w:p>
    <w:p>
      <w:pPr>
        <w:pStyle w:val="插入文本样式-插入总体目标文件"/>
      </w:pPr>
      <w:r>
        <w:t xml:space="preserve">（一）全面推进从严治党。强化宣传教育，通过党组会、中层干部会和专题会多种形式学习党的二十大精神、习近平总书记重要讲话精神、省市“两会”精神，及时传达党中央及省市区各项决策部署，不断提升政治判断力、政治领悟力、政治执行力。全面加强党组织建设，按照《中国共产党党和国家机关基层组织工作条例》《中国共产党支部工作条例（试行）》的规定，强化组织设置，落实工作职责，过好组织生活，全面创A，推进党建和业务融合共创。抓实意识形态建设，建好阵地，推动文明创建，凝聚思想共识。定期组织召开全局警示教育大会，通过观看廉政警示教育片、通报违纪违法事实，开展党组书记讲专题廉政党课等形式，对全局人员开展廉洁从政教育，切实改进工作作风。持续推进落实中央八项规定精神纠正“四风”问题，扎实开展“基层微腐败”“基层建设领域破坏营商环境”专项整治行动，为自然资源和规划工作健康持续发展提供有力保证。进一步健全完善各项规章制度，严肃制度执行，形成靠制度管人管事的常态化管理机制。强化理论学习，开办机关大讲堂，人人上台讲政策、讲业务、讲道德、讲法纪，统一思想、提升素质、锤炼品格，打造过硬干部队伍。</w:t>
      </w:r>
    </w:p>
    <w:p>
      <w:pPr>
        <w:pStyle w:val="插入文本样式-插入总体目标文件"/>
      </w:pPr>
      <w:r>
        <w:t xml:space="preserve">（二）持续推进规划编制和成果落实。全面落实国土空间总体规划，严格“三区三线”管理，加快新城控制性详细规划和城市风貌规划编制、曹妃甸城区（原唐海县城）控规修编，指导南堡控规修编、新城湿地旅游度假区控规编制，谋划启动临港产业组团控制性详细规划编制。联合农业农村局指导各镇政府加快推进镇一级国土空间总体规划和村庄规划编制，做好成果审批实施。</w:t>
      </w:r>
    </w:p>
    <w:p>
      <w:pPr>
        <w:pStyle w:val="插入文本样式-插入总体目标文件"/>
      </w:pPr>
      <w:r>
        <w:t xml:space="preserve">（三）强化要素保障支撑。发挥重点项目用地组卷报批、用海项目审批、推进国债项目三个专班作用，加大进京赴省跑办力度，全力做好唐山曹妃甸大宗物料长距离输送综合管廊工程、汉曹铁路和城市更新等项目的征收转用报批，加快推进南堡开发区北扩区土地征转，重点盯办四大储运基地、大宗物料长距离输送综合管廊项目用海确权审批手续办理，举全局之力为全区重点项目建设提供要素保障。按照“应处置、尽处置”原则，坚持“早动手、早安排”，从年初开始就加大新增闲置土地和未按期开（竣）工项目用地的处置力度，列明详单、明确属地责任，传导压力。持续严把用地供地关、存量处置关、政策落实关、项目监督关、处置考核关，做好源头管控和精准供地用地，落实增存挂钩，不断盘活土地资源，着力解决土地资源“紧缺”和“沉睡”的双重问题，全力解决批而未供和闲置土地“前清后增”问题</w:t>
      </w:r>
    </w:p>
    <w:p>
      <w:pPr>
        <w:pStyle w:val="插入文本样式-插入总体目标文件"/>
      </w:pPr>
      <w:r>
        <w:t xml:space="preserve">（四）严抓生态资源保护。严守耕地和基本农田红线，以“田长制”为抓手，持续压实耕地保护责任。加强与基层执法队伍沟通对接，做好巡查、监管、督导，强化违法占地、耕地流出整改等工作，坚决遏制耕地“非农化”、防止“非粮化”。抓好土地开发整理，积极对接相关场镇，督促指导推进土地复垦工作，加快占补平衡项目建设。督促指导各单位做好造林绿化、养护和病虫害防治等工作，推进省级森林城市创建。持续推进“林长制”运行，督导各级林长按照要求开展巡林工作。持续开展野生动物保护巡察，依法严厉打击野生动植物资源领域违法犯罪，保障生态安全。继续对湿地和鸟类省级自然保护区核心保护区实施封闭管理，实施保护区生态修复，重点抓好保护区生态补水、泵站管护、渠道治理、生态养护放流、防火减灾等项工作，提升自然保护区保护管理水平。推进地热能科学合法开发利用，严打违规地热井。</w:t>
      </w:r>
    </w:p>
    <w:p>
      <w:pPr>
        <w:pStyle w:val="插入文本样式-插入总体目标文件"/>
      </w:pPr>
      <w:r>
        <w:t xml:space="preserve">（五）优化政务服务环境。统筹主动服务和严格审核的关系，协同联动，提前介入项目选址、选线、可研，将用地用海要素前置要求落实到项目前期，帮助项目少走弯路。积极跑办项目用海手续，推进“项目管家”全链条服务机制，全力保障报件的正当性、规范性、完整性，最大限度减少材料补充环节，为项目早开工争取“黄金时间”。深入推进“交地即交证”“交房即交证”改革，符合条件的新供地项目100%实现“交地即交证”、更多新建商品房项目实现“交房即交证”。紧密对接农业农村局，全面推动土地承包经营权和土地经营权登记功能线上运行。总结柳赞镇蚕沙口村登记颁证工作经验，推进柳赞镇和滨海镇房地一体宅基地确权登记工作全面铺开。认真学习习近平总书记“四下基层”的重要指示精神，聚焦群众所需所盼，脚踏实地走入群众之中，下沉一线、找准视角，开展调查研究，倾听群众呼声、回应群众关切、反映群众诉求。</w:t>
      </w:r>
    </w:p>
    <w:p>
      <w:pPr>
        <w:pStyle w:val="插入文本样式-插入总体目标文件"/>
      </w:pPr>
      <w:r>
        <w:t xml:space="preserve">（六）防范化解风险隐患。进一步强化执法力度，加强日常巡查，对发现的问题及时函告属地场镇进行整改。加强对基层执法工作的指导，提高执法水平，有效打击各类自然资源违法行为。利用卫片执法全面排查，坚决制止新增违法占地问题。加强海域资源管理，发挥海监执法、平台监测、卫片执法作用，严厉打击违法围填海、违法网箱养殖和破坏海草床行为，切实做好海域资源的开发、利用和保护工作。常态化开展海洋预报预警信息收集、共享、发布等工作，全力防范化解重大海洋灾害风险。加强对纳入政府储备土地管护，对全区储备土地进行现场排查和督导整改，及时有效处置侵害储备土地权利行为。抓好系统内安全生产，重点围绕森林草原防火、湿地防火和测绘行业安全生产监管等方面开展日常监督检查，坚决遏制各类生产安全事故发生。积极开展矛盾纠纷排查化解工作，完善主动约访工作制度，着力解决用地审批、不动产登记、规划管理等问题引发的信访事件。提高12345政务服务便民热线交办问题处置效率，及时解决群众“急难愁盼”问题。</w:t>
      </w:r>
    </w:p>
    <w:p>
      <w:pPr>
        <w:pStyle w:val="插入文本样式-插入总体目标文件"/>
      </w:pPr>
      <w:r>
        <w:t xml:space="preserve">（七）做好海洋督察整改工作。充分发挥牵头抓总作用，建立督察问题整改快速反应机制，对督察发现交办问题，扎实推进整改，确保问题有效解决。</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p>
    <w:p>
      <w:pPr>
        <w:pStyle w:val="插入文本样式-插入职责分类绩效目标文件"/>
      </w:pPr>
      <w:r>
        <w:t xml:space="preserve">（一）2023年海洋生态保护修复资金</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r>
        <w:t xml:space="preserve">（二）2023年省级自然资源重点生态保护修复专项资金</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（三）2024年编制曹妃甸区“十四五”国土绿化规划</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绩效指标：完成数量指标、质量指标；时效指标：及时完成；成本指标:控制资金成本；效益指标：可持续影响指标；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（四）2024年不动产登记系统服务费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（五）2024年不动产登记系统延伸服务建设项目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（六）2024年不动产登记证书、证明采购</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p>
    <w:p>
      <w:pPr>
        <w:pStyle w:val="插入文本样式-插入职责分类绩效目标文件"/>
      </w:pPr>
      <w:r>
        <w:t xml:space="preserve">（七）2024年曹妃甸区柳赞镇集体土地农村宅基地房地一体登记项目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（八）2024年曹妃甸区全民所有自然资源资产清查工作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绩效指标：完成数量指标、质量指标；时效指标：及时完成；成本指标:控制资金成本；效益指标：可持续影响指标；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（九）2024年曹妃甸区园、林、草基准地价制定工作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（十）2024年劳务派遣、海监船员、自收自支人员工资</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（十一）2024年林草生物外来入侵物种普查</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（十二）2024年唐山曹妃甸经济技术开发区及曹妃甸综合保税区土地集约利用更新评价工作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（十三）2024年巡护巡查费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（十四）2024年自然资源和规划卫片执法、巡查执法、其他国土资源矿产资源管理运行经费等</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（十五）耕地资源质量分类年度更新与监测资金（唐财资环【2023】25号</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（十六）2023年上半年国土变更调查资金</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（十七）2023年土地整治专项资金（唐财资环【2023】51-3号）</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（十八）2023年下半年国土变更调查资金</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（十九）2024年编制曹妃甸区林地利用保护规划</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（二十）2024年拨2023年耕地流出及耕地卫片监督核实整改、永久基本农田核实处置工作工作、村队搬迁土地复垦规划设计专项技术服务项目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（二十一）2024年不动产数据质量更新</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（二十二）2024年曹妃甸国土空间规划、生态环境保护规划、实施评估规划编制等</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（二十三）2024年曹妃甸区城镇低效用地再开发专项规划编制工作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（二十四）2024年曹妃甸区具体项目压覆矿产资源评估报告、地质灾害危险性评估报告</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（二十五）2024年曹妃甸区全民所有自然资源资产清查工作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绩效指标：完成数量指标、质量指标；时效指标：及时完成；成本指标:控制资金成本；效益指标：可持续影响指标；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（二十六）2024年曹妃甸区十二个项目套核风景名胜区重叠分析二十五个项目套核三调数据核查项目区耕地第二批储备补充耕地核查项目储备补充耕地定期季度巡查服务费用占补平衡项目卷宗审查服务费用</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（二十七）2024年曹妃甸区项目用海、围填海历史遗留问题处理监管、节约集约示范县创建中期评估、养殖用海整体海域使用论证工作、海岸带综合保护与利用规划编制、海域使用权存量数据坐标系转换及专家顾</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（二十八）2024年付2022-2024年进出平衡工作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（二十九）2024年付2023年曹妃甸区风暴潮灾害预警监控运维保障及能力提升项目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（三十）2024年购买林业有害生物防治药品</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（三十一）2024年购置堡垒机</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绩效指标：完成数量指标、质量指标；时效指标：及时完成；成本指标:控制资金成本；效益指标：服务对象满意度指标；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（三十二）2024年核实对接卫片数据服务费、执法图斑宗地图测绘费用</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（三十三）2024年唐山市曹妃甸区规划编制费用</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（三十四）2024年现场核实及测绘服务采购</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（三十五）2024年野生动植物救助、监测及保护</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（三十六) 2024年增设土地承包经营权登记系统和居住权登记系统</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（三十七）2024年政府购买继承公证服务</w:t>
      </w:r>
    </w:p>
    <w:p>
      <w:pPr>
        <w:pStyle w:val="插入文本样式-插入职责分类绩效目标文件"/>
      </w:pPr>
      <w:r>
        <w:t xml:space="preserve">绩效目标：完成目标</w:t>
      </w:r>
    </w:p>
    <w:p>
      <w:pPr>
        <w:pStyle w:val="插入文本样式-插入职责分类绩效目标文件"/>
      </w:pPr>
      <w:r>
        <w:t xml:space="preserve">绩效指标：完成数量指标、社会效益指标</w:t>
      </w:r>
    </w:p>
    <w:p>
      <w:pPr>
        <w:pStyle w:val="插入文本样式-插入职责分类绩效目标文件"/>
      </w:pPr>
      <w:r>
        <w:t xml:space="preserve">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（三十八）2024年中国海监唐山市曹妃甸区大队海洋监察执法综合地理信息服务</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（三十九）土地整治专项资金（唐财资环【2023】36号）</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（四十）征地片区综合地价调整工作经费（唐财资环【2023】27号）</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（四十一）2024年收储中心办公经费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绩效指标：完成数量指标、质量指标；时效指标：及时完成；成本指标:控制资金成本；效益指标：可持续影响指标；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（四十二）2024年收储中心前期业务费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pStyle w:val="插入文本样式-插入职责分类绩效目标文件"/>
      </w:pPr>
      <w:r>
        <w:t xml:space="preserve">（四十三）2024年唐山曹妃甸县（市）区临港产业园施工工程量实测工程测绘费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绩效指标：完成数量指标、质量指标；时效指标：及时完成；成本指标:控制资金成本；效益指标：可持续影响指标；</w:t>
      </w:r>
    </w:p>
    <w:p>
      <w:pPr>
        <w:pStyle w:val="插入文本样式-插入职责分类绩效目标文件"/>
      </w:pPr>
      <w:r>
        <w:t xml:space="preserve">满意度指标：服务对象满意指标。</w:t>
      </w:r>
    </w:p>
    <w:p>
      <w:pPr>
        <w:pStyle w:val="插入文本样式-插入职责分类绩效目标文件"/>
      </w:pPr>
      <w:r>
        <w:t xml:space="preserve">（四十四）2024年原曹妃甸九县（市）区临港产业园已投入开发建设费用评估服务费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（一）完善制度建设。制定完善预算绩效管理制度、资金管理办法、工作保障制度等，为全年预算绩效目标的实现奠定制度基础。</w:t>
      </w:r>
    </w:p>
    <w:p>
      <w:pPr>
        <w:pStyle w:val="插入文本样式-插入实现年度发展规划目标的保障措施文件"/>
      </w:pPr>
      <w:r>
        <w:t xml:space="preserve">（二）加强支出管理。通过优化支出结构、编细编实预算、加快履行政府采购手续、尽快启动项目、及时支付资金、预算、按规定及时下达资金等多种措施，确保支出进度达标。</w:t>
      </w:r>
    </w:p>
    <w:p>
      <w:pPr>
        <w:pStyle w:val="插入文本样式-插入实现年度发展规划目标的保障措施文件"/>
      </w:pPr>
      <w:r>
        <w:t xml:space="preserve">（三）加强绩效运行监控。按要求开展绩效运行监控，发现问题及时采取措施，确保绩效目标如期保质实现。</w:t>
      </w:r>
    </w:p>
    <w:p>
      <w:pPr>
        <w:pStyle w:val="插入文本样式-插入实现年度发展规划目标的保障措施文件"/>
      </w:pPr>
      <w:r>
        <w:t xml:space="preserve">(四) 做好绩效自评。重视全面预算管理，完善绩效评价制度，正确选择绩效评分析工具，并重视评估结果的反馈，建立健全绩效评机制。建立健全预算管理控制制度，加大评价力度，保证各项工作有序执行。</w:t>
      </w:r>
    </w:p>
    <w:p>
      <w:pPr>
        <w:pStyle w:val="插入文本样式-插入实现年度发展规划目标的保障措施文件"/>
      </w:pPr>
      <w:r>
        <w:t xml:space="preserve">（五）规范财务资产管理。完善财务管理制度，严格审批程序，加强固定资产登记、使用和报废处置管理，做到支出合理，物尽其用。</w:t>
      </w:r>
    </w:p>
    <w:p>
      <w:pPr>
        <w:pStyle w:val="插入文本样式-插入实现年度发展规划目标的保障措施文件"/>
      </w:pPr>
      <w: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1.2023年海洋生态保护修复资金绩效目标表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13020923P000363100013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2023年海洋生态保护修复资金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1242.81</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1242.81</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完成海洋生态保护修复专项工作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1.完成海洋生态保护修复专项工作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完成项目数量</w:t>
            </w:r>
          </w:p>
        </w:tc>
        <w:tc>
          <w:tcPr>
            <w:tcW w:w="2891" w:type="dxa"/>
            <w:hMerge w:val="restart"/>
            <w:vAlign w:val="center"/>
          </w:tcPr>
          <w:p>
            <w:pPr>
              <w:pStyle w:val="单元格样式2"/>
            </w:pPr>
            <w:r>
              <w:t xml:space="preserve">完成项目数量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唐财资环【2022】62号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唐财资环【2022】62号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各项工作完成及时率</w:t>
            </w:r>
          </w:p>
        </w:tc>
        <w:tc>
          <w:tcPr>
            <w:tcW w:w="2891" w:type="dxa"/>
            <w:hMerge w:val="restart"/>
            <w:vAlign w:val="center"/>
          </w:tcPr>
          <w:p>
            <w:pPr>
              <w:pStyle w:val="单元格样式2"/>
            </w:pPr>
            <w:r>
              <w:t xml:space="preserve">各项工作完成及时率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唐财资环【2022】62号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≤1860.8万元</w:t>
            </w:r>
          </w:p>
        </w:tc>
        <w:tc>
          <w:tcPr>
            <w:tcW w:w="1843" w:type="dxa"/>
            <w:vAlign w:val="center"/>
          </w:tcPr>
          <w:p>
            <w:pPr>
              <w:pStyle w:val="单元格样式2"/>
            </w:pPr>
            <w:r>
              <w:t xml:space="preserve">唐财资环【2022】62号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生态效益增长率</w:t>
            </w:r>
          </w:p>
        </w:tc>
        <w:tc>
          <w:tcPr>
            <w:tcW w:w="0" w:type="auto"/>
            <w:hMerge/>
            <w:vAlign w:val="center"/>
          </w:tcPr>
          <w:p>
            <w:pPr/>
          </w:p>
        </w:tc>
        <w:tc>
          <w:tcPr>
            <w:tcW w:w="1276" w:type="dxa"/>
            <w:vAlign w:val="center"/>
          </w:tcPr>
          <w:p>
            <w:pPr>
              <w:pStyle w:val="单元格样式2"/>
            </w:pPr>
            <w:r>
              <w:t xml:space="preserve">≥20%</w:t>
            </w:r>
          </w:p>
        </w:tc>
        <w:tc>
          <w:tcPr>
            <w:tcW w:w="1843" w:type="dxa"/>
            <w:vAlign w:val="center"/>
          </w:tcPr>
          <w:p>
            <w:pPr>
              <w:pStyle w:val="单元格样式2"/>
            </w:pPr>
            <w:r>
              <w:t xml:space="preserve">唐财资环【2022】62号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唐财资环【2022】62号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2.2023年省级自然资源重点生态保护修复专项资金绩效目标表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13020923P00036210001D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2023年省级自然资源重点生态保护修复专项资金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完成自然资源重点生态保护修复工作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1.完成自然资源重点生态保护修复工作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完成项目数量</w:t>
            </w:r>
          </w:p>
        </w:tc>
        <w:tc>
          <w:tcPr>
            <w:tcW w:w="2891" w:type="dxa"/>
            <w:hMerge w:val="restart"/>
            <w:vAlign w:val="center"/>
          </w:tcPr>
          <w:p>
            <w:pPr>
              <w:pStyle w:val="单元格样式2"/>
            </w:pPr>
            <w:r>
              <w:t xml:space="preserve">完成项目数量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上级专款</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上级专款</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项目执行效率</w:t>
            </w:r>
          </w:p>
        </w:tc>
        <w:tc>
          <w:tcPr>
            <w:tcW w:w="2891" w:type="dxa"/>
            <w:hMerge w:val="restart"/>
            <w:vAlign w:val="center"/>
          </w:tcPr>
          <w:p>
            <w:pPr>
              <w:pStyle w:val="单元格样式2"/>
            </w:pPr>
            <w:r>
              <w:t xml:space="preserve">项目执行效率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上级专款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项目资金总额</w:t>
            </w:r>
          </w:p>
        </w:tc>
        <w:tc>
          <w:tcPr>
            <w:tcW w:w="2891" w:type="dxa"/>
            <w:hMerge w:val="restart"/>
            <w:vAlign w:val="center"/>
          </w:tcPr>
          <w:p>
            <w:pPr>
              <w:pStyle w:val="单元格样式2"/>
            </w:pPr>
            <w:r>
              <w:t xml:space="preserve">项目资金总额</w:t>
            </w:r>
          </w:p>
        </w:tc>
        <w:tc>
          <w:tcPr>
            <w:tcW w:w="0" w:type="auto"/>
            <w:hMerge/>
            <w:vAlign w:val="center"/>
          </w:tcPr>
          <w:p>
            <w:pPr/>
          </w:p>
        </w:tc>
        <w:tc>
          <w:tcPr>
            <w:tcW w:w="1276" w:type="dxa"/>
            <w:vAlign w:val="center"/>
          </w:tcPr>
          <w:p>
            <w:pPr>
              <w:pStyle w:val="单元格样式2"/>
            </w:pPr>
            <w:r>
              <w:t xml:space="preserve">≤1000万</w:t>
            </w:r>
          </w:p>
        </w:tc>
        <w:tc>
          <w:tcPr>
            <w:tcW w:w="1843" w:type="dxa"/>
            <w:vAlign w:val="center"/>
          </w:tcPr>
          <w:p>
            <w:pPr>
              <w:pStyle w:val="单元格样式2"/>
            </w:pPr>
            <w:r>
              <w:t xml:space="preserve">上级专款</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生态效益增值率</w:t>
            </w:r>
          </w:p>
        </w:tc>
        <w:tc>
          <w:tcPr>
            <w:tcW w:w="2891" w:type="dxa"/>
            <w:hMerge w:val="restart"/>
            <w:vAlign w:val="center"/>
          </w:tcPr>
          <w:p>
            <w:pPr>
              <w:pStyle w:val="单元格样式2"/>
            </w:pPr>
            <w:r>
              <w:t xml:space="preserve">项目实施后生态效益增长率</w:t>
            </w:r>
          </w:p>
        </w:tc>
        <w:tc>
          <w:tcPr>
            <w:tcW w:w="0" w:type="auto"/>
            <w:hMerge/>
            <w:vAlign w:val="center"/>
          </w:tcPr>
          <w:p>
            <w:pPr/>
          </w:p>
        </w:tc>
        <w:tc>
          <w:tcPr>
            <w:tcW w:w="1276" w:type="dxa"/>
            <w:vAlign w:val="center"/>
          </w:tcPr>
          <w:p>
            <w:pPr>
              <w:pStyle w:val="单元格样式2"/>
            </w:pPr>
            <w:r>
              <w:t xml:space="preserve">≥20%</w:t>
            </w:r>
          </w:p>
        </w:tc>
        <w:tc>
          <w:tcPr>
            <w:tcW w:w="1843" w:type="dxa"/>
            <w:vAlign w:val="center"/>
          </w:tcPr>
          <w:p>
            <w:pPr>
              <w:pStyle w:val="单元格样式2"/>
            </w:pPr>
            <w:r>
              <w:t xml:space="preserve">上级专款</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上级专款</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3.2024年编制曹妃甸区“十四五”国土绿化规划绩效目标表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13020924P00080910001Y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2024年编制曹妃甸区“十四五”国土绿化规划</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提交技术成果资料</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1.提交技术成果资料</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≤19.6万元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服务业务工作效率</w:t>
            </w:r>
          </w:p>
        </w:tc>
        <w:tc>
          <w:tcPr>
            <w:tcW w:w="2891" w:type="dxa"/>
            <w:hMerge w:val="restart"/>
            <w:vAlign w:val="center"/>
          </w:tcPr>
          <w:p>
            <w:pPr>
              <w:pStyle w:val="单元格样式2"/>
            </w:pPr>
            <w:r>
              <w:t xml:space="preserve">服务业务工作效率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4.2024年不动产登记系统服务费绩效目标表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13020924P00080310004P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2024年不动产登记系统服务费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全面完成登记机构、登记簿册、登记依据和信息平台“四统一”的改革目标，为加强不动产登记信息管理基础平台建设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1.全面完成登记机构、登记簿册、登记依据和信息平台“四统一”的改革目标，为加强不动产登记信息管理基础平台建设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登记发证比例</w:t>
            </w:r>
          </w:p>
        </w:tc>
        <w:tc>
          <w:tcPr>
            <w:tcW w:w="2891" w:type="dxa"/>
            <w:hMerge w:val="restart"/>
            <w:vAlign w:val="center"/>
          </w:tcPr>
          <w:p>
            <w:pPr>
              <w:pStyle w:val="单元格样式2"/>
            </w:pPr>
            <w:r>
              <w:t xml:space="preserve">提升登记发证比例</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据中共自然资源部党组文件《关于开展不动产登记窗口作风问题专项整治工作的通知》自然资党发[2018]7号文件要求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确权登记符合标准比例</w:t>
            </w:r>
          </w:p>
        </w:tc>
        <w:tc>
          <w:tcPr>
            <w:tcW w:w="2891" w:type="dxa"/>
            <w:hMerge w:val="restart"/>
            <w:vAlign w:val="center"/>
          </w:tcPr>
          <w:p>
            <w:pPr>
              <w:pStyle w:val="单元格样式2"/>
            </w:pPr>
            <w:r>
              <w:t xml:space="preserve">提升确权登记符合标准比例</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据中共自然资源部党组文件《关于开展不动产登记窗口作风问题专项整治工作的通知》自然资党发[2018]7号文件要求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hMerge w:val="restart"/>
            <w:vAlign w:val="center"/>
          </w:tcPr>
          <w:p>
            <w:pPr>
              <w:pStyle w:val="单元格样式2"/>
            </w:pPr>
            <w:r>
              <w:t xml:space="preserve">年度完成工作时间</w:t>
            </w:r>
          </w:p>
        </w:tc>
        <w:tc>
          <w:tcPr>
            <w:tcW w:w="0" w:type="auto"/>
            <w:hMerge/>
            <w:vAlign w:val="center"/>
          </w:tcPr>
          <w:p>
            <w:pPr/>
          </w:p>
        </w:tc>
        <w:tc>
          <w:tcPr>
            <w:tcW w:w="1276" w:type="dxa"/>
            <w:vAlign w:val="center"/>
          </w:tcPr>
          <w:p>
            <w:pPr>
              <w:pStyle w:val="单元格样式2"/>
            </w:pPr>
            <w:r>
              <w:t xml:space="preserve">≤12.3112月31日</w:t>
            </w:r>
          </w:p>
        </w:tc>
        <w:tc>
          <w:tcPr>
            <w:tcW w:w="1843" w:type="dxa"/>
            <w:vAlign w:val="center"/>
          </w:tcPr>
          <w:p>
            <w:pPr>
              <w:pStyle w:val="单元格样式2"/>
            </w:pPr>
            <w:r>
              <w:t xml:space="preserve">据中共自然资源部党组文件《关于开展不动产登记窗口作风问题专项整治工作的通知》自然资党发[2018]7号文件要求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hMerge w:val="restart"/>
            <w:vAlign w:val="center"/>
          </w:tcPr>
          <w:p>
            <w:pPr>
              <w:pStyle w:val="单元格样式2"/>
            </w:pPr>
            <w:r>
              <w:t xml:space="preserve">项目成本</w:t>
            </w:r>
          </w:p>
        </w:tc>
        <w:tc>
          <w:tcPr>
            <w:tcW w:w="0" w:type="auto"/>
            <w:hMerge/>
            <w:vAlign w:val="center"/>
          </w:tcPr>
          <w:p>
            <w:pPr/>
          </w:p>
        </w:tc>
        <w:tc>
          <w:tcPr>
            <w:tcW w:w="1276" w:type="dxa"/>
            <w:vAlign w:val="center"/>
          </w:tcPr>
          <w:p>
            <w:pPr>
              <w:pStyle w:val="单元格样式2"/>
            </w:pPr>
            <w:r>
              <w:t xml:space="preserve">≤19.8万元</w:t>
            </w:r>
          </w:p>
        </w:tc>
        <w:tc>
          <w:tcPr>
            <w:tcW w:w="1843" w:type="dxa"/>
            <w:vAlign w:val="center"/>
          </w:tcPr>
          <w:p>
            <w:pPr>
              <w:pStyle w:val="单元格样式2"/>
            </w:pPr>
            <w:r>
              <w:t xml:space="preserve">据中共自然资源部党组文件《关于开展不动产登记窗口作风问题专项整治工作的通知》自然资党发[2018]7号文件要求</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提升项目实现功能</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据中共自然资源部党组文件《关于开展不动产登记窗口作风问题专项整治工作的通知》自然资党发[2018]7号文件要求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提升服务对象满意度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据中共自然资源部党组文件《关于开展不动产登记窗口作风问题专项整治工作的通知》自然资党发[2018]7号文件要求</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5.2024年不动产登记系统延伸服务建设项目绩效目标表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13020924P000808100019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2024年不动产登记系统延伸服务建设项目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21.16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21.16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完成不动产登记系统延伸服务建设，优化政务平台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1.完成不动产登记系统延伸服务建设，优化政务平台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≤21.16万元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工作内容生态文明建设目标符合度</w:t>
            </w:r>
          </w:p>
        </w:tc>
        <w:tc>
          <w:tcPr>
            <w:tcW w:w="2891" w:type="dxa"/>
            <w:hMerge w:val="restart"/>
            <w:vAlign w:val="center"/>
          </w:tcPr>
          <w:p>
            <w:pPr>
              <w:pStyle w:val="单元格样式2"/>
            </w:pPr>
            <w:r>
              <w:t xml:space="preserve">工作内容生态文明建设目标符合度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6.2024年不动产登记证书、证明采购绩效目标表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13020924P00080410001J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2024年不动产登记证书、证明采购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购买不动产登记证书证明</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1.购买不动产登记证书证明</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提高社会效益</w:t>
            </w:r>
          </w:p>
        </w:tc>
        <w:tc>
          <w:tcPr>
            <w:tcW w:w="2891" w:type="dxa"/>
            <w:hMerge w:val="restart"/>
            <w:vAlign w:val="center"/>
          </w:tcPr>
          <w:p>
            <w:pPr>
              <w:pStyle w:val="单元格样式2"/>
            </w:pPr>
            <w:r>
              <w:t xml:space="preserve">提高社会效益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7.2024年曹妃甸区柳赞镇集体土地农村宅基地房地一体登记项目绩效目标表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13020924P000805100018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2024年曹妃甸区柳赞镇集体土地农村宅基地房地一体登记项目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完成柳赞镇集体土地农村宅基地房地一体登记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1.完成柳赞镇集体土地农村宅基地房地一体登记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≤30万元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提高社会效益</w:t>
            </w:r>
          </w:p>
        </w:tc>
        <w:tc>
          <w:tcPr>
            <w:tcW w:w="2891" w:type="dxa"/>
            <w:hMerge w:val="restart"/>
            <w:vAlign w:val="center"/>
          </w:tcPr>
          <w:p>
            <w:pPr>
              <w:pStyle w:val="单元格样式2"/>
            </w:pPr>
            <w:r>
              <w:t xml:space="preserve">提高社会效益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8.2024年曹妃甸区全民所有自然资源资产清查工作绩效目标表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13020924P000813100014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2024年曹妃甸区全民所有自然资源资产清查工作</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完成清查工作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1.完成清查工作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≤40万元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服务业务工作效率</w:t>
            </w:r>
          </w:p>
        </w:tc>
        <w:tc>
          <w:tcPr>
            <w:tcW w:w="2891" w:type="dxa"/>
            <w:hMerge w:val="restart"/>
            <w:vAlign w:val="center"/>
          </w:tcPr>
          <w:p>
            <w:pPr>
              <w:pStyle w:val="单元格样式2"/>
            </w:pPr>
            <w:r>
              <w:t xml:space="preserve">服务业务工作效率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9.2024年曹妃甸区园、林、草基准地价制定工作绩效目标表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13020924P00081210001E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2024年曹妃甸区园、林、草基准地价制定工作</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完成园林草基准地价制定工作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1.完成园林草基准地价制定工作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≤15万元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工作内容生态文明建设目标符合度</w:t>
            </w:r>
          </w:p>
        </w:tc>
        <w:tc>
          <w:tcPr>
            <w:tcW w:w="2891" w:type="dxa"/>
            <w:hMerge w:val="restart"/>
            <w:vAlign w:val="center"/>
          </w:tcPr>
          <w:p>
            <w:pPr>
              <w:pStyle w:val="单元格样式2"/>
            </w:pPr>
            <w:r>
              <w:t xml:space="preserve">工作内容生态文明建设目标符合度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10.2024年劳务派遣、海监船员、自收自支人员工资绩效目标表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13020924P00079710001W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2024年劳务派遣、海监船员、自收自支人员工资</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完成人员工资及保险支付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1.完成人员工资及保险支付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≤318万元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提高社会效益</w:t>
            </w:r>
          </w:p>
        </w:tc>
        <w:tc>
          <w:tcPr>
            <w:tcW w:w="2891" w:type="dxa"/>
            <w:hMerge w:val="restart"/>
            <w:vAlign w:val="center"/>
          </w:tcPr>
          <w:p>
            <w:pPr>
              <w:pStyle w:val="单元格样式2"/>
            </w:pPr>
            <w:r>
              <w:t xml:space="preserve">提高社会效益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11.2024年林草生物外来入侵物种普查绩效目标表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13020924P00081110004K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2024年林草生物外来入侵物种普查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对林草生物外来入侵物种进行普查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1.依据《中华人民共和国生物安全法》，对林草生物外来入侵物种进行普查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种质资源普查与征集份数</w:t>
            </w:r>
          </w:p>
        </w:tc>
        <w:tc>
          <w:tcPr>
            <w:tcW w:w="2891" w:type="dxa"/>
            <w:hMerge w:val="restart"/>
            <w:vAlign w:val="center"/>
          </w:tcPr>
          <w:p>
            <w:pPr>
              <w:pStyle w:val="单元格样式2"/>
            </w:pPr>
            <w:r>
              <w:t xml:space="preserve">种质资源普查与征集份数</w:t>
            </w:r>
          </w:p>
        </w:tc>
        <w:tc>
          <w:tcPr>
            <w:tcW w:w="0" w:type="auto"/>
            <w:hMerge/>
            <w:vAlign w:val="center"/>
          </w:tcPr>
          <w:p>
            <w:pPr/>
          </w:p>
        </w:tc>
        <w:tc>
          <w:tcPr>
            <w:tcW w:w="1276" w:type="dxa"/>
            <w:vAlign w:val="center"/>
          </w:tcPr>
          <w:p>
            <w:pPr>
              <w:pStyle w:val="单元格样式2"/>
            </w:pPr>
            <w:r>
              <w:t xml:space="preserve">≥1份</w:t>
            </w:r>
          </w:p>
        </w:tc>
        <w:tc>
          <w:tcPr>
            <w:tcW w:w="1843" w:type="dxa"/>
            <w:vAlign w:val="center"/>
          </w:tcPr>
          <w:p>
            <w:pPr>
              <w:pStyle w:val="单元格样式2"/>
            </w:pPr>
            <w:r>
              <w:t xml:space="preserve">依据《中华人民共和国生物安全法》，该项目通过询价方式确定的中选单位和价格，价格为19.6万元</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符合全省自然灾害普查质量要求</w:t>
            </w:r>
          </w:p>
        </w:tc>
        <w:tc>
          <w:tcPr>
            <w:tcW w:w="2891" w:type="dxa"/>
            <w:hMerge w:val="restart"/>
            <w:vAlign w:val="center"/>
          </w:tcPr>
          <w:p>
            <w:pPr>
              <w:pStyle w:val="单元格样式2"/>
            </w:pPr>
            <w:r>
              <w:t xml:space="preserve">按照普查质量要求</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依据《中华人民共和国生物安全法》，该项目通过询价方式确定的中选单位和价格，价格为19.6万元</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hMerge w:val="restart"/>
            <w:vAlign w:val="center"/>
          </w:tcPr>
          <w:p>
            <w:pPr>
              <w:pStyle w:val="单元格样式2"/>
            </w:pPr>
            <w:r>
              <w:t xml:space="preserve">完成工作及时</w:t>
            </w:r>
          </w:p>
        </w:tc>
        <w:tc>
          <w:tcPr>
            <w:tcW w:w="0" w:type="auto"/>
            <w:hMerge/>
            <w:vAlign w:val="center"/>
          </w:tcPr>
          <w:p>
            <w:pPr/>
          </w:p>
        </w:tc>
        <w:tc>
          <w:tcPr>
            <w:tcW w:w="1276" w:type="dxa"/>
            <w:vAlign w:val="center"/>
          </w:tcPr>
          <w:p>
            <w:pPr>
              <w:pStyle w:val="单元格样式2"/>
            </w:pPr>
            <w:r>
              <w:t xml:space="preserve">12月31日前</w:t>
            </w:r>
          </w:p>
        </w:tc>
        <w:tc>
          <w:tcPr>
            <w:tcW w:w="1843" w:type="dxa"/>
            <w:vAlign w:val="center"/>
          </w:tcPr>
          <w:p>
            <w:pPr>
              <w:pStyle w:val="单元格样式2"/>
            </w:pPr>
            <w:r>
              <w:t xml:space="preserve">依据《中华人民共和国生物安全法》，该项目通过询价方式确定的中选单位和价格，价格为19.6万元</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项目总成本金额</w:t>
            </w:r>
          </w:p>
        </w:tc>
        <w:tc>
          <w:tcPr>
            <w:tcW w:w="0" w:type="auto"/>
            <w:hMerge/>
            <w:vAlign w:val="center"/>
          </w:tcPr>
          <w:p>
            <w:pPr/>
          </w:p>
        </w:tc>
        <w:tc>
          <w:tcPr>
            <w:tcW w:w="1276" w:type="dxa"/>
            <w:vAlign w:val="center"/>
          </w:tcPr>
          <w:p>
            <w:pPr>
              <w:pStyle w:val="单元格样式2"/>
            </w:pPr>
            <w:r>
              <w:t xml:space="preserve">≤19.6万元</w:t>
            </w:r>
          </w:p>
        </w:tc>
        <w:tc>
          <w:tcPr>
            <w:tcW w:w="1843" w:type="dxa"/>
            <w:vAlign w:val="center"/>
          </w:tcPr>
          <w:p>
            <w:pPr>
              <w:pStyle w:val="单元格样式2"/>
            </w:pPr>
            <w:r>
              <w:t xml:space="preserve">依据《中华人民共和国生物安全法》，该项目通过询价方式确定的中选单位和价格，价格为19.6万元</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生态效益提升值%</w:t>
            </w:r>
          </w:p>
        </w:tc>
        <w:tc>
          <w:tcPr>
            <w:tcW w:w="2891" w:type="dxa"/>
            <w:hMerge w:val="restart"/>
            <w:vAlign w:val="center"/>
          </w:tcPr>
          <w:p>
            <w:pPr>
              <w:pStyle w:val="单元格样式2"/>
            </w:pPr>
            <w:r>
              <w:t xml:space="preserve">生态效益提升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依据《中华人民共和国生物安全法》，该项目通过询价方式确定的中选单位和价格，价格为19.6万元</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提升服务对象满意度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依据《中华人民共和国生物安全法》，该项目通过询价方式确定的中选单位和价格，价格为19.6万元</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12.2024年唐山曹妃甸经济技术开发区及曹妃甸综合保税区土地集约利用更新评价工作绩效目标表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13020924P00080610001X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2024年唐山曹妃甸经济技术开发区及曹妃甸综合保税区土地集约利用更新评价工作</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完成土地集约利用更新评价工作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1.完成土地集约利用更新评价工作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≤70万元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工作内容生态文明建设目标符合度</w:t>
            </w:r>
          </w:p>
        </w:tc>
        <w:tc>
          <w:tcPr>
            <w:tcW w:w="2891" w:type="dxa"/>
            <w:hMerge w:val="restart"/>
            <w:vAlign w:val="center"/>
          </w:tcPr>
          <w:p>
            <w:pPr>
              <w:pStyle w:val="单元格样式2"/>
            </w:pPr>
            <w:r>
              <w:t xml:space="preserve">工作内容生态文明建设目标符合度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13.2024年巡护巡查费绩效目标表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13020924P000799100018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2024年巡护巡查费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21.36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21.36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完成巡查巡护工作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1.完成巡查巡护工作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≤21.36万元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提高社会效益</w:t>
            </w:r>
          </w:p>
        </w:tc>
        <w:tc>
          <w:tcPr>
            <w:tcW w:w="2891" w:type="dxa"/>
            <w:hMerge w:val="restart"/>
            <w:vAlign w:val="center"/>
          </w:tcPr>
          <w:p>
            <w:pPr>
              <w:pStyle w:val="单元格样式2"/>
            </w:pPr>
            <w:r>
              <w:t xml:space="preserve">提高社会效益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14.2024年自然资源和规划卫片执法、巡查执法、其他国土资源矿产资源管理运行经费等绩效目标表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13020924P00080210005M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2024年自然资源和规划卫片执法、巡查执法、其他国土资源矿产资源管理运行经费等</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327.34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327.34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保障单位相关业务、工作，保障正常工作完成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1.保障单位相关业务、工作，保障正常工作完成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做好综合事务管理工作</w:t>
            </w:r>
          </w:p>
        </w:tc>
        <w:tc>
          <w:tcPr>
            <w:tcW w:w="2891" w:type="dxa"/>
            <w:hMerge w:val="restart"/>
            <w:vAlign w:val="center"/>
          </w:tcPr>
          <w:p>
            <w:pPr>
              <w:pStyle w:val="单元格样式2"/>
            </w:pPr>
            <w:r>
              <w:t xml:space="preserve">做好单位综合事务管理工作</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支付时效</w:t>
            </w:r>
          </w:p>
        </w:tc>
        <w:tc>
          <w:tcPr>
            <w:tcW w:w="2891" w:type="dxa"/>
            <w:hMerge w:val="restart"/>
            <w:vAlign w:val="center"/>
          </w:tcPr>
          <w:p>
            <w:pPr>
              <w:pStyle w:val="单元格样式2"/>
            </w:pPr>
            <w:r>
              <w:t xml:space="preserve">资金按时支出</w:t>
            </w:r>
          </w:p>
        </w:tc>
        <w:tc>
          <w:tcPr>
            <w:tcW w:w="0" w:type="auto"/>
            <w:hMerge/>
            <w:vAlign w:val="center"/>
          </w:tcPr>
          <w:p>
            <w:pPr/>
          </w:p>
        </w:tc>
        <w:tc>
          <w:tcPr>
            <w:tcW w:w="1276" w:type="dxa"/>
            <w:vAlign w:val="center"/>
          </w:tcPr>
          <w:p>
            <w:pPr>
              <w:pStyle w:val="单元格样式2"/>
            </w:pPr>
            <w:r>
              <w:t xml:space="preserve">≤12.31月日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预算控制</w:t>
            </w:r>
          </w:p>
        </w:tc>
        <w:tc>
          <w:tcPr>
            <w:tcW w:w="2891" w:type="dxa"/>
            <w:hMerge w:val="restart"/>
            <w:vAlign w:val="center"/>
          </w:tcPr>
          <w:p>
            <w:pPr>
              <w:pStyle w:val="单元格样式2"/>
            </w:pPr>
            <w:r>
              <w:t xml:space="preserve">预算控制</w:t>
            </w:r>
          </w:p>
        </w:tc>
        <w:tc>
          <w:tcPr>
            <w:tcW w:w="0" w:type="auto"/>
            <w:hMerge/>
            <w:vAlign w:val="center"/>
          </w:tcPr>
          <w:p>
            <w:pPr/>
          </w:p>
        </w:tc>
        <w:tc>
          <w:tcPr>
            <w:tcW w:w="1276" w:type="dxa"/>
            <w:vAlign w:val="center"/>
          </w:tcPr>
          <w:p>
            <w:pPr>
              <w:pStyle w:val="单元格样式2"/>
            </w:pPr>
            <w:r>
              <w:t xml:space="preserve">≤327.34万元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业务保障能力</w:t>
            </w:r>
          </w:p>
        </w:tc>
        <w:tc>
          <w:tcPr>
            <w:tcW w:w="2891" w:type="dxa"/>
            <w:hMerge w:val="restart"/>
            <w:vAlign w:val="center"/>
          </w:tcPr>
          <w:p>
            <w:pPr>
              <w:pStyle w:val="单元格样式2"/>
            </w:pPr>
            <w:r>
              <w:t xml:space="preserve">保障相关业务、工作等开展的情况</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提升服务对象满意度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15.耕地资源质量分类年度更新与监测资金（唐财资环【2023】25号绩效目标表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13020923P00063910001N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耕地资源质量分类年度更新与监测资金（唐财资环【2023】25号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完成耕地资源质量分类年度更新与监测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1.完成耕地资源质量分类年度更新与监测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耕地质量监测任务完成率</w:t>
            </w:r>
          </w:p>
        </w:tc>
        <w:tc>
          <w:tcPr>
            <w:tcW w:w="2891" w:type="dxa"/>
            <w:hMerge w:val="restart"/>
            <w:vAlign w:val="center"/>
          </w:tcPr>
          <w:p>
            <w:pPr>
              <w:pStyle w:val="单元格样式2"/>
            </w:pPr>
            <w:r>
              <w:t xml:space="preserve">耕地质量监测任务完成率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耕地资源质量分类年度更新与监测资金（唐财资环【2023】25号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hMerge w:val="restart"/>
            <w:vAlign w:val="center"/>
          </w:tcPr>
          <w:p>
            <w:pPr>
              <w:pStyle w:val="单元格样式2"/>
            </w:pPr>
            <w:r>
              <w:t xml:space="preserve">资金到位率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耕地资源质量分类年度更新与监测资金（唐财资环【2023】25号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hMerge w:val="restart"/>
            <w:vAlign w:val="center"/>
          </w:tcPr>
          <w:p>
            <w:pPr>
              <w:pStyle w:val="单元格样式2"/>
            </w:pPr>
            <w:r>
              <w:t xml:space="preserve">保障工作时效性</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耕地资源质量分类年度更新与监测资金（唐财资环【2023】25号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完成工作所需资金</w:t>
            </w:r>
          </w:p>
        </w:tc>
        <w:tc>
          <w:tcPr>
            <w:tcW w:w="2891" w:type="dxa"/>
            <w:hMerge w:val="restart"/>
            <w:vAlign w:val="center"/>
          </w:tcPr>
          <w:p>
            <w:pPr>
              <w:pStyle w:val="单元格样式2"/>
            </w:pPr>
            <w:r>
              <w:t xml:space="preserve">完成工作所需资金</w:t>
            </w:r>
          </w:p>
        </w:tc>
        <w:tc>
          <w:tcPr>
            <w:tcW w:w="0" w:type="auto"/>
            <w:hMerge/>
            <w:vAlign w:val="center"/>
          </w:tcPr>
          <w:p>
            <w:pPr/>
          </w:p>
        </w:tc>
        <w:tc>
          <w:tcPr>
            <w:tcW w:w="1276" w:type="dxa"/>
            <w:vAlign w:val="center"/>
          </w:tcPr>
          <w:p>
            <w:pPr>
              <w:pStyle w:val="单元格样式2"/>
            </w:pPr>
            <w:r>
              <w:t xml:space="preserve">≤25万元</w:t>
            </w:r>
          </w:p>
        </w:tc>
        <w:tc>
          <w:tcPr>
            <w:tcW w:w="1843" w:type="dxa"/>
            <w:vAlign w:val="center"/>
          </w:tcPr>
          <w:p>
            <w:pPr>
              <w:pStyle w:val="单元格样式2"/>
            </w:pPr>
            <w:r>
              <w:t xml:space="preserve">耕地资源质量分类年度更新与监测资金（唐财资环【2023】25号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耕地资源质量分类年度更新与监测资金（唐财资环【2023】25号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耕地资源质量分类年度更新与监测资金（唐财资环【2023】25号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16.2023年上半年国土变更调查资金绩效目标表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13020923P009895100012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2023年上半年国土变更调查资金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完成2023年上半年国土变更调查工作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1.完成2023年上半年国土变更调查工作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变更调查完成率</w:t>
            </w:r>
          </w:p>
        </w:tc>
        <w:tc>
          <w:tcPr>
            <w:tcW w:w="2891" w:type="dxa"/>
            <w:hMerge w:val="restart"/>
            <w:vAlign w:val="center"/>
          </w:tcPr>
          <w:p>
            <w:pPr>
              <w:pStyle w:val="单元格样式2"/>
            </w:pPr>
            <w:r>
              <w:t xml:space="preserve">变更调查完成率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hMerge w:val="restart"/>
            <w:vAlign w:val="center"/>
          </w:tcPr>
          <w:p>
            <w:pPr>
              <w:pStyle w:val="单元格样式2"/>
            </w:pPr>
            <w:r>
              <w:t xml:space="preserve">财政拨款保障率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hMerge w:val="restart"/>
            <w:vAlign w:val="center"/>
          </w:tcPr>
          <w:p>
            <w:pPr>
              <w:pStyle w:val="单元格样式2"/>
            </w:pPr>
            <w:r>
              <w:t xml:space="preserve">保障工作时效性</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项目总预算控制额</w:t>
            </w:r>
          </w:p>
        </w:tc>
        <w:tc>
          <w:tcPr>
            <w:tcW w:w="0" w:type="auto"/>
            <w:hMerge/>
            <w:vAlign w:val="center"/>
          </w:tcPr>
          <w:p>
            <w:pPr/>
          </w:p>
        </w:tc>
        <w:tc>
          <w:tcPr>
            <w:tcW w:w="1276" w:type="dxa"/>
            <w:vAlign w:val="center"/>
          </w:tcPr>
          <w:p>
            <w:pPr>
              <w:pStyle w:val="单元格样式2"/>
            </w:pPr>
            <w:r>
              <w:t xml:space="preserve">≤46万元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17.2023年土地整治专项资金（唐财资环【2023】51-3号）绩效目标表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13020923P00992410001H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2023年土地整治专项资金（唐财资环【2023】51-3号）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完成2023年土地整治专项资金支付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1.完成2023年土地整治专项资金支付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hMerge w:val="restart"/>
            <w:vAlign w:val="center"/>
          </w:tcPr>
          <w:p>
            <w:pPr>
              <w:pStyle w:val="单元格样式2"/>
            </w:pPr>
            <w:r>
              <w:t xml:space="preserve">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2023年土地整治专项资金（唐财资环【2023】51-3号）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hMerge w:val="restart"/>
            <w:vAlign w:val="center"/>
          </w:tcPr>
          <w:p>
            <w:pPr>
              <w:pStyle w:val="单元格样式2"/>
            </w:pPr>
            <w:r>
              <w:t xml:space="preserve">保障工作质量</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2023年土地整治专项资金（唐财资环【2023】51-3号）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hMerge w:val="restart"/>
            <w:vAlign w:val="center"/>
          </w:tcPr>
          <w:p>
            <w:pPr>
              <w:pStyle w:val="单元格样式2"/>
            </w:pPr>
            <w:r>
              <w:t xml:space="preserve">按期完成率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2023年土地整治专项资金（唐财资环【2023】51-3号）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≤1230万元</w:t>
            </w:r>
          </w:p>
        </w:tc>
        <w:tc>
          <w:tcPr>
            <w:tcW w:w="1843" w:type="dxa"/>
            <w:vAlign w:val="center"/>
          </w:tcPr>
          <w:p>
            <w:pPr>
              <w:pStyle w:val="单元格样式2"/>
            </w:pPr>
            <w:r>
              <w:t xml:space="preserve">2023年土地整治专项资金（唐财资环【2023】51-3号）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2023年土地整治专项资金（唐财资环【2023】51-3号）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2023年土地整治专项资金（唐财资环【2023】51-3号）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18.2023年下半年国土变更调查资金绩效目标表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13020923P00992310001U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2023年下半年国土变更调查资金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49.00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49.00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完成2023年下半年国土变更调查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1.完成2023年下半年国土变更调查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hMerge w:val="restart"/>
            <w:vAlign w:val="center"/>
          </w:tcPr>
          <w:p>
            <w:pPr>
              <w:pStyle w:val="单元格样式2"/>
            </w:pPr>
            <w:r>
              <w:t xml:space="preserve">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2023年下半年国土变更调查资金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hMerge w:val="restart"/>
            <w:vAlign w:val="center"/>
          </w:tcPr>
          <w:p>
            <w:pPr>
              <w:pStyle w:val="单元格样式2"/>
            </w:pPr>
            <w:r>
              <w:t xml:space="preserve">专款专用率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2023年下半年国土变更调查资金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hMerge w:val="restart"/>
            <w:vAlign w:val="center"/>
          </w:tcPr>
          <w:p>
            <w:pPr>
              <w:pStyle w:val="单元格样式2"/>
            </w:pPr>
            <w:r>
              <w:t xml:space="preserve">按期完成率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2023年下半年国土变更调查资金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≤49万元</w:t>
            </w:r>
          </w:p>
        </w:tc>
        <w:tc>
          <w:tcPr>
            <w:tcW w:w="1843" w:type="dxa"/>
            <w:vAlign w:val="center"/>
          </w:tcPr>
          <w:p>
            <w:pPr>
              <w:pStyle w:val="单元格样式2"/>
            </w:pPr>
            <w:r>
              <w:t xml:space="preserve">2023年下半年国土变更调查资金</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2023年下半年国土变更调查资金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2023年下半年国土变更调查资金</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19.2024年编制曹妃甸区林地利用保护规划绩效目标表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13020924P000827100012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2024年编制曹妃甸区林地利用保护规划</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完成林地利用规划编制工作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1.完成林地利用规划编制工作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≤75万元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工作内容生态文明建设目标符合度</w:t>
            </w:r>
          </w:p>
        </w:tc>
        <w:tc>
          <w:tcPr>
            <w:tcW w:w="2891" w:type="dxa"/>
            <w:hMerge w:val="restart"/>
            <w:vAlign w:val="center"/>
          </w:tcPr>
          <w:p>
            <w:pPr>
              <w:pStyle w:val="单元格样式2"/>
            </w:pPr>
            <w:r>
              <w:t xml:space="preserve">工作内容生态文明建设目标符合度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20.2024年拨2023年耕地流出及耕地卫片监督核实整改、永久基本农田核实处置工作工作、村队搬迁土地复垦规划设计专项技术服务项目绩效目标表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13020924P00082010001A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2024年拨2023年耕地流出及耕地卫片监督核实整改、永久基本农田核实处置工作工作、村队搬迁土地复垦规划设计专项技术服务项目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保质保量完成技术服务工作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1.保质保量完成技术服务工作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报告数量</w:t>
            </w:r>
          </w:p>
        </w:tc>
        <w:tc>
          <w:tcPr>
            <w:tcW w:w="2891" w:type="dxa"/>
            <w:hMerge w:val="restart"/>
            <w:vAlign w:val="center"/>
          </w:tcPr>
          <w:p>
            <w:pPr>
              <w:pStyle w:val="单元格样式2"/>
            </w:pPr>
            <w:r>
              <w:t xml:space="preserve">报告数量</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工作完成情况</w:t>
            </w:r>
          </w:p>
        </w:tc>
        <w:tc>
          <w:tcPr>
            <w:tcW w:w="2891" w:type="dxa"/>
            <w:hMerge w:val="restart"/>
            <w:vAlign w:val="center"/>
          </w:tcPr>
          <w:p>
            <w:pPr>
              <w:pStyle w:val="单元格样式2"/>
            </w:pPr>
            <w:r>
              <w:t xml:space="preserve">保质完成</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hMerge w:val="restart"/>
            <w:vAlign w:val="center"/>
          </w:tcPr>
          <w:p>
            <w:pPr>
              <w:pStyle w:val="单元格样式2"/>
            </w:pPr>
            <w:r>
              <w:t xml:space="preserve">完成工作时间</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hMerge w:val="restart"/>
            <w:vAlign w:val="center"/>
          </w:tcPr>
          <w:p>
            <w:pPr>
              <w:pStyle w:val="单元格样式2"/>
            </w:pPr>
            <w:r>
              <w:t xml:space="preserve">项目成本</w:t>
            </w:r>
          </w:p>
        </w:tc>
        <w:tc>
          <w:tcPr>
            <w:tcW w:w="0" w:type="auto"/>
            <w:hMerge/>
            <w:vAlign w:val="center"/>
          </w:tcPr>
          <w:p>
            <w:pPr/>
          </w:p>
        </w:tc>
        <w:tc>
          <w:tcPr>
            <w:tcW w:w="1276" w:type="dxa"/>
            <w:vAlign w:val="center"/>
          </w:tcPr>
          <w:p>
            <w:pPr>
              <w:pStyle w:val="单元格样式2"/>
            </w:pPr>
            <w:r>
              <w:t xml:space="preserve">≤175万元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21.2024年不动产数据质量更新绩效目标表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13020924P00083910001L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2024年不动产数据质量更新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完成不动产数据质量更新工作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1.完成不动产数据质量更新工作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≤50万元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工作内容生态文明建设目标符合度</w:t>
            </w:r>
          </w:p>
        </w:tc>
        <w:tc>
          <w:tcPr>
            <w:tcW w:w="2891" w:type="dxa"/>
            <w:hMerge w:val="restart"/>
            <w:vAlign w:val="center"/>
          </w:tcPr>
          <w:p>
            <w:pPr>
              <w:pStyle w:val="单元格样式2"/>
            </w:pPr>
            <w:r>
              <w:t xml:space="preserve">工作内容生态文明建设目标符合度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22.2024年曹妃甸国土空间规划、生态环境保护规划、实施评估规划编制等绩效目标表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13020924P000833100051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2024年曹妃甸国土空间规划、生态环境保护规划、实施评估规划编制等</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660.00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660.00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完成曹妃甸国土空间规划大数据应用支撑及曹妃甸区国土空间规划体检评估工作等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1.完成曹妃甸国土空间规划大数据应用支撑及曹妃甸区国土空间规划体检评估工作等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≥70%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综合业务管理工作完成率</w:t>
            </w:r>
          </w:p>
        </w:tc>
        <w:tc>
          <w:tcPr>
            <w:tcW w:w="2891" w:type="dxa"/>
            <w:hMerge w:val="restart"/>
            <w:vAlign w:val="center"/>
          </w:tcPr>
          <w:p>
            <w:pPr>
              <w:pStyle w:val="单元格样式2"/>
            </w:pPr>
            <w:r>
              <w:t xml:space="preserve">综合业务管理工作完成率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资金支付及时性</w:t>
            </w:r>
          </w:p>
        </w:tc>
        <w:tc>
          <w:tcPr>
            <w:tcW w:w="2891" w:type="dxa"/>
            <w:hMerge w:val="restart"/>
            <w:vAlign w:val="center"/>
          </w:tcPr>
          <w:p>
            <w:pPr>
              <w:pStyle w:val="单元格样式2"/>
            </w:pPr>
            <w:r>
              <w:t xml:space="preserve">资金支付及时性</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≤660万元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23.2024年曹妃甸区城镇低效用地再开发专项规划编制工作绩效目标表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13020924P000824100011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2024年曹妃甸区城镇低效用地再开发专项规划编制工作</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开展城镇低效用地再开发专项规划编制工作，并据此开展低效用地再开发工作。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1.开展城镇低效用地再开发专项规划编制工作，并据此开展低效用地再开发工作。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方案编制完成情况</w:t>
            </w:r>
          </w:p>
        </w:tc>
        <w:tc>
          <w:tcPr>
            <w:tcW w:w="2891" w:type="dxa"/>
            <w:hMerge w:val="restart"/>
            <w:vAlign w:val="center"/>
          </w:tcPr>
          <w:p>
            <w:pPr>
              <w:pStyle w:val="单元格样式2"/>
            </w:pPr>
            <w:r>
              <w:t xml:space="preserve">反映方案编制完成情况</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工作完成情况</w:t>
            </w:r>
          </w:p>
        </w:tc>
        <w:tc>
          <w:tcPr>
            <w:tcW w:w="2891" w:type="dxa"/>
            <w:hMerge w:val="restart"/>
            <w:vAlign w:val="center"/>
          </w:tcPr>
          <w:p>
            <w:pPr>
              <w:pStyle w:val="单元格样式2"/>
            </w:pPr>
            <w:r>
              <w:t xml:space="preserve">保质完成</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hMerge w:val="restart"/>
            <w:vAlign w:val="center"/>
          </w:tcPr>
          <w:p>
            <w:pPr>
              <w:pStyle w:val="单元格样式2"/>
            </w:pPr>
            <w:r>
              <w:t xml:space="preserve">及时完成工作任务</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≤45万元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提升社会影响力</w:t>
            </w:r>
          </w:p>
        </w:tc>
        <w:tc>
          <w:tcPr>
            <w:tcW w:w="0" w:type="auto"/>
            <w:hMerge/>
            <w:vAlign w:val="center"/>
          </w:tcPr>
          <w:p>
            <w:pPr/>
          </w:p>
        </w:tc>
        <w:tc>
          <w:tcPr>
            <w:tcW w:w="1276" w:type="dxa"/>
            <w:vAlign w:val="center"/>
          </w:tcPr>
          <w:p>
            <w:pPr>
              <w:pStyle w:val="单元格样式2"/>
            </w:pPr>
            <w:r>
              <w:t xml:space="preserve">≥20%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24.2024年曹妃甸区具体项目压覆矿产资源评估报告、地质灾害危险性评估报告绩效目标表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13020924P00082610001C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2024年曹妃甸区具体项目压覆矿产资源评估报告、地质灾害危险性评估报告</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编制评估报告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1.编制评估报告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≤100万元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提高社会效益</w:t>
            </w:r>
          </w:p>
        </w:tc>
        <w:tc>
          <w:tcPr>
            <w:tcW w:w="2891" w:type="dxa"/>
            <w:hMerge w:val="restart"/>
            <w:vAlign w:val="center"/>
          </w:tcPr>
          <w:p>
            <w:pPr>
              <w:pStyle w:val="单元格样式2"/>
            </w:pPr>
            <w:r>
              <w:t xml:space="preserve">提高社会效益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25.2024年曹妃甸区全民所有自然资源资产清查工作绩效目标表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13020924P00082510001N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2024年曹妃甸区全民所有自然资源资产清查工作</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完成2024年度清查工作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1.完成2024年度清查工作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≤40万元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服务业务工作效率</w:t>
            </w:r>
          </w:p>
        </w:tc>
        <w:tc>
          <w:tcPr>
            <w:tcW w:w="2891" w:type="dxa"/>
            <w:hMerge w:val="restart"/>
            <w:vAlign w:val="center"/>
          </w:tcPr>
          <w:p>
            <w:pPr>
              <w:pStyle w:val="单元格样式2"/>
            </w:pPr>
            <w:r>
              <w:t xml:space="preserve">服务业务工作效率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26.2024年曹妃甸区十二个项目套核风景名胜区重叠分析二十五个项目套核三调数据核查项目区耕地第二批储备补充耕地核查项目储备补充耕地定期季度巡查服务费用占补平衡项目卷宗审查服务费用绩效目标表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13020924P00083510001X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2024年曹妃甸区十二个项目套核风景名胜区重叠分析二十五个项目套核三调数据核查项目区耕地第二批储备补充耕地核查项目储备补充耕地定期季度巡查服务费用占补平衡项目卷宗审查服务费用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20.73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20.73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加强储备补充耕地利用监管，落实补充耕地巡查制度。对曹妃甸区储备补充耕地进行定期季度巡查。为加强资料管理，保证曹妃甸区占补平衡项目相关卷宗的完整性和合规性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1.加强储备补充耕地利用监管，落实补充耕地巡查制度。对曹妃甸区储备补充耕地进行定期季度巡查。为加强资料管理，保证曹妃甸区占补平衡项目相关卷宗的完整性和合规性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巡查次数</w:t>
            </w:r>
          </w:p>
        </w:tc>
        <w:tc>
          <w:tcPr>
            <w:tcW w:w="2891" w:type="dxa"/>
            <w:hMerge w:val="restart"/>
            <w:vAlign w:val="center"/>
          </w:tcPr>
          <w:p>
            <w:pPr>
              <w:pStyle w:val="单元格样式2"/>
            </w:pPr>
            <w:r>
              <w:t xml:space="preserve">巡查次数</w:t>
            </w:r>
          </w:p>
        </w:tc>
        <w:tc>
          <w:tcPr>
            <w:tcW w:w="0" w:type="auto"/>
            <w:hMerge/>
            <w:vAlign w:val="center"/>
          </w:tcPr>
          <w:p>
            <w:pPr/>
          </w:p>
        </w:tc>
        <w:tc>
          <w:tcPr>
            <w:tcW w:w="1276" w:type="dxa"/>
            <w:vAlign w:val="center"/>
          </w:tcPr>
          <w:p>
            <w:pPr>
              <w:pStyle w:val="单元格样式2"/>
            </w:pPr>
            <w:r>
              <w:t xml:space="preserve">≥10次</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工作完成情况</w:t>
            </w:r>
          </w:p>
        </w:tc>
        <w:tc>
          <w:tcPr>
            <w:tcW w:w="2891" w:type="dxa"/>
            <w:hMerge w:val="restart"/>
            <w:vAlign w:val="center"/>
          </w:tcPr>
          <w:p>
            <w:pPr>
              <w:pStyle w:val="单元格样式2"/>
            </w:pPr>
            <w:r>
              <w:t xml:space="preserve">保质完成</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hMerge w:val="restart"/>
            <w:vAlign w:val="center"/>
          </w:tcPr>
          <w:p>
            <w:pPr>
              <w:pStyle w:val="单元格样式2"/>
            </w:pPr>
            <w:r>
              <w:t xml:space="preserve">完成工作时间</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hMerge w:val="restart"/>
            <w:vAlign w:val="center"/>
          </w:tcPr>
          <w:p>
            <w:pPr>
              <w:pStyle w:val="单元格样式2"/>
            </w:pPr>
            <w:r>
              <w:t xml:space="preserve">项目成本</w:t>
            </w:r>
          </w:p>
        </w:tc>
        <w:tc>
          <w:tcPr>
            <w:tcW w:w="0" w:type="auto"/>
            <w:hMerge/>
            <w:vAlign w:val="center"/>
          </w:tcPr>
          <w:p>
            <w:pPr/>
          </w:p>
        </w:tc>
        <w:tc>
          <w:tcPr>
            <w:tcW w:w="1276" w:type="dxa"/>
            <w:vAlign w:val="center"/>
          </w:tcPr>
          <w:p>
            <w:pPr>
              <w:pStyle w:val="单元格样式2"/>
            </w:pPr>
            <w:r>
              <w:t xml:space="preserve">≤20.73万元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落实制度，定期巡查，加强资料管理</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27.2024年曹妃甸区项目用海、围填海历史遗留问题处理监管、节约集约示范县创建中期评估、养殖用海整体海域使用论证工作、海岸带综合保护与利用规划编制、海域使用权存量数据坐标系转换及专家顾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13020924P00082210006P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2024年曹妃甸区项目用海、围填海历史遗留问题处理监管、节约集约示范县创建中期评估、养殖用海整体海域使用论证工作、海岸带综合保护与利用规划编制、海域使用权存量数据坐标系转换及专家顾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做好年度项目用海监管工作。2023及2024年度项目用海监管工作的主要任务为完成审批项目用海信息录入；完成项目用海批复线下备案；完成上级交办的问题线索，开展非现场监管；完成年度新增审批用海项目现场监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做好年度项目用海监管工作。2023及2024年度项目用海监管工作的主要任务为完成审批项目用海信息录入；完成项目用海批复线下备案；完成上级交办的问题线索，开展非现场监管；完成年度新增审批用海项目现场监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≥70%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综合业务管理工作完成率</w:t>
            </w:r>
          </w:p>
        </w:tc>
        <w:tc>
          <w:tcPr>
            <w:tcW w:w="2891" w:type="dxa"/>
            <w:hMerge w:val="restart"/>
            <w:vAlign w:val="center"/>
          </w:tcPr>
          <w:p>
            <w:pPr>
              <w:pStyle w:val="单元格样式2"/>
            </w:pPr>
            <w:r>
              <w:t xml:space="preserve">综合业务管理工作完成率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资金支付及时性</w:t>
            </w:r>
          </w:p>
        </w:tc>
        <w:tc>
          <w:tcPr>
            <w:tcW w:w="2891" w:type="dxa"/>
            <w:hMerge w:val="restart"/>
            <w:vAlign w:val="center"/>
          </w:tcPr>
          <w:p>
            <w:pPr>
              <w:pStyle w:val="单元格样式2"/>
            </w:pPr>
            <w:r>
              <w:t xml:space="preserve">资金支付及时性</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≤500万元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28.2024年付2022-2024年进出平衡工作绩效目标表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13020924P00083410005N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2024年付2022-2024年进出平衡工作</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严控一般耕地转为其他农用地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1.完成严控一般耕地转为其他农用地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综合业务管理工作完成率</w:t>
            </w:r>
          </w:p>
        </w:tc>
        <w:tc>
          <w:tcPr>
            <w:tcW w:w="2891" w:type="dxa"/>
            <w:hMerge w:val="restart"/>
            <w:vAlign w:val="center"/>
          </w:tcPr>
          <w:p>
            <w:pPr>
              <w:pStyle w:val="单元格样式2"/>
            </w:pPr>
            <w:r>
              <w:t xml:space="preserve">综合业务管理工作完成率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资金支付及时性</w:t>
            </w:r>
          </w:p>
        </w:tc>
        <w:tc>
          <w:tcPr>
            <w:tcW w:w="2891" w:type="dxa"/>
            <w:hMerge w:val="restart"/>
            <w:vAlign w:val="center"/>
          </w:tcPr>
          <w:p>
            <w:pPr>
              <w:pStyle w:val="单元格样式2"/>
            </w:pPr>
            <w:r>
              <w:t xml:space="preserve">资金支付及时性</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≤52万元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29.2024年付2023年曹妃甸区风暴潮灾害预警监控运维保障及能力提升项目绩效目标表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13020924P000831100017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2024年付2023年曹妃甸区风暴潮灾害预警监控运维保障及能力提升项目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完成风暴潮灾害预警监控运维保障及能力提升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1.完成风暴潮灾害预警监控运维保障及能力提升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工作内容生态文明建设目标符合度</w:t>
            </w:r>
          </w:p>
        </w:tc>
        <w:tc>
          <w:tcPr>
            <w:tcW w:w="2891" w:type="dxa"/>
            <w:hMerge w:val="restart"/>
            <w:vAlign w:val="center"/>
          </w:tcPr>
          <w:p>
            <w:pPr>
              <w:pStyle w:val="单元格样式2"/>
            </w:pPr>
            <w:r>
              <w:t xml:space="preserve">工作内容生态文明建设目标符合度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30.2024年购买林业有害生物防治药品绩效目标表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13020924P00082910001D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2024年购买林业有害生物防治药品</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对有害生物进行防治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1.对有害生物进行防治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提高社会效益</w:t>
            </w:r>
          </w:p>
        </w:tc>
        <w:tc>
          <w:tcPr>
            <w:tcW w:w="2891" w:type="dxa"/>
            <w:hMerge w:val="restart"/>
            <w:vAlign w:val="center"/>
          </w:tcPr>
          <w:p>
            <w:pPr>
              <w:pStyle w:val="单元格样式2"/>
            </w:pPr>
            <w:r>
              <w:t xml:space="preserve">提高社会效益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31.2024年购置堡垒机绩效目标表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13020924P000837100019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2024年购置堡垒机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为不动产登记软件远程运维服务，保障不动产登记数据安全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1.购置堡垒机一台，为不动产登记软件远程运维服务，保障不动产登记数据安全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购置数量</w:t>
            </w:r>
          </w:p>
        </w:tc>
        <w:tc>
          <w:tcPr>
            <w:tcW w:w="2891" w:type="dxa"/>
            <w:hMerge w:val="restart"/>
            <w:vAlign w:val="center"/>
          </w:tcPr>
          <w:p>
            <w:pPr>
              <w:pStyle w:val="单元格样式2"/>
            </w:pPr>
            <w:r>
              <w:t xml:space="preserve">购置数量</w:t>
            </w:r>
          </w:p>
        </w:tc>
        <w:tc>
          <w:tcPr>
            <w:tcW w:w="0" w:type="auto"/>
            <w:hMerge/>
            <w:vAlign w:val="center"/>
          </w:tcPr>
          <w:p>
            <w:pPr/>
          </w:p>
        </w:tc>
        <w:tc>
          <w:tcPr>
            <w:tcW w:w="1276" w:type="dxa"/>
            <w:vAlign w:val="center"/>
          </w:tcPr>
          <w:p>
            <w:pPr>
              <w:pStyle w:val="单元格样式2"/>
            </w:pPr>
            <w:r>
              <w:t xml:space="preserve">1台</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hMerge w:val="restart"/>
            <w:vAlign w:val="center"/>
          </w:tcPr>
          <w:p>
            <w:pPr>
              <w:pStyle w:val="单元格样式2"/>
            </w:pPr>
            <w:r>
              <w:t xml:space="preserve">保障工作质量</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hMerge w:val="restart"/>
            <w:vAlign w:val="center"/>
          </w:tcPr>
          <w:p>
            <w:pPr>
              <w:pStyle w:val="单元格样式2"/>
            </w:pPr>
            <w:r>
              <w:t xml:space="preserve">完成工作时间</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hMerge w:val="restart"/>
            <w:vAlign w:val="center"/>
          </w:tcPr>
          <w:p>
            <w:pPr>
              <w:pStyle w:val="单元格样式2"/>
            </w:pPr>
            <w:r>
              <w:t xml:space="preserve">项目成本</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项目持续发挥作用期限</w:t>
            </w:r>
          </w:p>
        </w:tc>
        <w:tc>
          <w:tcPr>
            <w:tcW w:w="2891" w:type="dxa"/>
            <w:hMerge w:val="restart"/>
            <w:vAlign w:val="center"/>
          </w:tcPr>
          <w:p>
            <w:pPr>
              <w:pStyle w:val="单元格样式2"/>
            </w:pPr>
            <w:r>
              <w:t xml:space="preserve">项目持续发挥作用</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32.2024年核实对接卫片数据服务费、执法图斑宗地图测绘费用绩效目标表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13020924P000821100010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2024年核实对接卫片数据服务费、执法图斑宗地图测绘费用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43.00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43.00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分季度及月度图斑进行核查、判读并填报，开展制作影像图、坐标转换等工作，提供了客观公正的数据及证据辅助，提高了执法图斑举证效率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1.分季度及月度图斑进行核查、判读并填报，开展制作影像图、坐标转换等工作，提供了客观公正的数据及证据辅助，提高了执法图斑举证效率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卫片核实图斑数量</w:t>
            </w:r>
          </w:p>
        </w:tc>
        <w:tc>
          <w:tcPr>
            <w:tcW w:w="2891" w:type="dxa"/>
            <w:hMerge w:val="restart"/>
            <w:vAlign w:val="center"/>
          </w:tcPr>
          <w:p>
            <w:pPr>
              <w:pStyle w:val="单元格样式2"/>
            </w:pPr>
            <w:r>
              <w:t xml:space="preserve">卫片核实图斑数量</w:t>
            </w:r>
          </w:p>
        </w:tc>
        <w:tc>
          <w:tcPr>
            <w:tcW w:w="0" w:type="auto"/>
            <w:hMerge/>
            <w:vAlign w:val="center"/>
          </w:tcPr>
          <w:p>
            <w:pPr/>
          </w:p>
        </w:tc>
        <w:tc>
          <w:tcPr>
            <w:tcW w:w="1276" w:type="dxa"/>
            <w:vAlign w:val="center"/>
          </w:tcPr>
          <w:p>
            <w:pPr>
              <w:pStyle w:val="单元格样式2"/>
            </w:pPr>
            <w:r>
              <w:t xml:space="preserve">≥20个</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hMerge w:val="restart"/>
            <w:vAlign w:val="center"/>
          </w:tcPr>
          <w:p>
            <w:pPr>
              <w:pStyle w:val="单元格样式2"/>
            </w:pPr>
            <w:r>
              <w:t xml:space="preserve">保障工作质量</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hMerge w:val="restart"/>
            <w:vAlign w:val="center"/>
          </w:tcPr>
          <w:p>
            <w:pPr>
              <w:pStyle w:val="单元格样式2"/>
            </w:pPr>
            <w:r>
              <w:t xml:space="preserve">完成工作时间</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hMerge w:val="restart"/>
            <w:vAlign w:val="center"/>
          </w:tcPr>
          <w:p>
            <w:pPr>
              <w:pStyle w:val="单元格样式2"/>
            </w:pPr>
            <w:r>
              <w:t xml:space="preserve">项目成本</w:t>
            </w:r>
          </w:p>
        </w:tc>
        <w:tc>
          <w:tcPr>
            <w:tcW w:w="0" w:type="auto"/>
            <w:hMerge/>
            <w:vAlign w:val="center"/>
          </w:tcPr>
          <w:p>
            <w:pPr/>
          </w:p>
        </w:tc>
        <w:tc>
          <w:tcPr>
            <w:tcW w:w="1276" w:type="dxa"/>
            <w:vAlign w:val="center"/>
          </w:tcPr>
          <w:p>
            <w:pPr>
              <w:pStyle w:val="单元格样式2"/>
            </w:pPr>
            <w:r>
              <w:t xml:space="preserve">≤43万元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提升社会影响力</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33.2024年唐山市曹妃甸区规划编制费用绩效目标表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13020924P000819100041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2024年唐山市曹妃甸区规划编制费用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394.07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394.07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完成唐山市曹妃甸区生态修复专项规划、曹妃甸区公共服务设施专项规划工作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1.完成唐山市曹妃甸区生态修复专项规划、曹妃甸区公共服务设施专项规划</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≥70%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综合业务管理工作完成率</w:t>
            </w:r>
          </w:p>
        </w:tc>
        <w:tc>
          <w:tcPr>
            <w:tcW w:w="2891" w:type="dxa"/>
            <w:hMerge w:val="restart"/>
            <w:vAlign w:val="center"/>
          </w:tcPr>
          <w:p>
            <w:pPr>
              <w:pStyle w:val="单元格样式2"/>
            </w:pPr>
            <w:r>
              <w:t xml:space="preserve">综合业务管理工作完成率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资金支付及时性</w:t>
            </w:r>
          </w:p>
        </w:tc>
        <w:tc>
          <w:tcPr>
            <w:tcW w:w="2891" w:type="dxa"/>
            <w:hMerge w:val="restart"/>
            <w:vAlign w:val="center"/>
          </w:tcPr>
          <w:p>
            <w:pPr>
              <w:pStyle w:val="单元格样式2"/>
            </w:pPr>
            <w:r>
              <w:t xml:space="preserve">资金支付及时性</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≤394.07万元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34.2024年现场核实及测绘服务采购绩效目标表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13020924P00078510002X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2024年现场核实及测绘服务采购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完成现场核实及测绘服务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1.完成现场核实及测绘服务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提高社会效益</w:t>
            </w:r>
          </w:p>
        </w:tc>
        <w:tc>
          <w:tcPr>
            <w:tcW w:w="2891" w:type="dxa"/>
            <w:hMerge w:val="restart"/>
            <w:vAlign w:val="center"/>
          </w:tcPr>
          <w:p>
            <w:pPr>
              <w:pStyle w:val="单元格样式2"/>
            </w:pPr>
            <w:r>
              <w:t xml:space="preserve">提高社会效益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35.2024年野生动植物救助、监测及保护绩效目标表</w:t>
      </w:r>
      <w:bookmarkEnd w:id="3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13020924P00082810001P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2024年野生动植物救助、监测及保护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野生动物救助、保护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1.野生动物救助、保护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≤7万元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工作内容生态文明建设目标符合度</w:t>
            </w:r>
          </w:p>
        </w:tc>
        <w:tc>
          <w:tcPr>
            <w:tcW w:w="2891" w:type="dxa"/>
            <w:hMerge w:val="restart"/>
            <w:vAlign w:val="center"/>
          </w:tcPr>
          <w:p>
            <w:pPr>
              <w:pStyle w:val="单元格样式2"/>
            </w:pPr>
            <w:r>
              <w:t xml:space="preserve">工作内容生态文明建设目标符合度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36.2024年增设土地承包经营权登记系统和居住权登记系统绩效目标表</w:t>
      </w:r>
      <w:bookmarkEnd w:id="3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13020924P00083610001K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2024年增设土地承包经营权登记系统和居住权登记系统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增设土地承包经营权登记系统和居住权登记系统，为下一步开展土地承包经营权登记和居住权登记系统提供保障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1.增设土地承包经营权登记系统和居住权登记系统，为下一步开展土地承包经营权登记和居住权登记系统提供保障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系统软件运维数量（个）</w:t>
            </w:r>
          </w:p>
        </w:tc>
        <w:tc>
          <w:tcPr>
            <w:tcW w:w="2891" w:type="dxa"/>
            <w:hMerge w:val="restart"/>
            <w:vAlign w:val="center"/>
          </w:tcPr>
          <w:p>
            <w:pPr>
              <w:pStyle w:val="单元格样式2"/>
            </w:pPr>
            <w:r>
              <w:t xml:space="preserve">系统软件运维数量（个）</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系统运行</w:t>
            </w:r>
          </w:p>
        </w:tc>
        <w:tc>
          <w:tcPr>
            <w:tcW w:w="2891" w:type="dxa"/>
            <w:hMerge w:val="restart"/>
            <w:vAlign w:val="center"/>
          </w:tcPr>
          <w:p>
            <w:pPr>
              <w:pStyle w:val="单元格样式2"/>
            </w:pPr>
            <w:r>
              <w:t xml:space="preserve">系统正常运行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hMerge w:val="restart"/>
            <w:vAlign w:val="center"/>
          </w:tcPr>
          <w:p>
            <w:pPr>
              <w:pStyle w:val="单元格样式2"/>
            </w:pPr>
            <w:r>
              <w:t xml:space="preserve">完成工作时间</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hMerge w:val="restart"/>
            <w:vAlign w:val="center"/>
          </w:tcPr>
          <w:p>
            <w:pPr>
              <w:pStyle w:val="单元格样式2"/>
            </w:pPr>
            <w:r>
              <w:t xml:space="preserve">项目成本</w:t>
            </w:r>
          </w:p>
        </w:tc>
        <w:tc>
          <w:tcPr>
            <w:tcW w:w="0" w:type="auto"/>
            <w:hMerge/>
            <w:vAlign w:val="center"/>
          </w:tcPr>
          <w:p>
            <w:pPr/>
          </w:p>
        </w:tc>
        <w:tc>
          <w:tcPr>
            <w:tcW w:w="1276" w:type="dxa"/>
            <w:vAlign w:val="center"/>
          </w:tcPr>
          <w:p>
            <w:pPr>
              <w:pStyle w:val="单元格样式2"/>
            </w:pPr>
            <w:r>
              <w:t xml:space="preserve">≤30万元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保持信息系统良好安全状态，确保</w:t>
            </w:r>
          </w:p>
        </w:tc>
        <w:tc>
          <w:tcPr>
            <w:tcW w:w="2891" w:type="dxa"/>
            <w:hMerge w:val="restart"/>
            <w:vAlign w:val="center"/>
          </w:tcPr>
          <w:p>
            <w:pPr>
              <w:pStyle w:val="单元格样式2"/>
            </w:pPr>
            <w:r>
              <w:t xml:space="preserve">保持信息系统良好安全状态，确保正常运行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color w:val="000000"/>
          <w:sz w:val="28"/>
        </w:rPr>
        <w:t xml:space="preserve">37.2024年政府购买继承公证服务绩效目标表</w:t>
      </w:r>
      <w:bookmarkEnd w:id="3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13020924P00084010001Q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2024年政府购买继承公证服务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完成政府购买继承工作服务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1.完成政府购买继承工作服务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提高社会效益</w:t>
            </w:r>
          </w:p>
        </w:tc>
        <w:tc>
          <w:tcPr>
            <w:tcW w:w="2891" w:type="dxa"/>
            <w:hMerge w:val="restart"/>
            <w:vAlign w:val="center"/>
          </w:tcPr>
          <w:p>
            <w:pPr>
              <w:pStyle w:val="单元格样式2"/>
            </w:pPr>
            <w:r>
              <w:t xml:space="preserve">提高社会效益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color w:val="000000"/>
          <w:sz w:val="28"/>
        </w:rPr>
        <w:t xml:space="preserve">38.2024年中国海监唐山市曹妃甸区大队海洋监察执法综合地理信息服务绩效目标表</w:t>
      </w:r>
      <w:bookmarkEnd w:id="4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13020924P00083210005B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2024年中国海监唐山市曹妃甸区大队海洋监察执法综合地理信息服务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用于用海用地权属信息点位及违法图斑坐标转换、用于违法图斑转入GIS系统呈现及存储、用于海岸线执法监督及违法图斑历史影像留存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1.完成用海用地权属信息点位及违法图斑坐标转换、违法图斑转入GIS系统呈现及存储、海岸线执法监督及违法图斑历史影像留存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综合业务管理工作完成率</w:t>
            </w:r>
          </w:p>
        </w:tc>
        <w:tc>
          <w:tcPr>
            <w:tcW w:w="2891" w:type="dxa"/>
            <w:hMerge w:val="restart"/>
            <w:vAlign w:val="center"/>
          </w:tcPr>
          <w:p>
            <w:pPr>
              <w:pStyle w:val="单元格样式2"/>
            </w:pPr>
            <w:r>
              <w:t xml:space="preserve">综合业务管理工作完成率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资金支付及时性</w:t>
            </w:r>
          </w:p>
        </w:tc>
        <w:tc>
          <w:tcPr>
            <w:tcW w:w="2891" w:type="dxa"/>
            <w:hMerge w:val="restart"/>
            <w:vAlign w:val="center"/>
          </w:tcPr>
          <w:p>
            <w:pPr>
              <w:pStyle w:val="单元格样式2"/>
            </w:pPr>
            <w:r>
              <w:t xml:space="preserve">资金支付及时性</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≤60万元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1" w:name="_Toc_4_4_0000000042"/>
      <w:r>
        <w:rPr>
          <w:rFonts w:ascii="方正仿宋_GBK" w:eastAsia="方正仿宋_GBK" w:hAnsi="方正仿宋_GBK" w:cs="方正仿宋_GBK"/>
          <w:color w:val="000000"/>
          <w:sz w:val="28"/>
        </w:rPr>
        <w:t xml:space="preserve">39.土地整治专项资金（唐财资环【2023】36号）绩效目标表</w:t>
      </w:r>
      <w:bookmarkEnd w:id="4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13020923P009928100018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土地整治专项资金（唐财资环【2023】36号）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698.00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698.00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完成土地整治项目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1.完成土地整治专项资金（唐财资环【2023】36号）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自然资源综合事务工作保障率</w:t>
            </w:r>
          </w:p>
        </w:tc>
        <w:tc>
          <w:tcPr>
            <w:tcW w:w="2891" w:type="dxa"/>
            <w:hMerge w:val="restart"/>
            <w:vAlign w:val="center"/>
          </w:tcPr>
          <w:p>
            <w:pPr>
              <w:pStyle w:val="单元格样式2"/>
            </w:pPr>
            <w:r>
              <w:t xml:space="preserve">自然资源综合事务工作保障率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土地整治专项资金（唐财资环【2023】36号）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工作完成情况</w:t>
            </w:r>
          </w:p>
        </w:tc>
        <w:tc>
          <w:tcPr>
            <w:tcW w:w="2891" w:type="dxa"/>
            <w:hMerge w:val="restart"/>
            <w:vAlign w:val="center"/>
          </w:tcPr>
          <w:p>
            <w:pPr>
              <w:pStyle w:val="单元格样式2"/>
            </w:pPr>
            <w:r>
              <w:t xml:space="preserve">工作完成情况</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土地整治专项资金（唐财资环【2023】36号）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hMerge w:val="restart"/>
            <w:vAlign w:val="center"/>
          </w:tcPr>
          <w:p>
            <w:pPr>
              <w:pStyle w:val="单元格样式2"/>
            </w:pPr>
            <w:r>
              <w:t xml:space="preserve">按期完成率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土地整治专项资金（唐财资环【2023】36号）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≤698万元</w:t>
            </w:r>
          </w:p>
        </w:tc>
        <w:tc>
          <w:tcPr>
            <w:tcW w:w="1843" w:type="dxa"/>
            <w:vAlign w:val="center"/>
          </w:tcPr>
          <w:p>
            <w:pPr>
              <w:pStyle w:val="单元格样式2"/>
            </w:pPr>
            <w:r>
              <w:t xml:space="preserve">土地整治专项资金（唐财资环【2023】36号）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土地整治专项资金（唐财资环【2023】36号）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土地整治专项资金（唐财资环【2023】36号）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2" w:name="_Toc_4_4_0000000043"/>
      <w:r>
        <w:rPr>
          <w:rFonts w:ascii="方正仿宋_GBK" w:eastAsia="方正仿宋_GBK" w:hAnsi="方正仿宋_GBK" w:cs="方正仿宋_GBK"/>
          <w:color w:val="000000"/>
          <w:sz w:val="28"/>
        </w:rPr>
        <w:t xml:space="preserve">40.征地片区综合地价调整工作经费（唐财资环【2023】27号）绩效目标表</w:t>
      </w:r>
      <w:bookmarkEnd w:id="4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13020923P00066110001Y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征地片区综合地价调整工作经费（唐财资环【2023】27号）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完成征地片区综合地价调整工作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1.完成征地片区综合地价调整工作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编制土地整治规划调整方案报告，</w:t>
            </w:r>
          </w:p>
        </w:tc>
        <w:tc>
          <w:tcPr>
            <w:tcW w:w="2891" w:type="dxa"/>
            <w:hMerge w:val="restart"/>
            <w:vAlign w:val="center"/>
          </w:tcPr>
          <w:p>
            <w:pPr>
              <w:pStyle w:val="单元格样式2"/>
            </w:pPr>
            <w:r>
              <w:t xml:space="preserve">编制土地整治规划调整方案报告，制作相关图件，建设土地整治规划数据库</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征地片区综合地价调整工作经费（唐财资环【2023】27号）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hMerge w:val="restart"/>
            <w:vAlign w:val="center"/>
          </w:tcPr>
          <w:p>
            <w:pPr>
              <w:pStyle w:val="单元格样式2"/>
            </w:pPr>
            <w:r>
              <w:t xml:space="preserve">资金到位率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征地片区综合地价调整工作经费（唐财资环【2023】27号）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hMerge w:val="restart"/>
            <w:vAlign w:val="center"/>
          </w:tcPr>
          <w:p>
            <w:pPr>
              <w:pStyle w:val="单元格样式2"/>
            </w:pPr>
            <w:r>
              <w:t xml:space="preserve">保障工作时效性</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征地片区综合地价调整工作经费（唐财资环【2023】27号）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完成工作需要的资金</w:t>
            </w:r>
          </w:p>
        </w:tc>
        <w:tc>
          <w:tcPr>
            <w:tcW w:w="2891" w:type="dxa"/>
            <w:hMerge w:val="restart"/>
            <w:vAlign w:val="center"/>
          </w:tcPr>
          <w:p>
            <w:pPr>
              <w:pStyle w:val="单元格样式2"/>
            </w:pPr>
            <w:r>
              <w:t xml:space="preserve">完成工作需要的资金</w:t>
            </w:r>
          </w:p>
        </w:tc>
        <w:tc>
          <w:tcPr>
            <w:tcW w:w="0" w:type="auto"/>
            <w:hMerge/>
            <w:vAlign w:val="center"/>
          </w:tcPr>
          <w:p>
            <w:pPr/>
          </w:p>
        </w:tc>
        <w:tc>
          <w:tcPr>
            <w:tcW w:w="1276" w:type="dxa"/>
            <w:vAlign w:val="center"/>
          </w:tcPr>
          <w:p>
            <w:pPr>
              <w:pStyle w:val="单元格样式2"/>
            </w:pPr>
            <w:r>
              <w:t xml:space="preserve">≤15万元</w:t>
            </w:r>
          </w:p>
        </w:tc>
        <w:tc>
          <w:tcPr>
            <w:tcW w:w="1843" w:type="dxa"/>
            <w:vAlign w:val="center"/>
          </w:tcPr>
          <w:p>
            <w:pPr>
              <w:pStyle w:val="单元格样式2"/>
            </w:pPr>
            <w:r>
              <w:t xml:space="preserve">征地片区综合地价调整工作经费（唐财资环【2023】27号）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征地片区综合地价调整工作经费（唐财资环【2023】27号）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征地片区综合地价调整工作经费（唐财资环【2023】27号）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3" w:name="_Toc_4_4_0000000044"/>
      <w:r>
        <w:rPr>
          <w:rFonts w:ascii="方正仿宋_GBK" w:eastAsia="方正仿宋_GBK" w:hAnsi="方正仿宋_GBK" w:cs="方正仿宋_GBK"/>
          <w:color w:val="000000"/>
          <w:sz w:val="28"/>
        </w:rPr>
        <w:t xml:space="preserve">41.2024年收储中心办公经费绩效目标表</w:t>
      </w:r>
      <w:bookmarkEnd w:id="4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324003唐山市曹妃甸区土地收购储备开发中心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13020924P000816100015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2024年收储中心办公经费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支付收储中心日常办公费用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1.支付收储中心日常办公费用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≤10万元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服务业务工作效率</w:t>
            </w:r>
          </w:p>
        </w:tc>
        <w:tc>
          <w:tcPr>
            <w:tcW w:w="2891" w:type="dxa"/>
            <w:hMerge w:val="restart"/>
            <w:vAlign w:val="center"/>
          </w:tcPr>
          <w:p>
            <w:pPr>
              <w:pStyle w:val="单元格样式2"/>
            </w:pPr>
            <w:r>
              <w:t xml:space="preserve">服务业务工作效率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4" w:name="_Toc_4_4_0000000045"/>
      <w:r>
        <w:rPr>
          <w:rFonts w:ascii="方正仿宋_GBK" w:eastAsia="方正仿宋_GBK" w:hAnsi="方正仿宋_GBK" w:cs="方正仿宋_GBK"/>
          <w:color w:val="000000"/>
          <w:sz w:val="28"/>
        </w:rPr>
        <w:t xml:space="preserve">42.2024年收储中心前期业务费绩效目标表</w:t>
      </w:r>
      <w:bookmarkEnd w:id="4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324003唐山市曹妃甸区土地收购储备开发中心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13020924P00013510001P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2024年收储中心前期业务费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用于出让前期业务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资金支付率</w:t>
            </w:r>
          </w:p>
        </w:tc>
        <w:tc>
          <w:tcPr>
            <w:tcW w:w="2891" w:type="dxa"/>
            <w:hMerge w:val="restart"/>
            <w:vAlign w:val="center"/>
          </w:tcPr>
          <w:p>
            <w:pPr>
              <w:pStyle w:val="单元格样式2"/>
            </w:pPr>
            <w:r>
              <w:t xml:space="preserve">资金支付率</w:t>
            </w:r>
          </w:p>
        </w:tc>
        <w:tc>
          <w:tcPr>
            <w:tcW w:w="0" w:type="auto"/>
            <w:hMerge/>
            <w:vAlign w:val="center"/>
          </w:tcPr>
          <w:p>
            <w:pPr/>
          </w:p>
        </w:tc>
        <w:tc>
          <w:tcPr>
            <w:tcW w:w="1276" w:type="dxa"/>
            <w:vAlign w:val="center"/>
          </w:tcPr>
          <w:p>
            <w:pPr>
              <w:pStyle w:val="单元格样式2"/>
            </w:pPr>
            <w:r>
              <w:t xml:space="preserve">≥70%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综合业务管理工作完成率</w:t>
            </w:r>
          </w:p>
        </w:tc>
        <w:tc>
          <w:tcPr>
            <w:tcW w:w="2891" w:type="dxa"/>
            <w:hMerge w:val="restart"/>
            <w:vAlign w:val="center"/>
          </w:tcPr>
          <w:p>
            <w:pPr>
              <w:pStyle w:val="单元格样式2"/>
            </w:pPr>
            <w:r>
              <w:t xml:space="preserve">综合业务管理工作完成率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资金支付及时性</w:t>
            </w:r>
          </w:p>
        </w:tc>
        <w:tc>
          <w:tcPr>
            <w:tcW w:w="2891" w:type="dxa"/>
            <w:hMerge w:val="restart"/>
            <w:vAlign w:val="center"/>
          </w:tcPr>
          <w:p>
            <w:pPr>
              <w:pStyle w:val="单元格样式2"/>
            </w:pPr>
            <w:r>
              <w:t xml:space="preserve">资金支付及时性</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hMerge w:val="restart"/>
            <w:vAlign w:val="center"/>
          </w:tcPr>
          <w:p>
            <w:pPr>
              <w:pStyle w:val="单元格样式2"/>
            </w:pPr>
            <w:r>
              <w:t xml:space="preserve">项目总成本</w:t>
            </w:r>
          </w:p>
        </w:tc>
        <w:tc>
          <w:tcPr>
            <w:tcW w:w="0" w:type="auto"/>
            <w:hMerge/>
            <w:vAlign w:val="center"/>
          </w:tcPr>
          <w:p>
            <w:pPr/>
          </w:p>
        </w:tc>
        <w:tc>
          <w:tcPr>
            <w:tcW w:w="1276" w:type="dxa"/>
            <w:vAlign w:val="center"/>
          </w:tcPr>
          <w:p>
            <w:pPr>
              <w:pStyle w:val="单元格样式2"/>
            </w:pPr>
            <w:r>
              <w:t xml:space="preserve">≤335万元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5" w:name="_Toc_4_4_0000000046"/>
      <w:r>
        <w:rPr>
          <w:rFonts w:ascii="方正仿宋_GBK" w:eastAsia="方正仿宋_GBK" w:hAnsi="方正仿宋_GBK" w:cs="方正仿宋_GBK"/>
          <w:color w:val="000000"/>
          <w:sz w:val="28"/>
        </w:rPr>
        <w:t xml:space="preserve">43.2024年唐山曹妃甸县（市）区临港产业园施工工程量实测工程测绘费绩效目标表</w:t>
      </w:r>
      <w:bookmarkEnd w:id="4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324003唐山市曹妃甸区土地收购储备开发中心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13020924P00081810001G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2024年唐山曹妃甸县（市）区临港产业园施工工程量实测工程测绘费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完成施工工程量实测工程测绘工作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1.完成施工工程量实测工程测绘工作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≤14.5万元</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服务业务工作效率</w:t>
            </w:r>
          </w:p>
        </w:tc>
        <w:tc>
          <w:tcPr>
            <w:tcW w:w="2891" w:type="dxa"/>
            <w:hMerge w:val="restart"/>
            <w:vAlign w:val="center"/>
          </w:tcPr>
          <w:p>
            <w:pPr>
              <w:pStyle w:val="单元格样式2"/>
            </w:pPr>
            <w:r>
              <w:t xml:space="preserve">服务业务工作效率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6" w:name="_Toc_4_4_0000000047"/>
      <w:r>
        <w:rPr>
          <w:rFonts w:ascii="方正仿宋_GBK" w:eastAsia="方正仿宋_GBK" w:hAnsi="方正仿宋_GBK" w:cs="方正仿宋_GBK"/>
          <w:color w:val="000000"/>
          <w:sz w:val="28"/>
        </w:rPr>
        <w:t xml:space="preserve">44.2024年原曹妃甸九县（市）区临港产业园已投入开发建设费用评估服务费绩效目标表</w:t>
      </w:r>
      <w:bookmarkEnd w:id="4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324003唐山市曹妃甸区土地收购储备开发中心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13020924P00081710001T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2024年原曹妃甸九县（市）区临港产业园已投入开发建设费用评估服务费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完成评估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1.完成评估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完成单位正常运行</w:t>
            </w:r>
          </w:p>
        </w:tc>
        <w:tc>
          <w:tcPr>
            <w:tcW w:w="2891" w:type="dxa"/>
            <w:hMerge w:val="restart"/>
            <w:vAlign w:val="center"/>
          </w:tcPr>
          <w:p>
            <w:pPr>
              <w:pStyle w:val="单元格样式2"/>
            </w:pPr>
            <w:r>
              <w:t xml:space="preserve">完成单位正常运行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按规章制度保证单位工作正常运行</w:t>
            </w:r>
          </w:p>
        </w:tc>
        <w:tc>
          <w:tcPr>
            <w:tcW w:w="2891" w:type="dxa"/>
            <w:hMerge w:val="restart"/>
            <w:vAlign w:val="center"/>
          </w:tcPr>
          <w:p>
            <w:pPr>
              <w:pStyle w:val="单元格样式2"/>
            </w:pPr>
            <w:r>
              <w:t xml:space="preserve">按规章制度保证单位工作正常运行</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按时完成本年度的工作</w:t>
            </w:r>
          </w:p>
        </w:tc>
        <w:tc>
          <w:tcPr>
            <w:tcW w:w="2891" w:type="dxa"/>
            <w:hMerge w:val="restart"/>
            <w:vAlign w:val="center"/>
          </w:tcPr>
          <w:p>
            <w:pPr>
              <w:pStyle w:val="单元格样式2"/>
            </w:pPr>
            <w:r>
              <w:t xml:space="preserve">按时完成本年度的工作</w:t>
            </w:r>
          </w:p>
        </w:tc>
        <w:tc>
          <w:tcPr>
            <w:tcW w:w="0" w:type="auto"/>
            <w:hMerge/>
            <w:vAlign w:val="center"/>
          </w:tcPr>
          <w:p>
            <w:pPr/>
          </w:p>
        </w:tc>
        <w:tc>
          <w:tcPr>
            <w:tcW w:w="1276" w:type="dxa"/>
            <w:vAlign w:val="center"/>
          </w:tcPr>
          <w:p>
            <w:pPr>
              <w:pStyle w:val="单元格样式2"/>
            </w:pPr>
            <w:r>
              <w:t xml:space="preserve">12月31日</w:t>
            </w:r>
          </w:p>
        </w:tc>
        <w:tc>
          <w:tcPr>
            <w:tcW w:w="1843" w:type="dxa"/>
            <w:vAlign w:val="center"/>
          </w:tcPr>
          <w:p>
            <w:pPr>
              <w:pStyle w:val="单元格样式2"/>
            </w:pPr>
            <w:r>
              <w:t xml:space="preserve">根据工作计划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降低单位运行成本</w:t>
            </w:r>
          </w:p>
        </w:tc>
        <w:tc>
          <w:tcPr>
            <w:tcW w:w="2891" w:type="dxa"/>
            <w:hMerge w:val="restart"/>
            <w:vAlign w:val="center"/>
          </w:tcPr>
          <w:p>
            <w:pPr>
              <w:pStyle w:val="单元格样式2"/>
            </w:pPr>
            <w:r>
              <w:t xml:space="preserve">降低单位运行成本</w:t>
            </w:r>
          </w:p>
        </w:tc>
        <w:tc>
          <w:tcPr>
            <w:tcW w:w="0" w:type="auto"/>
            <w:hMerge/>
            <w:vAlign w:val="center"/>
          </w:tcPr>
          <w:p>
            <w:pPr/>
          </w:p>
        </w:tc>
        <w:tc>
          <w:tcPr>
            <w:tcW w:w="1276" w:type="dxa"/>
            <w:vAlign w:val="center"/>
          </w:tcPr>
          <w:p>
            <w:pPr>
              <w:pStyle w:val="单元格样式2"/>
            </w:pPr>
            <w:r>
              <w:t xml:space="preserve">≤15</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提高社会效益</w:t>
            </w:r>
          </w:p>
        </w:tc>
        <w:tc>
          <w:tcPr>
            <w:tcW w:w="2891" w:type="dxa"/>
            <w:hMerge w:val="restart"/>
            <w:vAlign w:val="center"/>
          </w:tcPr>
          <w:p>
            <w:pPr>
              <w:pStyle w:val="单元格样式2"/>
            </w:pPr>
            <w:r>
              <w:t xml:space="preserve">提高社会效益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根据工作计划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根据工作计划</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footer" Target="footer1.xml" /><Relationship Id="rId94" Type="http://schemas.openxmlformats.org/officeDocument/2006/relationships/footer" Target="footer2.xml" /><Relationship Id="rId95" Type="http://schemas.openxmlformats.org/officeDocument/2006/relationships/theme" Target="theme/theme1.xml" /><Relationship Id="rId96" Type="http://schemas.openxmlformats.org/officeDocument/2006/relationships/styles" Target="styles.xml" /><Relationship Id="rId97" Type="http://schemas.openxmlformats.org/officeDocument/2006/relationships/webSettings" Target="webSettings.xml" /><Relationship Id="rId98" Type="http://schemas.openxmlformats.org/officeDocument/2006/relationships/numbering" Target="numbering.xml" /><Relationship Id="rId9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2024-03-11T14:51:37Z</dcterms:created>
  <dcterms:modified xsi:type="dcterms:W3CDTF">2024-03-11T06:51:37Z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2024-03-11T14:51:38Z</dcterms:created>
  <dcterms:modified xsi:type="dcterms:W3CDTF">2024-03-11T06:51:38Z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2024-03-11T14:51:39Z</dcterms:created>
  <dcterms:modified xsi:type="dcterms:W3CDTF">2024-03-11T06:51:38Z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2024-03-11T14:51:39Z</dcterms:created>
  <dcterms:modified xsi:type="dcterms:W3CDTF">2024-03-11T06:51:39Z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2024-03-11T14:51:39Z</dcterms:created>
  <dcterms:modified xsi:type="dcterms:W3CDTF">2024-03-11T06:51:39Z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2024-03-11T14:51:39Z</dcterms:created>
  <dcterms:modified xsi:type="dcterms:W3CDTF">2024-03-11T06:51:39Z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2024-03-11T14:51:40Z</dcterms:created>
  <dcterms:modified xsi:type="dcterms:W3CDTF">2024-03-11T06:51:40Z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2024-03-11T14:51:40Z</dcterms:created>
  <dcterms:modified xsi:type="dcterms:W3CDTF">2024-03-11T06:51:40Z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2024-03-11T14:51:40Z</dcterms:created>
  <dcterms:modified xsi:type="dcterms:W3CDTF">2024-03-11T06:51:40Z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2024-03-11T14:51:41Z</dcterms:created>
  <dcterms:modified xsi:type="dcterms:W3CDTF">2024-03-11T06:51:41Z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2024-03-11T14:51:41Z</dcterms:created>
  <dcterms:modified xsi:type="dcterms:W3CDTF">2024-03-11T06:51:41Z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2024-03-11T14:51:37Z</dcterms:created>
  <dcterms:modified xsi:type="dcterms:W3CDTF">2024-03-11T06:51:37Z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2024-03-11T14:51:41Z</dcterms:created>
  <dcterms:modified xsi:type="dcterms:W3CDTF">2024-03-11T06:51:41Z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2024-03-11T14:51:42Z</dcterms:created>
  <dcterms:modified xsi:type="dcterms:W3CDTF">2024-03-11T06:51:42Z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2024-03-11T14:51:42Z</dcterms:created>
  <dcterms:modified xsi:type="dcterms:W3CDTF">2024-03-11T06:51:42Z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2024-03-11T14:51:42Z</dcterms:created>
  <dcterms:modified xsi:type="dcterms:W3CDTF">2024-03-11T06:51:42Z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2024-03-11T14:51:42Z</dcterms:created>
  <dcterms:modified xsi:type="dcterms:W3CDTF">2024-03-11T06:51:42Z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2024-03-11T14:51:43Z</dcterms:created>
  <dcterms:modified xsi:type="dcterms:W3CDTF">2024-03-11T06:51:43Z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2024-03-11T14:51:43Z</dcterms:created>
  <dcterms:modified xsi:type="dcterms:W3CDTF">2024-03-11T06:51:43Z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2024-03-11T14:51:43Z</dcterms:created>
  <dcterms:modified xsi:type="dcterms:W3CDTF">2024-03-11T06:51:43Z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2024-03-11T14:51:43Z</dcterms:created>
  <dcterms:modified xsi:type="dcterms:W3CDTF">2024-03-11T06:51:43Z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2024-03-11T14:51:44Z</dcterms:created>
  <dcterms:modified xsi:type="dcterms:W3CDTF">2024-03-11T06:51:44Z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2024-03-11T14:51:37Z</dcterms:created>
  <dcterms:modified xsi:type="dcterms:W3CDTF">2024-03-11T06:51:37Z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2024-03-11T14:51:44Z</dcterms:created>
  <dcterms:modified xsi:type="dcterms:W3CDTF">2024-03-11T06:51:44Z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2024-03-11T14:51:44Z</dcterms:created>
  <dcterms:modified xsi:type="dcterms:W3CDTF">2024-03-11T06:51:44Z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2024-03-11T14:51:44Z</dcterms:created>
  <dcterms:modified xsi:type="dcterms:W3CDTF">2024-03-11T06:51:44Z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2024-03-11T14:51:45Z</dcterms:created>
  <dcterms:modified xsi:type="dcterms:W3CDTF">2024-03-11T06:51:45Z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2024-03-11T14:51:45Z</dcterms:created>
  <dcterms:modified xsi:type="dcterms:W3CDTF">2024-03-11T06:51:45Z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2024-03-11T14:51:45Z</dcterms:created>
  <dcterms:modified xsi:type="dcterms:W3CDTF">2024-03-11T06:51:45Z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2024-03-11T14:51:46Z</dcterms:created>
  <dcterms:modified xsi:type="dcterms:W3CDTF">2024-03-11T06:51:46Z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2024-03-11T14:51:46Z</dcterms:created>
  <dcterms:modified xsi:type="dcterms:W3CDTF">2024-03-11T06:51:46Z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2024-03-11T14:51:46Z</dcterms:created>
  <dcterms:modified xsi:type="dcterms:W3CDTF">2024-03-11T06:51:46Z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2024-03-11T14:51:46Z</dcterms:created>
  <dcterms:modified xsi:type="dcterms:W3CDTF">2024-03-11T06:51:46Z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2024-03-11T14:51:38Z</dcterms:created>
  <dcterms:modified xsi:type="dcterms:W3CDTF">2024-03-11T06:51:38Z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2024-03-11T14:51:47Z</dcterms:created>
  <dcterms:modified xsi:type="dcterms:W3CDTF">2024-03-11T06:51:47Z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2024-03-11T14:51:47Z</dcterms:created>
  <dcterms:modified xsi:type="dcterms:W3CDTF">2024-03-11T06:51:47Z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2024-03-11T14:51:47Z</dcterms:created>
  <dcterms:modified xsi:type="dcterms:W3CDTF">2024-03-11T06:51:47Z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2024-03-11T14:51:47Z</dcterms:created>
  <dcterms:modified xsi:type="dcterms:W3CDTF">2024-03-11T06:51:47Z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2024-03-11T14:51:48Z</dcterms:created>
  <dcterms:modified xsi:type="dcterms:W3CDTF">2024-03-11T06:51:48Z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2024-03-11T14:51:48Z</dcterms:created>
  <dcterms:modified xsi:type="dcterms:W3CDTF">2024-03-11T06:51:48Z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2024-03-11T14:51:48Z</dcterms:created>
  <dcterms:modified xsi:type="dcterms:W3CDTF">2024-03-11T06:51:48Z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2024-03-11T14:51:48Z</dcterms:created>
  <dcterms:modified xsi:type="dcterms:W3CDTF">2024-03-11T06:51:48Z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2024-03-11T14:51:49Z</dcterms:created>
  <dcterms:modified xsi:type="dcterms:W3CDTF">2024-03-11T06:51:49Z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2024-03-11T14:51:49Z</dcterms:created>
  <dcterms:modified xsi:type="dcterms:W3CDTF">2024-03-11T06:51:49Z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2024-03-11T14:51:38Z</dcterms:created>
  <dcterms:modified xsi:type="dcterms:W3CDTF">2024-03-11T06:51:38Z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2024-03-11T14:51:49Z</dcterms:created>
  <dcterms:modified xsi:type="dcterms:W3CDTF">2024-03-11T06:51:49Z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2024-03-11T14:51:49Z</dcterms:created>
  <dcterms:modified xsi:type="dcterms:W3CDTF">2024-03-11T06:51:54Z</dcterms:modified>
</cp:coreProperties>
</file>